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62FE"/>
          <w:sz w:val="22"/>
        </w:rPr>
        <w:t>IBM SKILLSBUILD / BHARATCARES CAPSTONE PROJECT REPORT</w:t>
        <w:br/>
      </w:r>
      <w:r>
        <w:rPr>
          <w:rFonts w:ascii="Calibri" w:hAnsi="Calibri"/>
          <w:b/>
          <w:color w:val="002D9C"/>
          <w:sz w:val="48"/>
        </w:rPr>
        <w:t>Supermarket Sales Analytics &amp; Business Intelligence</w:t>
      </w:r>
    </w:p>
    <w:p>
      <w:r>
        <w:rPr>
          <w:rFonts w:ascii="Calibri" w:hAnsi="Calibri"/>
          <w:i/>
          <w:color w:val="525252"/>
          <w:sz w:val="24"/>
        </w:rPr>
        <w:t>End-to-End Exploratory Data Analysis, Revenue Modeling, Multi-Branch Benchmarking &amp; Strategic Decisions</w:t>
      </w:r>
    </w:p>
    <w:tbl>
      <w:tblPr>
        <w:tblW w:type="auto" w:w="0"/>
        <w:jc w:val="center"/>
        <w:tblLook w:firstColumn="1" w:firstRow="1" w:lastColumn="0" w:lastRow="0" w:noHBand="0" w:noVBand="1" w:val="04A0"/>
      </w:tblPr>
      <w:tblGrid>
        <w:gridCol w:w="4680"/>
        <w:gridCol w:w="4680"/>
      </w:tblGrid>
      <w:tr>
        <w:tc>
          <w:tcPr>
            <w:tcW w:type="dxa" w:w="4680"/>
            <w:shd w:fill="EDF5FF"/>
            <w:tcMar>
              <w:top w:w="120" w:type="dxa"/>
              <w:bottom w:w="120" w:type="dxa"/>
              <w:left w:w="160" w:type="dxa"/>
              <w:right w:w="160" w:type="dxa"/>
            </w:tcMar>
          </w:tcPr>
          <w:p>
            <w:pPr>
              <w:jc w:val="left"/>
            </w:pPr>
            <w:r>
              <w:rPr>
                <w:rFonts w:ascii="Calibri" w:hAnsi="Calibri"/>
                <w:b/>
                <w:color w:val="002D9C"/>
                <w:sz w:val="20"/>
              </w:rPr>
              <w:t>Author / Analyst: Afnan Sheikh</w:t>
            </w:r>
          </w:p>
        </w:tc>
        <w:tc>
          <w:tcPr>
            <w:tcW w:type="dxa" w:w="4680"/>
            <w:shd w:fill="EDF5FF"/>
            <w:tcMar>
              <w:top w:w="120" w:type="dxa"/>
              <w:bottom w:w="120" w:type="dxa"/>
              <w:left w:w="160" w:type="dxa"/>
              <w:right w:w="160" w:type="dxa"/>
            </w:tcMar>
          </w:tcPr>
          <w:p>
            <w:pPr>
              <w:jc w:val="left"/>
            </w:pPr>
            <w:r>
              <w:rPr>
                <w:rFonts w:ascii="Calibri" w:hAnsi="Calibri"/>
                <w:b/>
                <w:color w:val="002D9C"/>
                <w:sz w:val="20"/>
              </w:rPr>
              <w:t>Dataset Scope: 500 Verified Transaction Records</w:t>
            </w:r>
          </w:p>
        </w:tc>
      </w:tr>
      <w:tr>
        <w:tc>
          <w:tcPr>
            <w:tcW w:type="dxa" w:w="4680"/>
            <w:shd w:fill="EDF5FF"/>
            <w:tcMar>
              <w:top w:w="120" w:type="dxa"/>
              <w:bottom w:w="120" w:type="dxa"/>
              <w:left w:w="160" w:type="dxa"/>
              <w:right w:w="160" w:type="dxa"/>
            </w:tcMar>
          </w:tcPr>
          <w:p>
            <w:pPr>
              <w:jc w:val="left"/>
            </w:pPr>
            <w:r>
              <w:rPr>
                <w:rFonts w:ascii="Calibri" w:hAnsi="Calibri"/>
                <w:b/>
                <w:color w:val="002D9C"/>
                <w:sz w:val="20"/>
              </w:rPr>
              <w:t>Program: IBM SkillsBuild Internship</w:t>
            </w:r>
          </w:p>
        </w:tc>
        <w:tc>
          <w:tcPr>
            <w:tcW w:type="dxa" w:w="4680"/>
            <w:shd w:fill="EDF5FF"/>
            <w:tcMar>
              <w:top w:w="120" w:type="dxa"/>
              <w:bottom w:w="120" w:type="dxa"/>
              <w:left w:w="160" w:type="dxa"/>
              <w:right w:w="160" w:type="dxa"/>
            </w:tcMar>
          </w:tcPr>
          <w:p>
            <w:pPr>
              <w:jc w:val="left"/>
            </w:pPr>
            <w:r>
              <w:rPr>
                <w:rFonts w:ascii="Calibri" w:hAnsi="Calibri"/>
                <w:b/>
                <w:color w:val="002D9C"/>
                <w:sz w:val="20"/>
              </w:rPr>
              <w:t>Tech Stack: Python 3, Pandas, Streamlit, Plotly</w:t>
            </w:r>
          </w:p>
        </w:tc>
      </w:tr>
    </w:tbl>
    <w:p/>
    <w:p>
      <w:pPr>
        <w:pStyle w:val="Heading1"/>
      </w:pPr>
      <w:r>
        <w:rPr>
          <w:rFonts w:ascii="Calibri" w:hAnsi="Calibri"/>
          <w:b/>
          <w:color w:val="0F62FE"/>
          <w:sz w:val="32"/>
        </w:rPr>
        <w:t>1. Executive Summary</w:t>
      </w:r>
    </w:p>
    <w:p>
      <w:r>
        <w:t>This project presents an empirical financial, operational, and customer segmentation analysis of a multi-city supermarket retail chain across India (Mumbai, Delhi, Bengaluru, and Jaipur). Based on 500 validated customer transactions recorded between January 2026 and July 2026, the report evaluates category profitability, regional efficiency, and digital payment preferences to deliver data-backed executive growth strategies.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4F7FB"/>
            <w:tcMar>
              <w:top w:w="120" w:type="dxa"/>
              <w:bottom w:w="120" w:type="dxa"/>
              <w:left w:w="160" w:type="dxa"/>
              <w:right w:w="160" w:type="dxa"/>
            </w:tcMar>
          </w:tcPr>
          <w:p>
            <w:pPr>
              <w:jc w:val="center"/>
            </w:pPr>
            <w:r>
              <w:rPr>
                <w:rFonts w:ascii="Calibri" w:hAnsi="Calibri"/>
                <w:b w:val="0"/>
                <w:color w:val="161616"/>
                <w:sz w:val="18"/>
              </w:rPr>
              <w:t>TOTAL REVENUE</w:t>
              <w:br/>
            </w:r>
            <w:r>
              <w:rPr>
                <w:rFonts w:ascii="Calibri" w:hAnsi="Calibri"/>
                <w:b w:val="0"/>
                <w:color w:val="161616"/>
                <w:sz w:val="18"/>
              </w:rPr>
              <w:t>₹244,411.08</w:t>
              <w:br/>
            </w:r>
            <w:r>
              <w:rPr>
                <w:rFonts w:ascii="Calibri" w:hAnsi="Calibri"/>
                <w:b w:val="0"/>
                <w:color w:val="161616"/>
                <w:sz w:val="18"/>
              </w:rPr>
              <w:t>500 Invoices</w:t>
            </w:r>
          </w:p>
        </w:tc>
        <w:tc>
          <w:tcPr>
            <w:tcW w:type="dxa" w:w="1872"/>
            <w:shd w:fill="F4F7FB"/>
            <w:tcMar>
              <w:top w:w="120" w:type="dxa"/>
              <w:bottom w:w="120" w:type="dxa"/>
              <w:left w:w="160" w:type="dxa"/>
              <w:right w:w="160" w:type="dxa"/>
            </w:tcMar>
          </w:tcPr>
          <w:p>
            <w:pPr>
              <w:jc w:val="center"/>
            </w:pPr>
            <w:r>
              <w:rPr>
                <w:rFonts w:ascii="Calibri" w:hAnsi="Calibri"/>
                <w:b w:val="0"/>
                <w:color w:val="161616"/>
                <w:sz w:val="18"/>
              </w:rPr>
              <w:t>UNITS SOLD</w:t>
              <w:br/>
            </w:r>
            <w:r>
              <w:rPr>
                <w:rFonts w:ascii="Calibri" w:hAnsi="Calibri"/>
                <w:b w:val="0"/>
                <w:color w:val="161616"/>
                <w:sz w:val="18"/>
              </w:rPr>
              <w:t>2,768</w:t>
              <w:br/>
            </w:r>
            <w:r>
              <w:rPr>
                <w:rFonts w:ascii="Calibri" w:hAnsi="Calibri"/>
                <w:b w:val="0"/>
                <w:color w:val="161616"/>
                <w:sz w:val="18"/>
              </w:rPr>
              <w:t>5.54 units/order</w:t>
            </w:r>
          </w:p>
        </w:tc>
        <w:tc>
          <w:tcPr>
            <w:tcW w:type="dxa" w:w="1872"/>
            <w:shd w:fill="F4F7FB"/>
            <w:tcMar>
              <w:top w:w="120" w:type="dxa"/>
              <w:bottom w:w="120" w:type="dxa"/>
              <w:left w:w="160" w:type="dxa"/>
              <w:right w:w="160" w:type="dxa"/>
            </w:tcMar>
          </w:tcPr>
          <w:p>
            <w:pPr>
              <w:jc w:val="center"/>
            </w:pPr>
            <w:r>
              <w:rPr>
                <w:rFonts w:ascii="Calibri" w:hAnsi="Calibri"/>
                <w:b w:val="0"/>
                <w:color w:val="161616"/>
                <w:sz w:val="18"/>
              </w:rPr>
              <w:t>AVG TICKET SIZE</w:t>
              <w:br/>
            </w:r>
            <w:r>
              <w:rPr>
                <w:rFonts w:ascii="Calibri" w:hAnsi="Calibri"/>
                <w:b w:val="0"/>
                <w:color w:val="161616"/>
                <w:sz w:val="18"/>
              </w:rPr>
              <w:t>₹488.82</w:t>
              <w:br/>
            </w:r>
            <w:r>
              <w:rPr>
                <w:rFonts w:ascii="Calibri" w:hAnsi="Calibri"/>
                <w:b w:val="0"/>
                <w:color w:val="161616"/>
                <w:sz w:val="18"/>
              </w:rPr>
              <w:t>Mean basket spend</w:t>
            </w:r>
          </w:p>
        </w:tc>
        <w:tc>
          <w:tcPr>
            <w:tcW w:type="dxa" w:w="1872"/>
            <w:shd w:fill="F4F7FB"/>
            <w:tcMar>
              <w:top w:w="120" w:type="dxa"/>
              <w:bottom w:w="120" w:type="dxa"/>
              <w:left w:w="160" w:type="dxa"/>
              <w:right w:w="160" w:type="dxa"/>
            </w:tcMar>
          </w:tcPr>
          <w:p>
            <w:pPr>
              <w:jc w:val="center"/>
            </w:pPr>
            <w:r>
              <w:rPr>
                <w:rFonts w:ascii="Calibri" w:hAnsi="Calibri"/>
                <w:b w:val="0"/>
                <w:color w:val="161616"/>
                <w:sz w:val="18"/>
              </w:rPr>
              <w:t>AVG RATING</w:t>
              <w:br/>
            </w:r>
            <w:r>
              <w:rPr>
                <w:rFonts w:ascii="Calibri" w:hAnsi="Calibri"/>
                <w:b w:val="0"/>
                <w:color w:val="161616"/>
                <w:sz w:val="18"/>
              </w:rPr>
              <w:t>3.99 / 5.0★</w:t>
              <w:br/>
            </w:r>
            <w:r>
              <w:rPr>
                <w:rFonts w:ascii="Calibri" w:hAnsi="Calibri"/>
                <w:b w:val="0"/>
                <w:color w:val="161616"/>
                <w:sz w:val="18"/>
              </w:rPr>
              <w:t>Customer score</w:t>
            </w:r>
          </w:p>
        </w:tc>
        <w:tc>
          <w:tcPr>
            <w:tcW w:type="dxa" w:w="1872"/>
            <w:shd w:fill="F4F7FB"/>
            <w:tcMar>
              <w:top w:w="120" w:type="dxa"/>
              <w:bottom w:w="120" w:type="dxa"/>
              <w:left w:w="160" w:type="dxa"/>
              <w:right w:w="160" w:type="dxa"/>
            </w:tcMar>
          </w:tcPr>
          <w:p>
            <w:pPr>
              <w:jc w:val="center"/>
            </w:pPr>
            <w:r>
              <w:rPr>
                <w:rFonts w:ascii="Calibri" w:hAnsi="Calibri"/>
                <w:b w:val="0"/>
                <w:color w:val="161616"/>
                <w:sz w:val="18"/>
              </w:rPr>
              <w:t>TOP BRANCH</w:t>
              <w:br/>
            </w:r>
            <w:r>
              <w:rPr>
                <w:rFonts w:ascii="Calibri" w:hAnsi="Calibri"/>
                <w:b w:val="0"/>
                <w:color w:val="161616"/>
                <w:sz w:val="18"/>
              </w:rPr>
              <w:t>Mumbai (C)</w:t>
              <w:br/>
            </w:r>
            <w:r>
              <w:rPr>
                <w:rFonts w:ascii="Calibri" w:hAnsi="Calibri"/>
                <w:b w:val="0"/>
                <w:color w:val="161616"/>
                <w:sz w:val="18"/>
              </w:rPr>
              <w:t>₹72,469.45 (29.6%)</w:t>
            </w:r>
          </w:p>
        </w:tc>
      </w:tr>
    </w:tbl>
    <w:p/>
    <w:p>
      <w:pPr>
        <w:pStyle w:val="Heading1"/>
      </w:pPr>
      <w:r>
        <w:rPr>
          <w:rFonts w:ascii="Calibri" w:hAnsi="Calibri"/>
          <w:b/>
          <w:color w:val="0F62FE"/>
          <w:sz w:val="32"/>
        </w:rPr>
        <w:t>2. Dataset Overview &amp; Data Quality Audit</w:t>
      </w:r>
    </w:p>
    <w:p>
      <w:r>
        <w:t>The dataset contains 500 records and 13 attributes including Invoice ID, Date, Branch, City, Customer Type, Gender, Product, Category, Quantity, Unit Price, Payment Method, Rating, and Sales.</w:t>
      </w:r>
    </w:p>
    <w:p>
      <w:pPr>
        <w:pStyle w:val="Heading2"/>
      </w:pPr>
      <w:r>
        <w:rPr>
          <w:rFonts w:ascii="Calibri" w:hAnsi="Calibri"/>
          <w:b/>
          <w:color w:val="002D9C"/>
          <w:sz w:val="26"/>
        </w:rPr>
        <w:t>Data Hygiene Audit Summary:</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120" w:type="dxa"/>
              <w:bottom w:w="120" w:type="dxa"/>
              <w:left w:w="160" w:type="dxa"/>
              <w:right w:w="160" w:type="dxa"/>
            </w:tcMar>
          </w:tcPr>
          <w:p>
            <w:pPr>
              <w:jc w:val="left"/>
            </w:pPr>
            <w:r>
              <w:rPr>
                <w:rFonts w:ascii="Calibri" w:hAnsi="Calibri"/>
                <w:b/>
                <w:color w:val="FFFFFF"/>
                <w:sz w:val="20"/>
              </w:rPr>
              <w:t>Audit Parameter</w:t>
            </w:r>
          </w:p>
        </w:tc>
        <w:tc>
          <w:tcPr>
            <w:tcW w:type="dxa" w:w="3120"/>
            <w:shd w:fill="0F62FE"/>
            <w:tcMar>
              <w:top w:w="120" w:type="dxa"/>
              <w:bottom w:w="120" w:type="dxa"/>
              <w:left w:w="160" w:type="dxa"/>
              <w:right w:w="160" w:type="dxa"/>
            </w:tcMar>
          </w:tcPr>
          <w:p>
            <w:pPr>
              <w:jc w:val="left"/>
            </w:pPr>
            <w:r>
              <w:rPr>
                <w:rFonts w:ascii="Calibri" w:hAnsi="Calibri"/>
                <w:b/>
                <w:color w:val="FFFFFF"/>
                <w:sz w:val="20"/>
              </w:rPr>
              <w:t>Observed Value</w:t>
            </w:r>
          </w:p>
        </w:tc>
        <w:tc>
          <w:tcPr>
            <w:tcW w:type="dxa" w:w="3120"/>
            <w:shd w:fill="0F62FE"/>
            <w:tcMar>
              <w:top w:w="120" w:type="dxa"/>
              <w:bottom w:w="120" w:type="dxa"/>
              <w:left w:w="160" w:type="dxa"/>
              <w:right w:w="160" w:type="dxa"/>
            </w:tcMar>
          </w:tcPr>
          <w:p>
            <w:pPr>
              <w:jc w:val="left"/>
            </w:pPr>
            <w:r>
              <w:rPr>
                <w:rFonts w:ascii="Calibri" w:hAnsi="Calibri"/>
                <w:b/>
                <w:color w:val="FFFFFF"/>
                <w:sz w:val="20"/>
              </w:rPr>
              <w:t>Quality Status</w:t>
            </w:r>
          </w:p>
        </w:tc>
      </w:tr>
      <w:tr>
        <w:tc>
          <w:tcPr>
            <w:tcW w:type="dxa" w:w="3120"/>
            <w:shd w:fill="F8FAFC"/>
            <w:tcMar>
              <w:top w:w="120" w:type="dxa"/>
              <w:bottom w:w="120" w:type="dxa"/>
              <w:left w:w="160" w:type="dxa"/>
              <w:right w:w="160" w:type="dxa"/>
            </w:tcMar>
          </w:tcPr>
          <w:p>
            <w:pPr>
              <w:jc w:val="left"/>
            </w:pPr>
            <w:r>
              <w:rPr>
                <w:rFonts w:ascii="Calibri" w:hAnsi="Calibri"/>
                <w:b w:val="0"/>
                <w:color w:val="161616"/>
                <w:sz w:val="19"/>
              </w:rPr>
              <w:t>Missing / Null Values</w:t>
            </w:r>
          </w:p>
        </w:tc>
        <w:tc>
          <w:tcPr>
            <w:tcW w:type="dxa" w:w="3120"/>
            <w:shd w:fill="F8FAFC"/>
            <w:tcMar>
              <w:top w:w="120" w:type="dxa"/>
              <w:bottom w:w="120" w:type="dxa"/>
              <w:left w:w="160" w:type="dxa"/>
              <w:right w:w="160" w:type="dxa"/>
            </w:tcMar>
          </w:tcPr>
          <w:p>
            <w:pPr>
              <w:jc w:val="left"/>
            </w:pPr>
            <w:r>
              <w:rPr>
                <w:rFonts w:ascii="Calibri" w:hAnsi="Calibri"/>
                <w:b w:val="0"/>
                <w:color w:val="161616"/>
                <w:sz w:val="19"/>
              </w:rPr>
              <w:t>0 missing entries across all 13 columns</w:t>
            </w:r>
          </w:p>
        </w:tc>
        <w:tc>
          <w:tcPr>
            <w:tcW w:type="dxa" w:w="3120"/>
            <w:shd w:fill="F8FAFC"/>
            <w:tcMar>
              <w:top w:w="120" w:type="dxa"/>
              <w:bottom w:w="120" w:type="dxa"/>
              <w:left w:w="160" w:type="dxa"/>
              <w:right w:w="160" w:type="dxa"/>
            </w:tcMar>
          </w:tcPr>
          <w:p>
            <w:pPr>
              <w:jc w:val="left"/>
            </w:pPr>
            <w:r>
              <w:rPr>
                <w:rFonts w:ascii="Calibri" w:hAnsi="Calibri"/>
                <w:b w:val="0"/>
                <w:color w:val="161616"/>
                <w:sz w:val="19"/>
              </w:rPr>
              <w:t>✓ 100% Complete</w:t>
            </w:r>
          </w:p>
        </w:tc>
      </w:tr>
      <w:tr>
        <w:tc>
          <w:tcPr>
            <w:tcW w:type="dxa" w:w="3120"/>
            <w:shd w:fill="FFFFFF"/>
            <w:tcMar>
              <w:top w:w="120" w:type="dxa"/>
              <w:bottom w:w="120" w:type="dxa"/>
              <w:left w:w="160" w:type="dxa"/>
              <w:right w:w="160" w:type="dxa"/>
            </w:tcMar>
          </w:tcPr>
          <w:p>
            <w:pPr>
              <w:jc w:val="left"/>
            </w:pPr>
            <w:r>
              <w:rPr>
                <w:rFonts w:ascii="Calibri" w:hAnsi="Calibri"/>
                <w:b w:val="0"/>
                <w:color w:val="161616"/>
                <w:sz w:val="19"/>
              </w:rPr>
              <w:t>Duplicate Records</w:t>
            </w:r>
          </w:p>
        </w:tc>
        <w:tc>
          <w:tcPr>
            <w:tcW w:type="dxa" w:w="3120"/>
            <w:shd w:fill="FFFFFF"/>
            <w:tcMar>
              <w:top w:w="120" w:type="dxa"/>
              <w:bottom w:w="120" w:type="dxa"/>
              <w:left w:w="160" w:type="dxa"/>
              <w:right w:w="160" w:type="dxa"/>
            </w:tcMar>
          </w:tcPr>
          <w:p>
            <w:pPr>
              <w:jc w:val="left"/>
            </w:pPr>
            <w:r>
              <w:rPr>
                <w:rFonts w:ascii="Calibri" w:hAnsi="Calibri"/>
                <w:b w:val="0"/>
                <w:color w:val="161616"/>
                <w:sz w:val="19"/>
              </w:rPr>
              <w:t>0 duplicate rows identified</w:t>
            </w:r>
          </w:p>
        </w:tc>
        <w:tc>
          <w:tcPr>
            <w:tcW w:type="dxa" w:w="3120"/>
            <w:shd w:fill="FFFFFF"/>
            <w:tcMar>
              <w:top w:w="120" w:type="dxa"/>
              <w:bottom w:w="120" w:type="dxa"/>
              <w:left w:w="160" w:type="dxa"/>
              <w:right w:w="160" w:type="dxa"/>
            </w:tcMar>
          </w:tcPr>
          <w:p>
            <w:pPr>
              <w:jc w:val="left"/>
            </w:pPr>
            <w:r>
              <w:rPr>
                <w:rFonts w:ascii="Calibri" w:hAnsi="Calibri"/>
                <w:b w:val="0"/>
                <w:color w:val="161616"/>
                <w:sz w:val="19"/>
              </w:rPr>
              <w:t>✓ 100% Unique</w:t>
            </w:r>
          </w:p>
        </w:tc>
      </w:tr>
      <w:tr>
        <w:tc>
          <w:tcPr>
            <w:tcW w:type="dxa" w:w="3120"/>
            <w:shd w:fill="F8FAFC"/>
            <w:tcMar>
              <w:top w:w="120" w:type="dxa"/>
              <w:bottom w:w="120" w:type="dxa"/>
              <w:left w:w="160" w:type="dxa"/>
              <w:right w:w="160" w:type="dxa"/>
            </w:tcMar>
          </w:tcPr>
          <w:p>
            <w:pPr>
              <w:jc w:val="left"/>
            </w:pPr>
            <w:r>
              <w:rPr>
                <w:rFonts w:ascii="Calibri" w:hAnsi="Calibri"/>
                <w:b w:val="0"/>
                <w:color w:val="161616"/>
                <w:sz w:val="19"/>
              </w:rPr>
              <w:t>Numeric Value Constraints</w:t>
            </w:r>
          </w:p>
        </w:tc>
        <w:tc>
          <w:tcPr>
            <w:tcW w:type="dxa" w:w="3120"/>
            <w:shd w:fill="F8FAFC"/>
            <w:tcMar>
              <w:top w:w="120" w:type="dxa"/>
              <w:bottom w:w="120" w:type="dxa"/>
              <w:left w:w="160" w:type="dxa"/>
              <w:right w:w="160" w:type="dxa"/>
            </w:tcMar>
          </w:tcPr>
          <w:p>
            <w:pPr>
              <w:jc w:val="left"/>
            </w:pPr>
            <w:r>
              <w:rPr>
                <w:rFonts w:ascii="Calibri" w:hAnsi="Calibri"/>
                <w:b w:val="0"/>
                <w:color w:val="161616"/>
                <w:sz w:val="19"/>
              </w:rPr>
              <w:t>All Quantity &gt; 0, Unit Price &gt; ₹0, Rating ∈ [3.0, 5.0]</w:t>
            </w:r>
          </w:p>
        </w:tc>
        <w:tc>
          <w:tcPr>
            <w:tcW w:type="dxa" w:w="3120"/>
            <w:shd w:fill="F8FAFC"/>
            <w:tcMar>
              <w:top w:w="120" w:type="dxa"/>
              <w:bottom w:w="120" w:type="dxa"/>
              <w:left w:w="160" w:type="dxa"/>
              <w:right w:w="160" w:type="dxa"/>
            </w:tcMar>
          </w:tcPr>
          <w:p>
            <w:pPr>
              <w:jc w:val="left"/>
            </w:pPr>
            <w:r>
              <w:rPr>
                <w:rFonts w:ascii="Calibri" w:hAnsi="Calibri"/>
                <w:b w:val="0"/>
                <w:color w:val="161616"/>
                <w:sz w:val="19"/>
              </w:rPr>
              <w:t>✓ Verified Valid</w:t>
            </w:r>
          </w:p>
        </w:tc>
      </w:tr>
    </w:tbl>
    <w:p/>
    <w:p>
      <w:pPr>
        <w:pStyle w:val="Heading1"/>
      </w:pPr>
      <w:r>
        <w:rPr>
          <w:rFonts w:ascii="Calibri" w:hAnsi="Calibri"/>
          <w:b/>
          <w:color w:val="0F62FE"/>
          <w:sz w:val="32"/>
        </w:rPr>
        <w:t>3. Sales Formula Verification (Sales = Quantity × Unit Price)</w:t>
      </w:r>
    </w:p>
    <w:p>
      <w:r>
        <w:t>To confirm financial reporting integrity, transaction totals were programmatically verified using the core retail formula:</w:t>
      </w:r>
    </w:p>
    <w:p>
      <w:r>
        <w:rPr>
          <w:b/>
          <w:color w:val="002D9C"/>
        </w:rPr>
        <w:t>Calculated Sales = Quantity × Unit Price</w:t>
      </w:r>
    </w:p>
    <w:p>
      <w:r>
        <w:t>Every row was evaluated against the recorded Sales column with a tolerance threshold of |Calculated - Recorded| &gt; 0.05. Zero discrepancies were detected across all 500 transactions, confirming 100% mathematical accuracy.</w:t>
      </w:r>
    </w:p>
    <w:p>
      <w:pPr>
        <w:pStyle w:val="Heading1"/>
      </w:pPr>
      <w:r>
        <w:rPr>
          <w:rFonts w:ascii="Calibri" w:hAnsi="Calibri"/>
          <w:b/>
          <w:color w:val="0F62FE"/>
          <w:sz w:val="32"/>
        </w:rPr>
        <w:t>4. Exploratory Data Analysis &amp; Group Summaries</w:t>
      </w:r>
    </w:p>
    <w:p>
      <w:pPr>
        <w:pStyle w:val="Heading2"/>
      </w:pPr>
      <w:r>
        <w:rPr>
          <w:rFonts w:ascii="Calibri" w:hAnsi="Calibri"/>
          <w:b/>
          <w:color w:val="002D9C"/>
          <w:sz w:val="26"/>
        </w:rPr>
        <w:t>4.1 Performance by Product Category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62FE"/>
            <w:tcMar>
              <w:top w:w="120" w:type="dxa"/>
              <w:bottom w:w="120" w:type="dxa"/>
              <w:left w:w="160" w:type="dxa"/>
              <w:right w:w="160" w:type="dxa"/>
            </w:tcMar>
          </w:tcPr>
          <w:p>
            <w:pPr>
              <w:jc w:val="center"/>
            </w:pPr>
            <w:r>
              <w:rPr>
                <w:rFonts w:ascii="Calibri" w:hAnsi="Calibri"/>
                <w:b/>
                <w:color w:val="FFFFFF"/>
                <w:sz w:val="19"/>
              </w:rPr>
              <w:t>Category</w:t>
            </w:r>
          </w:p>
        </w:tc>
        <w:tc>
          <w:tcPr>
            <w:tcW w:type="dxa" w:w="1337"/>
            <w:shd w:fill="0F62FE"/>
            <w:tcMar>
              <w:top w:w="120" w:type="dxa"/>
              <w:bottom w:w="120" w:type="dxa"/>
              <w:left w:w="160" w:type="dxa"/>
              <w:right w:w="160" w:type="dxa"/>
            </w:tcMar>
          </w:tcPr>
          <w:p>
            <w:pPr>
              <w:jc w:val="center"/>
            </w:pPr>
            <w:r>
              <w:rPr>
                <w:rFonts w:ascii="Calibri" w:hAnsi="Calibri"/>
                <w:b/>
                <w:color w:val="FFFFFF"/>
                <w:sz w:val="19"/>
              </w:rPr>
              <w:t>Transactions</w:t>
            </w:r>
          </w:p>
        </w:tc>
        <w:tc>
          <w:tcPr>
            <w:tcW w:type="dxa" w:w="1337"/>
            <w:shd w:fill="0F62FE"/>
            <w:tcMar>
              <w:top w:w="120" w:type="dxa"/>
              <w:bottom w:w="120" w:type="dxa"/>
              <w:left w:w="160" w:type="dxa"/>
              <w:right w:w="160" w:type="dxa"/>
            </w:tcMar>
          </w:tcPr>
          <w:p>
            <w:pPr>
              <w:jc w:val="center"/>
            </w:pPr>
            <w:r>
              <w:rPr>
                <w:rFonts w:ascii="Calibri" w:hAnsi="Calibri"/>
                <w:b/>
                <w:color w:val="FFFFFF"/>
                <w:sz w:val="19"/>
              </w:rPr>
              <w:t>Units Sold</w:t>
            </w:r>
          </w:p>
        </w:tc>
        <w:tc>
          <w:tcPr>
            <w:tcW w:type="dxa" w:w="1337"/>
            <w:shd w:fill="0F62FE"/>
            <w:tcMar>
              <w:top w:w="120" w:type="dxa"/>
              <w:bottom w:w="120" w:type="dxa"/>
              <w:left w:w="160" w:type="dxa"/>
              <w:right w:w="160" w:type="dxa"/>
            </w:tcMar>
          </w:tcPr>
          <w:p>
            <w:pPr>
              <w:jc w:val="center"/>
            </w:pPr>
            <w:r>
              <w:rPr>
                <w:rFonts w:ascii="Calibri" w:hAnsi="Calibri"/>
                <w:b/>
                <w:color w:val="FFFFFF"/>
                <w:sz w:val="19"/>
              </w:rPr>
              <w:t>Total Revenue (₹)</w:t>
            </w:r>
          </w:p>
        </w:tc>
        <w:tc>
          <w:tcPr>
            <w:tcW w:type="dxa" w:w="1337"/>
            <w:shd w:fill="0F62FE"/>
            <w:tcMar>
              <w:top w:w="120" w:type="dxa"/>
              <w:bottom w:w="120" w:type="dxa"/>
              <w:left w:w="160" w:type="dxa"/>
              <w:right w:w="160" w:type="dxa"/>
            </w:tcMar>
          </w:tcPr>
          <w:p>
            <w:pPr>
              <w:jc w:val="center"/>
            </w:pPr>
            <w:r>
              <w:rPr>
                <w:rFonts w:ascii="Calibri" w:hAnsi="Calibri"/>
                <w:b/>
                <w:color w:val="FFFFFF"/>
                <w:sz w:val="19"/>
              </w:rPr>
              <w:t>Avg Ticket (₹)</w:t>
            </w:r>
          </w:p>
        </w:tc>
        <w:tc>
          <w:tcPr>
            <w:tcW w:type="dxa" w:w="1337"/>
            <w:shd w:fill="0F62FE"/>
            <w:tcMar>
              <w:top w:w="120" w:type="dxa"/>
              <w:bottom w:w="120" w:type="dxa"/>
              <w:left w:w="160" w:type="dxa"/>
              <w:right w:w="160" w:type="dxa"/>
            </w:tcMar>
          </w:tcPr>
          <w:p>
            <w:pPr>
              <w:jc w:val="center"/>
            </w:pPr>
            <w:r>
              <w:rPr>
                <w:rFonts w:ascii="Calibri" w:hAnsi="Calibri"/>
                <w:b/>
                <w:color w:val="FFFFFF"/>
                <w:sz w:val="19"/>
              </w:rPr>
              <w:t>Avg Rating</w:t>
            </w:r>
          </w:p>
        </w:tc>
        <w:tc>
          <w:tcPr>
            <w:tcW w:type="dxa" w:w="1337"/>
            <w:shd w:fill="0F62FE"/>
            <w:tcMar>
              <w:top w:w="120" w:type="dxa"/>
              <w:bottom w:w="120" w:type="dxa"/>
              <w:left w:w="160" w:type="dxa"/>
              <w:right w:w="160" w:type="dxa"/>
            </w:tcMar>
          </w:tcPr>
          <w:p>
            <w:pPr>
              <w:jc w:val="center"/>
            </w:pPr>
            <w:r>
              <w:rPr>
                <w:rFonts w:ascii="Calibri" w:hAnsi="Calibri"/>
                <w:b/>
                <w:color w:val="FFFFFF"/>
                <w:sz w:val="19"/>
              </w:rPr>
              <w:t>Revenue Share</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Beverages</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82</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465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₹56,108.24</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₹684.25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3.96★</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23.0%</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Personal Care</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73</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399</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₹45,943.96</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₹629.37</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3.95★</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18.8%</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Dairy</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68</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345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₹43,992.00</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₹646.94</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4.03★</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18.0%</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Grocery</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82</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439</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₹40,470.47</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₹493.54</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3.94★</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16.6%</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Fruits</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44</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223</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₹23,263.17</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₹528.71</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3.83★</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9.5%</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Snacks</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75</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443</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₹16,992.97</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₹226.57</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4.11★</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7.0%</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Vegetables</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48</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290</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₹11,124.17</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₹231.75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3.99★</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4.6%</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Bakery</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28</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164</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₹6,516.10</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₹232.72</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4.24★</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2.7%</w:t>
            </w:r>
          </w:p>
        </w:tc>
      </w:tr>
    </w:tbl>
    <w:p/>
    <w:p>
      <w:pPr>
        <w:pStyle w:val="Heading2"/>
      </w:pPr>
      <w:r>
        <w:rPr>
          <w:rFonts w:ascii="Calibri" w:hAnsi="Calibri"/>
          <w:b/>
          <w:color w:val="002D9C"/>
          <w:sz w:val="26"/>
        </w:rPr>
        <w:t>4.2 Regional &amp; Branch Benchmarking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62FE"/>
            <w:tcMar>
              <w:top w:w="120" w:type="dxa"/>
              <w:bottom w:w="120" w:type="dxa"/>
              <w:left w:w="160" w:type="dxa"/>
              <w:right w:w="160" w:type="dxa"/>
            </w:tcMar>
          </w:tcPr>
          <w:p>
            <w:pPr>
              <w:jc w:val="center"/>
            </w:pPr>
            <w:r>
              <w:rPr>
                <w:rFonts w:ascii="Calibri" w:hAnsi="Calibri"/>
                <w:b/>
                <w:color w:val="FFFFFF"/>
                <w:sz w:val="19"/>
              </w:rPr>
              <w:t>Branch ID</w:t>
            </w:r>
          </w:p>
        </w:tc>
        <w:tc>
          <w:tcPr>
            <w:tcW w:type="dxa" w:w="1337"/>
            <w:shd w:fill="0F62FE"/>
            <w:tcMar>
              <w:top w:w="120" w:type="dxa"/>
              <w:bottom w:w="120" w:type="dxa"/>
              <w:left w:w="160" w:type="dxa"/>
              <w:right w:w="160" w:type="dxa"/>
            </w:tcMar>
          </w:tcPr>
          <w:p>
            <w:pPr>
              <w:jc w:val="center"/>
            </w:pPr>
            <w:r>
              <w:rPr>
                <w:rFonts w:ascii="Calibri" w:hAnsi="Calibri"/>
                <w:b/>
                <w:color w:val="FFFFFF"/>
                <w:sz w:val="19"/>
              </w:rPr>
              <w:t>City</w:t>
            </w:r>
          </w:p>
        </w:tc>
        <w:tc>
          <w:tcPr>
            <w:tcW w:type="dxa" w:w="1337"/>
            <w:shd w:fill="0F62FE"/>
            <w:tcMar>
              <w:top w:w="120" w:type="dxa"/>
              <w:bottom w:w="120" w:type="dxa"/>
              <w:left w:w="160" w:type="dxa"/>
              <w:right w:w="160" w:type="dxa"/>
            </w:tcMar>
          </w:tcPr>
          <w:p>
            <w:pPr>
              <w:jc w:val="center"/>
            </w:pPr>
            <w:r>
              <w:rPr>
                <w:rFonts w:ascii="Calibri" w:hAnsi="Calibri"/>
                <w:b/>
                <w:color w:val="FFFFFF"/>
                <w:sz w:val="19"/>
              </w:rPr>
              <w:t>Transactions</w:t>
            </w:r>
          </w:p>
        </w:tc>
        <w:tc>
          <w:tcPr>
            <w:tcW w:type="dxa" w:w="1337"/>
            <w:shd w:fill="0F62FE"/>
            <w:tcMar>
              <w:top w:w="120" w:type="dxa"/>
              <w:bottom w:w="120" w:type="dxa"/>
              <w:left w:w="160" w:type="dxa"/>
              <w:right w:w="160" w:type="dxa"/>
            </w:tcMar>
          </w:tcPr>
          <w:p>
            <w:pPr>
              <w:jc w:val="center"/>
            </w:pPr>
            <w:r>
              <w:rPr>
                <w:rFonts w:ascii="Calibri" w:hAnsi="Calibri"/>
                <w:b/>
                <w:color w:val="FFFFFF"/>
                <w:sz w:val="19"/>
              </w:rPr>
              <w:t>Units Sold</w:t>
            </w:r>
          </w:p>
        </w:tc>
        <w:tc>
          <w:tcPr>
            <w:tcW w:type="dxa" w:w="1337"/>
            <w:shd w:fill="0F62FE"/>
            <w:tcMar>
              <w:top w:w="120" w:type="dxa"/>
              <w:bottom w:w="120" w:type="dxa"/>
              <w:left w:w="160" w:type="dxa"/>
              <w:right w:w="160" w:type="dxa"/>
            </w:tcMar>
          </w:tcPr>
          <w:p>
            <w:pPr>
              <w:jc w:val="center"/>
            </w:pPr>
            <w:r>
              <w:rPr>
                <w:rFonts w:ascii="Calibri" w:hAnsi="Calibri"/>
                <w:b/>
                <w:color w:val="FFFFFF"/>
                <w:sz w:val="19"/>
              </w:rPr>
              <w:t>Total Revenue (₹)</w:t>
            </w:r>
          </w:p>
        </w:tc>
        <w:tc>
          <w:tcPr>
            <w:tcW w:type="dxa" w:w="1337"/>
            <w:shd w:fill="0F62FE"/>
            <w:tcMar>
              <w:top w:w="120" w:type="dxa"/>
              <w:bottom w:w="120" w:type="dxa"/>
              <w:left w:w="160" w:type="dxa"/>
              <w:right w:w="160" w:type="dxa"/>
            </w:tcMar>
          </w:tcPr>
          <w:p>
            <w:pPr>
              <w:jc w:val="center"/>
            </w:pPr>
            <w:r>
              <w:rPr>
                <w:rFonts w:ascii="Calibri" w:hAnsi="Calibri"/>
                <w:b/>
                <w:color w:val="FFFFFF"/>
                <w:sz w:val="19"/>
              </w:rPr>
              <w:t>Avg Rating</w:t>
            </w:r>
          </w:p>
        </w:tc>
        <w:tc>
          <w:tcPr>
            <w:tcW w:type="dxa" w:w="1337"/>
            <w:shd w:fill="0F62FE"/>
            <w:tcMar>
              <w:top w:w="120" w:type="dxa"/>
              <w:bottom w:w="120" w:type="dxa"/>
              <w:left w:w="160" w:type="dxa"/>
              <w:right w:w="160" w:type="dxa"/>
            </w:tcMar>
          </w:tcPr>
          <w:p>
            <w:pPr>
              <w:jc w:val="center"/>
            </w:pPr>
            <w:r>
              <w:rPr>
                <w:rFonts w:ascii="Calibri" w:hAnsi="Calibri"/>
                <w:b/>
                <w:color w:val="FFFFFF"/>
                <w:sz w:val="19"/>
              </w:rPr>
              <w:t>Market Share</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Branch C</w:t>
            </w:r>
          </w:p>
        </w:tc>
        <w:tc>
          <w:tcPr>
            <w:tcW w:type="dxa" w:w="1337"/>
            <w:shd w:fill="F8FAFC"/>
            <w:tcMar>
              <w:top w:w="120" w:type="dxa"/>
              <w:bottom w:w="120" w:type="dxa"/>
              <w:left w:w="160" w:type="dxa"/>
              <w:right w:w="160" w:type="dxa"/>
            </w:tcMar>
          </w:tcPr>
          <w:p>
            <w:pPr>
              <w:jc w:val="left"/>
            </w:pPr>
            <w:r>
              <w:rPr>
                <w:rFonts w:ascii="Calibri" w:hAnsi="Calibri"/>
                <w:b w:val="0"/>
                <w:color w:val="161616"/>
                <w:sz w:val="18"/>
              </w:rPr>
              <w:t>Mumbai</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143</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788</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₹72,469.45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4.05★</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29.6%</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Branch B</w:t>
            </w:r>
          </w:p>
        </w:tc>
        <w:tc>
          <w:tcPr>
            <w:tcW w:type="dxa" w:w="1337"/>
            <w:shd w:fill="FFFFFF"/>
            <w:tcMar>
              <w:top w:w="120" w:type="dxa"/>
              <w:bottom w:w="120" w:type="dxa"/>
              <w:left w:w="160" w:type="dxa"/>
              <w:right w:w="160" w:type="dxa"/>
            </w:tcMar>
          </w:tcPr>
          <w:p>
            <w:pPr>
              <w:jc w:val="left"/>
            </w:pPr>
            <w:r>
              <w:rPr>
                <w:rFonts w:ascii="Calibri" w:hAnsi="Calibri"/>
                <w:b w:val="0"/>
                <w:color w:val="161616"/>
                <w:sz w:val="18"/>
              </w:rPr>
              <w:t>Delhi</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133</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741</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₹64,116.26</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3.98★</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26.2%</w:t>
            </w:r>
          </w:p>
        </w:tc>
      </w:tr>
      <w:tr>
        <w:tc>
          <w:tcPr>
            <w:tcW w:type="dxa" w:w="1337"/>
            <w:shd w:fill="F8FAFC"/>
            <w:tcMar>
              <w:top w:w="120" w:type="dxa"/>
              <w:bottom w:w="120" w:type="dxa"/>
              <w:left w:w="160" w:type="dxa"/>
              <w:right w:w="160" w:type="dxa"/>
            </w:tcMar>
          </w:tcPr>
          <w:p>
            <w:pPr>
              <w:jc w:val="left"/>
            </w:pPr>
            <w:r>
              <w:rPr>
                <w:rFonts w:ascii="Calibri" w:hAnsi="Calibri"/>
                <w:b w:val="0"/>
                <w:color w:val="161616"/>
                <w:sz w:val="18"/>
              </w:rPr>
              <w:t>Branch D</w:t>
            </w:r>
          </w:p>
        </w:tc>
        <w:tc>
          <w:tcPr>
            <w:tcW w:type="dxa" w:w="1337"/>
            <w:shd w:fill="F8FAFC"/>
            <w:tcMar>
              <w:top w:w="120" w:type="dxa"/>
              <w:bottom w:w="120" w:type="dxa"/>
              <w:left w:w="160" w:type="dxa"/>
              <w:right w:w="160" w:type="dxa"/>
            </w:tcMar>
          </w:tcPr>
          <w:p>
            <w:pPr>
              <w:jc w:val="left"/>
            </w:pPr>
            <w:r>
              <w:rPr>
                <w:rFonts w:ascii="Calibri" w:hAnsi="Calibri"/>
                <w:b w:val="0"/>
                <w:color w:val="161616"/>
                <w:sz w:val="18"/>
              </w:rPr>
              <w:t>Bengaluru</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119</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674</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₹55,468.29</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4.09★</w:t>
            </w:r>
          </w:p>
        </w:tc>
        <w:tc>
          <w:tcPr>
            <w:tcW w:type="dxa" w:w="1337"/>
            <w:shd w:fill="F8FAFC"/>
            <w:tcMar>
              <w:top w:w="120" w:type="dxa"/>
              <w:bottom w:w="120" w:type="dxa"/>
              <w:left w:w="160" w:type="dxa"/>
              <w:right w:w="160" w:type="dxa"/>
            </w:tcMar>
          </w:tcPr>
          <w:p>
            <w:pPr>
              <w:jc w:val="right"/>
            </w:pPr>
            <w:r>
              <w:rPr>
                <w:rFonts w:ascii="Calibri" w:hAnsi="Calibri"/>
                <w:b w:val="0"/>
                <w:color w:val="161616"/>
                <w:sz w:val="18"/>
              </w:rPr>
              <w:t>22.7%</w:t>
            </w:r>
          </w:p>
        </w:tc>
      </w:tr>
      <w:tr>
        <w:tc>
          <w:tcPr>
            <w:tcW w:type="dxa" w:w="1337"/>
            <w:shd w:fill="FFFFFF"/>
            <w:tcMar>
              <w:top w:w="120" w:type="dxa"/>
              <w:bottom w:w="120" w:type="dxa"/>
              <w:left w:w="160" w:type="dxa"/>
              <w:right w:w="160" w:type="dxa"/>
            </w:tcMar>
          </w:tcPr>
          <w:p>
            <w:pPr>
              <w:jc w:val="left"/>
            </w:pPr>
            <w:r>
              <w:rPr>
                <w:rFonts w:ascii="Calibri" w:hAnsi="Calibri"/>
                <w:b w:val="0"/>
                <w:color w:val="161616"/>
                <w:sz w:val="18"/>
              </w:rPr>
              <w:t>Branch A</w:t>
            </w:r>
          </w:p>
        </w:tc>
        <w:tc>
          <w:tcPr>
            <w:tcW w:type="dxa" w:w="1337"/>
            <w:shd w:fill="FFFFFF"/>
            <w:tcMar>
              <w:top w:w="120" w:type="dxa"/>
              <w:bottom w:w="120" w:type="dxa"/>
              <w:left w:w="160" w:type="dxa"/>
              <w:right w:w="160" w:type="dxa"/>
            </w:tcMar>
          </w:tcPr>
          <w:p>
            <w:pPr>
              <w:jc w:val="left"/>
            </w:pPr>
            <w:r>
              <w:rPr>
                <w:rFonts w:ascii="Calibri" w:hAnsi="Calibri"/>
                <w:b w:val="0"/>
                <w:color w:val="161616"/>
                <w:sz w:val="18"/>
              </w:rPr>
              <w:t>Jaipur</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105</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565</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₹52,357.08</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3.84★</w:t>
            </w:r>
          </w:p>
        </w:tc>
        <w:tc>
          <w:tcPr>
            <w:tcW w:type="dxa" w:w="1337"/>
            <w:shd w:fill="FFFFFF"/>
            <w:tcMar>
              <w:top w:w="120" w:type="dxa"/>
              <w:bottom w:w="120" w:type="dxa"/>
              <w:left w:w="160" w:type="dxa"/>
              <w:right w:w="160" w:type="dxa"/>
            </w:tcMar>
          </w:tcPr>
          <w:p>
            <w:pPr>
              <w:jc w:val="right"/>
            </w:pPr>
            <w:r>
              <w:rPr>
                <w:rFonts w:ascii="Calibri" w:hAnsi="Calibri"/>
                <w:b w:val="0"/>
                <w:color w:val="161616"/>
                <w:sz w:val="18"/>
              </w:rPr>
              <w:t>21.4%</w:t>
            </w:r>
          </w:p>
        </w:tc>
      </w:tr>
    </w:tbl>
    <w:p/>
    <w:p>
      <w:pPr>
        <w:pStyle w:val="Heading2"/>
      </w:pPr>
      <w:r>
        <w:rPr>
          <w:rFonts w:ascii="Calibri" w:hAnsi="Calibri"/>
          <w:b/>
          <w:color w:val="002D9C"/>
          <w:sz w:val="26"/>
        </w:rPr>
        <w:t>4.3 Customer Segmentation &amp; Payment Analytics</w:t>
      </w:r>
    </w:p>
    <w:p>
      <w:r>
        <w:t>• Customer Type: Members generate ₹143,009.30 (58.5% of total sales across 296 orders). Normal shoppers generate ₹101,401.78 (41.5% across 204 orders). Notably, Normal shoppers exhibit a higher average ticket size (₹497.07 vs. ₹483.14 for members), making them prime targets for loyalty conversions.</w:t>
        <w:br/>
        <w:t>• Payment Methods: Cashless channels dominate retail transactions (77.9% of total revenue). UPI leads with 27.8% (₹67.9K), Net Banking accounts for 26.7% (₹65.2K), Cards capture 23.4% (₹57.3K), and Cash comprises 22.1% (₹54.0K).</w:t>
      </w:r>
    </w:p>
    <w:p>
      <w:pPr>
        <w:pStyle w:val="Heading1"/>
      </w:pPr>
      <w:r>
        <w:rPr>
          <w:rFonts w:ascii="Calibri" w:hAnsi="Calibri"/>
          <w:b/>
          <w:color w:val="0F62FE"/>
          <w:sz w:val="32"/>
        </w:rPr>
        <w:t>5. Strategic Business Decisions &amp; Recommendations</w:t>
      </w:r>
    </w:p>
    <w:p>
      <w:r>
        <w:rPr>
          <w:b/>
          <w:color w:val="002D9C"/>
          <w:sz w:val="22"/>
        </w:rPr>
        <w:t>• 1. Cross-Selling Combo Deals (Impulse Basket Growth)</w:t>
      </w:r>
    </w:p>
    <w:p>
      <w:pPr>
        <w:ind w:left="360"/>
      </w:pPr>
      <w:r>
        <w:rPr>
          <w:sz w:val="19"/>
        </w:rPr>
        <w:t>Empirical Finding: Beverages and Personal Care deliver high average spend (&gt;₹620/order), whereas Snacks has high transaction volume (75 invoices) but low ticket size (₹226.57).</w:t>
        <w:br/>
      </w:r>
      <w:r>
        <w:rPr>
          <w:b/>
          <w:color w:val="0F62FE"/>
          <w:sz w:val="19"/>
        </w:rPr>
        <w:t>🎯 Executive Action Plan: Deploy snack displays directly beside beverage chillers. Introduce combo bundle discounts ('Buy Tea/Coffee + Get Chips/Biscuits at 15% discount') to increase average transaction values.</w:t>
      </w:r>
    </w:p>
    <w:p>
      <w:r>
        <w:rPr>
          <w:b/>
          <w:color w:val="002D9C"/>
          <w:sz w:val="22"/>
        </w:rPr>
        <w:t>• 2. Regional Branch Benchmarking (Jaipur Turnaround Strategy)</w:t>
      </w:r>
    </w:p>
    <w:p>
      <w:pPr>
        <w:ind w:left="360"/>
      </w:pPr>
      <w:r>
        <w:rPr>
          <w:sz w:val="19"/>
        </w:rPr>
        <w:t>Empirical Finding: Jaipur (Branch A) ranks lowest across the chain in revenue (₹52.4K vs. Mumbai's ₹72.5K) and has the lowest customer satisfaction rating (3.84★ vs. Mumbai's 4.05★).</w:t>
        <w:br/>
      </w:r>
      <w:r>
        <w:rPr>
          <w:b/>
          <w:color w:val="0F62FE"/>
          <w:sz w:val="19"/>
        </w:rPr>
        <w:t>🎯 Executive Action Plan: Conduct staff customer-service workshops in Jaipur. Replicate Mumbai's high-performing visual merchandising layout and align Jaipur inventory with top-selling Dairy and Beverage products.</w:t>
      </w:r>
    </w:p>
    <w:p>
      <w:r>
        <w:rPr>
          <w:b/>
          <w:color w:val="002D9C"/>
          <w:sz w:val="22"/>
        </w:rPr>
        <w:t>• 3. High-Value Non-Member Loyalty Enrollment</w:t>
      </w:r>
    </w:p>
    <w:p>
      <w:pPr>
        <w:ind w:left="360"/>
      </w:pPr>
      <w:r>
        <w:rPr>
          <w:sz w:val="19"/>
        </w:rPr>
        <w:t>Empirical Finding: Normal non-members spend ₹497.07 per visit on average (higher than registered members at ₹483.14) but represent only 40.8% of visits.</w:t>
        <w:br/>
      </w:r>
      <w:r>
        <w:rPr>
          <w:b/>
          <w:color w:val="0F62FE"/>
          <w:sz w:val="19"/>
        </w:rPr>
        <w:t>🎯 Executive Action Plan: Incentivize cashier staff to enroll normal shoppers into the membership program at checkout by offering an instant 5% welcome credit on their next purchase.</w:t>
      </w:r>
    </w:p>
    <w:p>
      <w:r>
        <w:rPr>
          <w:b/>
          <w:color w:val="002D9C"/>
          <w:sz w:val="22"/>
        </w:rPr>
        <w:t>• 4. Digital Checkout Lane Acceleration</w:t>
      </w:r>
    </w:p>
    <w:p>
      <w:pPr>
        <w:ind w:left="360"/>
      </w:pPr>
      <w:r>
        <w:rPr>
          <w:sz w:val="19"/>
        </w:rPr>
        <w:t>Empirical Finding: Digital settlement methods (UPI, Net Banking, and Cards) capture 77.9% of total store revenue, with UPI holding the largest share (27.8%).</w:t>
        <w:br/>
      </w:r>
      <w:r>
        <w:rPr>
          <w:b/>
          <w:color w:val="0F62FE"/>
          <w:sz w:val="19"/>
        </w:rPr>
        <w:t>🎯 Executive Action Plan: Upgrade point-of-sale QR code hardware and introduce dedicated quick-pay self-checkout lanes to eliminate queue friction during peak weekend shopping hours.</w:t>
      </w:r>
    </w:p>
    <w:p>
      <w:pPr>
        <w:pStyle w:val="Heading1"/>
      </w:pPr>
      <w:r>
        <w:rPr>
          <w:rFonts w:ascii="Calibri" w:hAnsi="Calibri"/>
          <w:b/>
          <w:color w:val="0F62FE"/>
          <w:sz w:val="32"/>
        </w:rPr>
        <w:t>6. Conclusion</w:t>
      </w:r>
    </w:p>
    <w:p>
      <w:r>
        <w:t>This project demonstrates the complete data analytics lifecycle: ingesting raw supermarket transaction data, auditing quality, re-calculating financial metrics, visualizing multidimensional patterns via interactive dashboards, and generating actionable executive strategies. Implementing these 4 business decisions provides a clear roadmap to optimize store operations, elevate customer satisfaction, and accelerate retail revenue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