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E4057"/>
          <w:sz w:val="44"/>
          <w:szCs w:val="44"/>
        </w:rPr>
        <w:t xml:space="preserve">LSTM-Boost: Input-Conditioned Confidence Gating</w:t>
      </w:r>
    </w:p>
    <w:p>
      <w:pPr>
        <w:spacing w:after="80" w:before="0"/>
        <w:jc w:val="center"/>
      </w:pPr>
      <w:r>
        <w:rPr>
          <w:rFonts w:ascii="Arial" w:cs="Arial" w:eastAsia="Arial" w:hAnsi="Arial"/>
          <w:b/>
          <w:bCs/>
          <w:color w:val="2E4057"/>
          <w:sz w:val="44"/>
          <w:szCs w:val="44"/>
        </w:rPr>
        <w:t xml:space="preserve">for Improved Sequence Modelling</w:t>
      </w:r>
    </w:p>
    <w:p>
      <w:pPr>
        <w:spacing w:after="80" w:before="160"/>
        <w:jc w:val="center"/>
      </w:pPr>
      <w:r>
        <w:rPr>
          <w:rFonts w:ascii="Arial" w:cs="Arial" w:eastAsia="Arial" w:hAnsi="Arial"/>
          <w:i/>
          <w:iCs/>
          <w:color w:val="555555"/>
          <w:sz w:val="22"/>
          <w:szCs w:val="22"/>
        </w:rPr>
        <w:t xml:space="preserve">A Research Study in Novel LSTM Architectures</w:t>
      </w:r>
    </w:p>
    <w:p>
      <w:pPr>
        <w:spacing w:after="400" w:before="80"/>
        <w:jc w:val="center"/>
      </w:pPr>
      <w:r>
        <w:rPr>
          <w:rFonts w:ascii="Arial" w:cs="Arial" w:eastAsia="Arial" w:hAnsi="Arial"/>
          <w:color w:val="555555"/>
          <w:sz w:val="22"/>
          <w:szCs w:val="22"/>
        </w:rPr>
        <w:t xml:space="preserve">2026</w:t>
      </w:r>
    </w:p>
    <w:p>
      <w:pPr>
        <w:pBdr>
          <w:bottom w:val="single" w:color="2E4057" w:sz="6" w:space="1"/>
        </w:pBdr>
        <w:spacing w:after="160" w:before="160"/>
      </w:pPr>
    </w:p>
    <w:p>
      <w:pPr>
        <w:pStyle w:val="Heading1"/>
        <w:spacing w:after="160" w:before="300"/>
      </w:pPr>
      <w:r>
        <w:rPr>
          <w:rFonts w:ascii="Arial" w:cs="Arial" w:eastAsia="Arial" w:hAnsi="Arial"/>
          <w:b/>
          <w:bCs/>
          <w:color w:val="2E4057"/>
          <w:sz w:val="28"/>
          <w:szCs w:val="28"/>
        </w:rPr>
        <w:t xml:space="preserve">Abstract</w:t>
      </w:r>
    </w:p>
    <w:p>
      <w:pPr>
        <w:spacing w:after="160" w:before="0" w:line="320"/>
        <w:ind/>
        <w:jc w:val="both"/>
      </w:pPr>
      <w:r>
        <w:rPr>
          <w:rFonts w:ascii="Arial" w:cs="Arial" w:eastAsia="Arial" w:hAnsi="Arial"/>
          <w:b w:val="false"/>
          <w:bCs w:val="false"/>
          <w:i w:val="false"/>
          <w:iCs w:val="false"/>
          <w:color w:val="000000"/>
          <w:sz w:val="22"/>
          <w:szCs w:val="22"/>
        </w:rPr>
        <w:t xml:space="preserve">We propose LSTM-Boost, a lightweight architectural extension of the Long Short-Term Memory (LSTM) network that augments the standard recurrent update with an input-conditioned confidence gate and a learned boost vector. At each timestep, a confidence scalar is derived from the concatenation of the current input token, hidden state, and cell state, while a boost vector is computed directly from the input embedding. The hidden state is then updated as h ← h + σ([x, h, c] · W_conf) · tanh(W_boost · x_t), providing a token-aware residual that complements the standard LSTM gate outputs. We evaluate LSTM-Boost against a vanilla LSTM baseline on a character-level language modelling task using a subset of the Tiny Shakespeare corpus. LSTM-Boost achieves a final training loss of 0.0418 compared to the baseline’s 0.0830, representing a 49.6% reduction. Qualitative evaluation of generated text demonstrates substantially improved coherence, grammatical structure, and stylistic fidelity. Ablation experiments confirm that input-conditioned boosting is critical to performance: a hidden-state-conditioned variant and an inverted gate variant both perform worse than the vanilla baseline. These results suggest that input-conditioned confidence gating is a promising and computationally inexpensive enhancement to recurrent architectures.</w:t>
      </w:r>
    </w:p>
    <w:p>
      <w:pPr>
        <w:pBdr>
          <w:bottom w:val="single" w:color="2E4057" w:sz="6" w:space="1"/>
        </w:pBdr>
        <w:spacing w:after="160" w:before="160"/>
      </w:pPr>
    </w:p>
    <w:p>
      <w:pPr>
        <w:pStyle w:val="Heading1"/>
        <w:spacing w:after="160" w:before="300"/>
      </w:pPr>
      <w:r>
        <w:rPr>
          <w:rFonts w:ascii="Arial" w:cs="Arial" w:eastAsia="Arial" w:hAnsi="Arial"/>
          <w:b/>
          <w:bCs/>
          <w:color w:val="2E4057"/>
          <w:sz w:val="28"/>
          <w:szCs w:val="28"/>
        </w:rPr>
        <w:t xml:space="preserve">1. Introduction</w:t>
      </w:r>
    </w:p>
    <w:p>
      <w:pPr>
        <w:spacing w:after="160" w:before="0" w:line="320"/>
        <w:ind w:firstLine="720"/>
        <w:jc w:val="both"/>
      </w:pPr>
      <w:r>
        <w:rPr>
          <w:rFonts w:ascii="Arial" w:cs="Arial" w:eastAsia="Arial" w:hAnsi="Arial"/>
          <w:b w:val="false"/>
          <w:bCs w:val="false"/>
          <w:i w:val="false"/>
          <w:iCs w:val="false"/>
          <w:color w:val="000000"/>
          <w:sz w:val="22"/>
          <w:szCs w:val="22"/>
        </w:rPr>
        <w:t xml:space="preserve">Long Short-Term Memory networks (Hochreiter &amp; Schmidhuber, 1997) remain a widely used class of recurrent neural networks for sequence modelling tasks including language modelling, time-series prediction, and machine translation. Despite the rise of attention-based architectures such as the Transformer (Vaswani et al., 2017), LSTMs retain practical advantages in settings where computational resources are constrained, sequence lengths are moderate, or interpretability of recurrent dynamics is desired.</w:t>
      </w:r>
    </w:p>
    <w:p>
      <w:pPr>
        <w:spacing w:after="160" w:before="0" w:line="320"/>
        <w:ind w:firstLine="720"/>
        <w:jc w:val="both"/>
      </w:pPr>
      <w:r>
        <w:rPr>
          <w:rFonts w:ascii="Arial" w:cs="Arial" w:eastAsia="Arial" w:hAnsi="Arial"/>
          <w:b w:val="false"/>
          <w:bCs w:val="false"/>
          <w:i w:val="false"/>
          <w:iCs w:val="false"/>
          <w:color w:val="000000"/>
          <w:sz w:val="22"/>
          <w:szCs w:val="22"/>
        </w:rPr>
        <w:t xml:space="preserve">A known limitation of the standard LSTM formulation is that the hidden state update is mediated entirely through the forget, input, gate, and output activations, which are all computed from the same linear combination of h_{t-1} and x_t. This creates a bottleneck: the model must simultaneously encode what to forget, what to write, what to modulate, and what to expose to downstream layers, all within a fixed-dimensional hidden vector.</w:t>
      </w:r>
    </w:p>
    <w:p>
      <w:pPr>
        <w:spacing w:after="160" w:before="0" w:line="320"/>
        <w:ind w:firstLine="720"/>
        <w:jc w:val="both"/>
      </w:pPr>
      <w:r>
        <w:rPr>
          <w:rFonts w:ascii="Arial" w:cs="Arial" w:eastAsia="Arial" w:hAnsi="Arial"/>
          <w:b w:val="false"/>
          <w:bCs w:val="false"/>
          <w:i w:val="false"/>
          <w:iCs w:val="false"/>
          <w:color w:val="000000"/>
          <w:sz w:val="22"/>
          <w:szCs w:val="22"/>
        </w:rPr>
        <w:t xml:space="preserve">We hypothesise that adding a learned, gated residual connection directly on the hidden state — conditioned on the current input token rather than the existing hidden state — can provide the model with a complementary update pathway. The key insight is that token identity is highly predictive of the type of update required: upon encountering a character’s name, a verb, or a punctuation mark, the model can benefit from a token-specific boost to the hidden state that is orthogonal to the information already processed by the standard gates.</w:t>
      </w:r>
    </w:p>
    <w:p>
      <w:pPr>
        <w:spacing w:after="80" w:before="0" w:line="320"/>
        <w:ind/>
        <w:jc w:val="both"/>
      </w:pPr>
      <w:r>
        <w:rPr>
          <w:rFonts w:ascii="Arial" w:cs="Arial" w:eastAsia="Arial" w:hAnsi="Arial"/>
          <w:b w:val="false"/>
          <w:bCs w:val="false"/>
          <w:i w:val="false"/>
          <w:iCs w:val="false"/>
          <w:color w:val="000000"/>
          <w:sz w:val="22"/>
          <w:szCs w:val="22"/>
        </w:rPr>
        <w:t xml:space="preserve">In this paper we make the following contributions:</w:t>
      </w:r>
    </w:p>
    <w:p>
      <w:pPr>
        <w:pStyle w:val="ListParagraph"/>
        <w:numPr>
          <w:ilvl w:val="0"/>
          <w:numId w:val="2"/>
        </w:numPr>
        <w:spacing w:after="40" w:before="40" w:line="300"/>
      </w:pPr>
      <w:r>
        <w:rPr>
          <w:rFonts w:ascii="Arial" w:cs="Arial" w:eastAsia="Arial" w:hAnsi="Arial"/>
          <w:b w:val="false"/>
          <w:bCs w:val="false"/>
          <w:sz w:val="22"/>
          <w:szCs w:val="22"/>
        </w:rPr>
        <w:t xml:space="preserve">We propose LSTM-Boost, an architectural extension of the LSTM cell with an input-conditioned confidence gate and boost vector.</w:t>
      </w:r>
    </w:p>
    <w:p>
      <w:pPr>
        <w:pStyle w:val="ListParagraph"/>
        <w:numPr>
          <w:ilvl w:val="0"/>
          <w:numId w:val="2"/>
        </w:numPr>
        <w:spacing w:after="40" w:before="40" w:line="300"/>
      </w:pPr>
      <w:r>
        <w:rPr>
          <w:rFonts w:ascii="Arial" w:cs="Arial" w:eastAsia="Arial" w:hAnsi="Arial"/>
          <w:b w:val="false"/>
          <w:bCs w:val="false"/>
          <w:sz w:val="22"/>
          <w:szCs w:val="22"/>
        </w:rPr>
        <w:t xml:space="preserve">We conduct ablation experiments comparing three variants: input-conditioned boost, hidden-state-conditioned boost, and an inverted confidence gate.</w:t>
      </w:r>
    </w:p>
    <w:p>
      <w:pPr>
        <w:pStyle w:val="ListParagraph"/>
        <w:numPr>
          <w:ilvl w:val="0"/>
          <w:numId w:val="2"/>
        </w:numPr>
        <w:spacing w:after="40" w:before="40" w:line="300"/>
      </w:pPr>
      <w:r>
        <w:rPr>
          <w:rFonts w:ascii="Arial" w:cs="Arial" w:eastAsia="Arial" w:hAnsi="Arial"/>
          <w:b w:val="false"/>
          <w:bCs w:val="false"/>
          <w:sz w:val="22"/>
          <w:szCs w:val="22"/>
        </w:rPr>
        <w:t xml:space="preserve">We demonstrate a 49.6% reduction in training loss and qualitatively superior text generation compared to a matched vanilla LSTM baseline.</w:t>
      </w:r>
    </w:p>
    <w:p>
      <w:pPr>
        <w:pStyle w:val="ListParagraph"/>
        <w:numPr>
          <w:ilvl w:val="0"/>
          <w:numId w:val="2"/>
        </w:numPr>
        <w:spacing w:after="40" w:before="40" w:line="300"/>
      </w:pPr>
      <w:r>
        <w:rPr>
          <w:rFonts w:ascii="Arial" w:cs="Arial" w:eastAsia="Arial" w:hAnsi="Arial"/>
          <w:b w:val="false"/>
          <w:bCs w:val="false"/>
          <w:sz w:val="22"/>
          <w:szCs w:val="22"/>
        </w:rPr>
        <w:t xml:space="preserve">We identify input-conditioning as the critical design choice, and provide mechanistic reasoning for why hidden-state-conditioned boosting fails to improve performance.</w:t>
      </w:r>
    </w:p>
    <w:p>
      <w:pPr>
        <w:pBdr>
          <w:bottom w:val="single" w:color="2E4057" w:sz="6" w:space="1"/>
        </w:pBdr>
        <w:spacing w:after="160" w:before="160"/>
      </w:pPr>
    </w:p>
    <w:p>
      <w:pPr>
        <w:pStyle w:val="Heading1"/>
        <w:spacing w:after="160" w:before="300"/>
      </w:pPr>
      <w:r>
        <w:rPr>
          <w:rFonts w:ascii="Arial" w:cs="Arial" w:eastAsia="Arial" w:hAnsi="Arial"/>
          <w:b/>
          <w:bCs/>
          <w:color w:val="2E4057"/>
          <w:sz w:val="28"/>
          <w:szCs w:val="28"/>
        </w:rPr>
        <w:t xml:space="preserve">2. Background and Related Work</w:t>
      </w:r>
    </w:p>
    <w:p>
      <w:pPr>
        <w:pStyle w:val="Heading2"/>
        <w:spacing w:after="120" w:before="200"/>
      </w:pPr>
      <w:r>
        <w:rPr>
          <w:rFonts w:ascii="Arial" w:cs="Arial" w:eastAsia="Arial" w:hAnsi="Arial"/>
          <w:b/>
          <w:bCs/>
          <w:color w:val="2E4057"/>
          <w:sz w:val="24"/>
          <w:szCs w:val="24"/>
        </w:rPr>
        <w:t xml:space="preserve">2.1 Standard LSTM Formulation</w:t>
      </w:r>
    </w:p>
    <w:p>
      <w:pPr>
        <w:spacing w:after="80" w:before="0" w:line="320"/>
        <w:ind/>
        <w:jc w:val="both"/>
      </w:pPr>
      <w:r>
        <w:rPr>
          <w:rFonts w:ascii="Arial" w:cs="Arial" w:eastAsia="Arial" w:hAnsi="Arial"/>
          <w:b w:val="false"/>
          <w:bCs w:val="false"/>
          <w:i w:val="false"/>
          <w:iCs w:val="false"/>
          <w:color w:val="000000"/>
          <w:sz w:val="22"/>
          <w:szCs w:val="22"/>
        </w:rPr>
        <w:t xml:space="preserve">The standard LSTM cell computes, at each timestep t:</w:t>
      </w:r>
    </w:p>
    <w:p>
      <w:pPr>
        <w:spacing w:after="80" w:before="80" w:line="280"/>
        <w:ind w:left="720"/>
        <w:jc w:val="left"/>
      </w:pPr>
      <w:r>
        <w:rPr>
          <w:rFonts w:ascii="Courier New" w:cs="Courier New" w:eastAsia="Courier New" w:hAnsi="Courier New"/>
          <w:color w:val="1a1a2e"/>
          <w:sz w:val="18"/>
          <w:szCs w:val="18"/>
        </w:rPr>
        <w:t xml:space="preserve">f_t = σ(W_f · [h_{t-1}, x_t] + b_f)</w:t>
      </w:r>
    </w:p>
    <w:p>
      <w:pPr>
        <w:spacing w:after="80" w:before="80" w:line="280"/>
        <w:ind w:left="720"/>
        <w:jc w:val="left"/>
      </w:pPr>
      <w:r>
        <w:rPr>
          <w:rFonts w:ascii="Courier New" w:cs="Courier New" w:eastAsia="Courier New" w:hAnsi="Courier New"/>
          <w:color w:val="1a1a2e"/>
          <w:sz w:val="18"/>
          <w:szCs w:val="18"/>
        </w:rPr>
        <w:t xml:space="preserve">i_t = σ(W_i · [h_{t-1}, x_t] + b_i)</w:t>
      </w:r>
    </w:p>
    <w:p>
      <w:pPr>
        <w:spacing w:after="80" w:before="80" w:line="280"/>
        <w:ind w:left="720"/>
        <w:jc w:val="left"/>
      </w:pPr>
      <w:r>
        <w:rPr>
          <w:rFonts w:ascii="Courier New" w:cs="Courier New" w:eastAsia="Courier New" w:hAnsi="Courier New"/>
          <w:color w:val="1a1a2e"/>
          <w:sz w:val="18"/>
          <w:szCs w:val="18"/>
        </w:rPr>
        <w:t xml:space="preserve">g_t = tanh(W_g · [h_{t-1}, x_t] + b_g)</w:t>
      </w:r>
    </w:p>
    <w:p>
      <w:pPr>
        <w:spacing w:after="80" w:before="80" w:line="280"/>
        <w:ind w:left="720"/>
        <w:jc w:val="left"/>
      </w:pPr>
      <w:r>
        <w:rPr>
          <w:rFonts w:ascii="Courier New" w:cs="Courier New" w:eastAsia="Courier New" w:hAnsi="Courier New"/>
          <w:color w:val="1a1a2e"/>
          <w:sz w:val="18"/>
          <w:szCs w:val="18"/>
        </w:rPr>
        <w:t xml:space="preserve">o_t = σ(W_o · [h_{t-1}, x_t] + b_o)</w:t>
      </w:r>
    </w:p>
    <w:p>
      <w:pPr>
        <w:spacing w:after="80" w:before="80" w:line="280"/>
        <w:ind w:left="720"/>
        <w:jc w:val="left"/>
      </w:pPr>
      <w:r>
        <w:rPr>
          <w:rFonts w:ascii="Courier New" w:cs="Courier New" w:eastAsia="Courier New" w:hAnsi="Courier New"/>
          <w:color w:val="1a1a2e"/>
          <w:sz w:val="18"/>
          <w:szCs w:val="18"/>
        </w:rPr>
        <w:t xml:space="preserve">c_t = f_t ⊙ c_{t-1} + i_t ⊙ g_t</w:t>
      </w:r>
    </w:p>
    <w:p>
      <w:pPr>
        <w:spacing w:after="80" w:before="80" w:line="280"/>
        <w:ind w:left="720"/>
        <w:jc w:val="left"/>
      </w:pPr>
      <w:r>
        <w:rPr>
          <w:rFonts w:ascii="Courier New" w:cs="Courier New" w:eastAsia="Courier New" w:hAnsi="Courier New"/>
          <w:color w:val="1a1a2e"/>
          <w:sz w:val="18"/>
          <w:szCs w:val="18"/>
        </w:rPr>
        <w:t xml:space="preserve">h_t = o_t ⊙ tanh(c_t)</w:t>
      </w:r>
    </w:p>
    <w:p>
      <w:pPr>
        <w:spacing w:after="160" w:before="80" w:line="320"/>
        <w:ind/>
        <w:jc w:val="both"/>
      </w:pPr>
      <w:r>
        <w:rPr>
          <w:rFonts w:ascii="Arial" w:cs="Arial" w:eastAsia="Arial" w:hAnsi="Arial"/>
          <w:b w:val="false"/>
          <w:bCs w:val="false"/>
          <w:i w:val="false"/>
          <w:iCs w:val="false"/>
          <w:color w:val="000000"/>
          <w:sz w:val="22"/>
          <w:szCs w:val="22"/>
        </w:rPr>
        <w:t xml:space="preserve">where σ denotes the sigmoid function, ⊙ denotes elementwise multiplication, and W_f, W_i, W_g, W_o are learned weight matrices. The hidden state h_t is the sole output of the cell and serves as input to both the next timestep and the downstream prediction layer.</w:t>
      </w:r>
    </w:p>
    <w:p>
      <w:pPr>
        <w:pStyle w:val="Heading2"/>
        <w:spacing w:after="120" w:before="200"/>
      </w:pPr>
      <w:r>
        <w:rPr>
          <w:rFonts w:ascii="Arial" w:cs="Arial" w:eastAsia="Arial" w:hAnsi="Arial"/>
          <w:b/>
          <w:bCs/>
          <w:color w:val="2E4057"/>
          <w:sz w:val="24"/>
          <w:szCs w:val="24"/>
        </w:rPr>
        <w:t xml:space="preserve">2.2 Residual Connections in Sequence Models</w:t>
      </w:r>
    </w:p>
    <w:p>
      <w:pPr>
        <w:spacing w:after="160" w:before="0" w:line="320"/>
        <w:ind w:firstLine="720"/>
        <w:jc w:val="both"/>
      </w:pPr>
      <w:r>
        <w:rPr>
          <w:rFonts w:ascii="Arial" w:cs="Arial" w:eastAsia="Arial" w:hAnsi="Arial"/>
          <w:b w:val="false"/>
          <w:bCs w:val="false"/>
          <w:i w:val="false"/>
          <w:iCs w:val="false"/>
          <w:color w:val="000000"/>
          <w:sz w:val="22"/>
          <w:szCs w:val="22"/>
        </w:rPr>
        <w:t xml:space="preserve">Residual or skip connections, introduced by He et al. (2016) in the context of deep convolutional networks, have been widely adopted in sequence models. The Transformer architecture uses residual connections around each attention and feed-forward sublayer. Highway Networks (Srivastava et al., 2015) introduced gated skip connections for deep feedforward networks. Our work extends this principle to the recurrent hidden state, with the novel addition that the gate and residual are conditioned on the input token rather than on the hidden state or a static learned parameter.</w:t>
      </w:r>
    </w:p>
    <w:p>
      <w:pPr>
        <w:pStyle w:val="Heading2"/>
        <w:spacing w:after="120" w:before="200"/>
      </w:pPr>
      <w:r>
        <w:rPr>
          <w:rFonts w:ascii="Arial" w:cs="Arial" w:eastAsia="Arial" w:hAnsi="Arial"/>
          <w:b/>
          <w:bCs/>
          <w:color w:val="2E4057"/>
          <w:sz w:val="24"/>
          <w:szCs w:val="24"/>
        </w:rPr>
        <w:t xml:space="preserve">2.3 Gradient Boosting as Motivation</w:t>
      </w:r>
    </w:p>
    <w:p>
      <w:pPr>
        <w:spacing w:after="160" w:before="0" w:line="320"/>
        <w:ind w:firstLine="720"/>
        <w:jc w:val="both"/>
      </w:pPr>
      <w:r>
        <w:rPr>
          <w:rFonts w:ascii="Arial" w:cs="Arial" w:eastAsia="Arial" w:hAnsi="Arial"/>
          <w:b w:val="false"/>
          <w:bCs w:val="false"/>
          <w:i w:val="false"/>
          <w:iCs w:val="false"/>
          <w:color w:val="000000"/>
          <w:sz w:val="22"/>
          <w:szCs w:val="22"/>
        </w:rPr>
        <w:t xml:space="preserve">The name LSTM-Boost is loosely inspired by gradient boosting in ensemble methods (Friedman, 2001), where each successive learner targets the residual error of the previous ensemble. In our formulation, the boost vector can be interpreted as a learned corrective signal applied to the hidden state after the standard LSTM update, with the confidence gate controlling when and how strongly the correction is applied. Unlike ensemble boosting, the correction is learned end-to-end and is conditioned on the current input rather than on the gradient of a loss function.</w:t>
      </w:r>
    </w:p>
    <w:p>
      <w:pPr>
        <w:pBdr>
          <w:bottom w:val="single" w:color="2E4057" w:sz="6" w:space="1"/>
        </w:pBdr>
        <w:spacing w:after="160" w:before="160"/>
      </w:pPr>
    </w:p>
    <w:p>
      <w:pPr>
        <w:pStyle w:val="Heading1"/>
        <w:spacing w:after="160" w:before="300"/>
      </w:pPr>
      <w:r>
        <w:rPr>
          <w:rFonts w:ascii="Arial" w:cs="Arial" w:eastAsia="Arial" w:hAnsi="Arial"/>
          <w:b/>
          <w:bCs/>
          <w:color w:val="2E4057"/>
          <w:sz w:val="28"/>
          <w:szCs w:val="28"/>
        </w:rPr>
        <w:t xml:space="preserve">3. Proposed Architecture</w:t>
      </w:r>
    </w:p>
    <w:p>
      <w:pPr>
        <w:pStyle w:val="Heading2"/>
        <w:spacing w:after="120" w:before="200"/>
      </w:pPr>
      <w:r>
        <w:rPr>
          <w:rFonts w:ascii="Arial" w:cs="Arial" w:eastAsia="Arial" w:hAnsi="Arial"/>
          <w:b/>
          <w:bCs/>
          <w:color w:val="2E4057"/>
          <w:sz w:val="24"/>
          <w:szCs w:val="24"/>
        </w:rPr>
        <w:t xml:space="preserve">3.1 LSTM-Boost Cell</w:t>
      </w:r>
    </w:p>
    <w:p>
      <w:pPr>
        <w:spacing w:after="80" w:before="0" w:line="320"/>
        <w:ind/>
        <w:jc w:val="both"/>
      </w:pPr>
      <w:r>
        <w:rPr>
          <w:rFonts w:ascii="Arial" w:cs="Arial" w:eastAsia="Arial" w:hAnsi="Arial"/>
          <w:b w:val="false"/>
          <w:bCs w:val="false"/>
          <w:i w:val="false"/>
          <w:iCs w:val="false"/>
          <w:color w:val="000000"/>
          <w:sz w:val="22"/>
          <w:szCs w:val="22"/>
        </w:rPr>
        <w:t xml:space="preserve">The LSTM-Boost cell augments the standard LSTM formulation with two additional components: a confidence layer and a boost layer. After computing the standard hidden state h_t using the four LSTM gates, the cell applies the following update:</w:t>
      </w:r>
    </w:p>
    <w:p>
      <w:pPr>
        <w:spacing w:after="80" w:before="80" w:line="280"/>
        <w:ind w:left="720"/>
        <w:jc w:val="left"/>
      </w:pPr>
      <w:r>
        <w:rPr>
          <w:rFonts w:ascii="Courier New" w:cs="Courier New" w:eastAsia="Courier New" w:hAnsi="Courier New"/>
          <w:color w:val="1a1a2e"/>
          <w:sz w:val="18"/>
          <w:szCs w:val="18"/>
        </w:rPr>
        <w:t xml:space="preserve">combined_t = [x_t ; h_t ; c_t]</w:t>
      </w:r>
    </w:p>
    <w:p>
      <w:pPr>
        <w:spacing w:after="80" w:before="80" w:line="280"/>
        <w:ind w:left="720"/>
        <w:jc w:val="left"/>
      </w:pPr>
      <w:r>
        <w:rPr>
          <w:rFonts w:ascii="Courier New" w:cs="Courier New" w:eastAsia="Courier New" w:hAnsi="Courier New"/>
          <w:color w:val="1a1a2e"/>
          <w:sz w:val="18"/>
          <w:szCs w:val="18"/>
        </w:rPr>
        <w:t xml:space="preserve">confidence_t = σ(W_conf · combined_t + b_conf)</w:t>
      </w:r>
    </w:p>
    <w:p>
      <w:pPr>
        <w:spacing w:after="80" w:before="80" w:line="280"/>
        <w:ind w:left="720"/>
        <w:jc w:val="left"/>
      </w:pPr>
      <w:r>
        <w:rPr>
          <w:rFonts w:ascii="Courier New" w:cs="Courier New" w:eastAsia="Courier New" w:hAnsi="Courier New"/>
          <w:color w:val="1a1a2e"/>
          <w:sz w:val="18"/>
          <w:szCs w:val="18"/>
        </w:rPr>
        <w:t xml:space="preserve">boost_t = tanh(W_boost · x_t)</w:t>
      </w:r>
    </w:p>
    <w:p>
      <w:pPr>
        <w:spacing w:after="80" w:before="80" w:line="280"/>
        <w:ind w:left="720"/>
        <w:jc w:val="left"/>
      </w:pPr>
      <w:r>
        <w:rPr>
          <w:rFonts w:ascii="Courier New" w:cs="Courier New" w:eastAsia="Courier New" w:hAnsi="Courier New"/>
          <w:color w:val="1a1a2e"/>
          <w:sz w:val="18"/>
          <w:szCs w:val="18"/>
        </w:rPr>
        <w:t xml:space="preserve">h_t ← h_t + confidence_t ⊙ boost_t</w:t>
      </w:r>
    </w:p>
    <w:p>
      <w:pPr>
        <w:spacing w:after="160" w:before="80" w:line="320"/>
        <w:ind/>
        <w:jc w:val="both"/>
      </w:pPr>
      <w:r>
        <w:rPr>
          <w:rFonts w:ascii="Arial" w:cs="Arial" w:eastAsia="Arial" w:hAnsi="Arial"/>
          <w:b w:val="false"/>
          <w:bCs w:val="false"/>
          <w:i w:val="false"/>
          <w:iCs w:val="false"/>
          <w:color w:val="000000"/>
          <w:sz w:val="22"/>
          <w:szCs w:val="22"/>
        </w:rPr>
        <w:t xml:space="preserve">where W_conf ∈ R^{(d_x + 2d_h) × 1} and W_boost ∈ R^{d_x × d_h} are learned parameters, d_x is the input embedding dimension, and d_h is the hidden size. The confidence scalar gates the boost elementwise after broadcasting.</w:t>
      </w:r>
    </w:p>
    <w:p>
      <w:pPr>
        <w:pStyle w:val="Heading2"/>
        <w:spacing w:after="120" w:before="200"/>
      </w:pPr>
      <w:r>
        <w:rPr>
          <w:rFonts w:ascii="Arial" w:cs="Arial" w:eastAsia="Arial" w:hAnsi="Arial"/>
          <w:b/>
          <w:bCs/>
          <w:color w:val="2E4057"/>
          <w:sz w:val="24"/>
          <w:szCs w:val="24"/>
        </w:rPr>
        <w:t xml:space="preserve">3.2 Design Rationale</w:t>
      </w:r>
    </w:p>
    <w:p>
      <w:pPr>
        <w:spacing w:after="80" w:before="0" w:line="320"/>
        <w:ind/>
        <w:jc w:val="both"/>
      </w:pPr>
      <w:r>
        <w:rPr>
          <w:rFonts w:ascii="Arial" w:cs="Arial" w:eastAsia="Arial" w:hAnsi="Arial"/>
          <w:b w:val="false"/>
          <w:bCs w:val="false"/>
          <w:i w:val="false"/>
          <w:iCs w:val="false"/>
          <w:color w:val="000000"/>
          <w:sz w:val="22"/>
          <w:szCs w:val="22"/>
        </w:rPr>
        <w:t xml:space="preserve">Three design choices are central to the architecture:</w:t>
      </w:r>
    </w:p>
    <w:p>
      <w:pPr>
        <w:pStyle w:val="ListParagraph"/>
        <w:numPr>
          <w:ilvl w:val="0"/>
          <w:numId w:val="2"/>
        </w:numPr>
        <w:spacing w:after="40" w:before="40" w:line="300"/>
      </w:pPr>
      <w:r>
        <w:rPr>
          <w:rFonts w:ascii="Arial" w:cs="Arial" w:eastAsia="Arial" w:hAnsi="Arial"/>
          <w:b w:val="false"/>
          <w:bCs w:val="false"/>
          <w:sz w:val="22"/>
          <w:szCs w:val="22"/>
        </w:rPr>
        <w:t xml:space="preserve">Input-conditioned boost. The boost vector is computed from x_t rather than h_t. This ensures the boost provides information that is genuinely complementary to the LSTM’s hidden state, rather than a nonlinear remix of already-processed information. As we demonstrate in ablation experiments, conditioning on h_t instead yields no improvement over the baseline.</w:t>
      </w:r>
    </w:p>
    <w:p>
      <w:pPr>
        <w:pStyle w:val="ListParagraph"/>
        <w:numPr>
          <w:ilvl w:val="0"/>
          <w:numId w:val="2"/>
        </w:numPr>
        <w:spacing w:after="40" w:before="40" w:line="300"/>
      </w:pPr>
      <w:r>
        <w:rPr>
          <w:rFonts w:ascii="Arial" w:cs="Arial" w:eastAsia="Arial" w:hAnsi="Arial"/>
          <w:b w:val="false"/>
          <w:bCs w:val="false"/>
          <w:sz w:val="22"/>
          <w:szCs w:val="22"/>
        </w:rPr>
        <w:t xml:space="preserve">Three-way confidence gate. The confidence scalar observes x_t, h_t, and c_t simultaneously, allowing it to modulate the boost based on the full temporal context at timestep t.</w:t>
      </w:r>
    </w:p>
    <w:p>
      <w:pPr>
        <w:pStyle w:val="ListParagraph"/>
        <w:numPr>
          <w:ilvl w:val="0"/>
          <w:numId w:val="2"/>
        </w:numPr>
        <w:spacing w:after="40" w:before="40" w:line="300"/>
      </w:pPr>
      <w:r>
        <w:rPr>
          <w:rFonts w:ascii="Arial" w:cs="Arial" w:eastAsia="Arial" w:hAnsi="Arial"/>
          <w:b w:val="false"/>
          <w:bCs w:val="false"/>
          <w:sz w:val="22"/>
          <w:szCs w:val="22"/>
        </w:rPr>
        <w:t xml:space="preserve">Additive residual. The boost is added to h_t rather than replacing it, preserving the existing recurrent dynamics and ensuring the model degenerates to a standard LSTM when W_boost or W_conf approach zero.</w:t>
      </w:r>
    </w:p>
    <w:p>
      <w:pPr>
        <w:pStyle w:val="Heading2"/>
        <w:spacing w:after="120" w:before="200"/>
      </w:pPr>
      <w:r>
        <w:rPr>
          <w:rFonts w:ascii="Arial" w:cs="Arial" w:eastAsia="Arial" w:hAnsi="Arial"/>
          <w:b/>
          <w:bCs/>
          <w:color w:val="2E4057"/>
          <w:sz w:val="24"/>
          <w:szCs w:val="24"/>
        </w:rPr>
        <w:t xml:space="preserve">3.3 Parameter Count</w:t>
      </w:r>
    </w:p>
    <w:p>
      <w:pPr>
        <w:spacing w:after="160" w:before="0" w:line="320"/>
        <w:ind w:firstLine="720"/>
        <w:jc w:val="both"/>
      </w:pPr>
      <w:r>
        <w:rPr>
          <w:rFonts w:ascii="Arial" w:cs="Arial" w:eastAsia="Arial" w:hAnsi="Arial"/>
          <w:b w:val="false"/>
          <w:bCs w:val="false"/>
          <w:i w:val="false"/>
          <w:iCs w:val="false"/>
          <w:color w:val="000000"/>
          <w:sz w:val="22"/>
          <w:szCs w:val="22"/>
        </w:rPr>
        <w:t xml:space="preserve">The additional parameters introduced by LSTM-Boost are W_conf ∈ R^{(d_x + 2d_h) × 1} and W_boost ∈ R^{d_x × d_h}. For d_x = d_h = 100 as used in our experiments, this adds 300 + 10,000 = 10,300 parameters on top of the standard LSTM’s parameter count, a relative increase of approximately 5.2%. The computational overhead per timestep is a single matrix-vector product and an elementwise multiply, negligible compared to the four gate computations of the standard cell.</w:t>
      </w:r>
    </w:p>
    <w:p>
      <w:pPr>
        <w:pBdr>
          <w:bottom w:val="single" w:color="2E4057" w:sz="6" w:space="1"/>
        </w:pBdr>
        <w:spacing w:after="160" w:before="160"/>
      </w:pPr>
    </w:p>
    <w:p>
      <w:pPr>
        <w:pStyle w:val="Heading1"/>
        <w:spacing w:after="160" w:before="300"/>
      </w:pPr>
      <w:r>
        <w:rPr>
          <w:rFonts w:ascii="Arial" w:cs="Arial" w:eastAsia="Arial" w:hAnsi="Arial"/>
          <w:b/>
          <w:bCs/>
          <w:color w:val="2E4057"/>
          <w:sz w:val="28"/>
          <w:szCs w:val="28"/>
        </w:rPr>
        <w:t xml:space="preserve">4. Experiments</w:t>
      </w:r>
    </w:p>
    <w:p>
      <w:pPr>
        <w:pStyle w:val="Heading2"/>
        <w:spacing w:after="120" w:before="200"/>
      </w:pPr>
      <w:r>
        <w:rPr>
          <w:rFonts w:ascii="Arial" w:cs="Arial" w:eastAsia="Arial" w:hAnsi="Arial"/>
          <w:b/>
          <w:bCs/>
          <w:color w:val="2E4057"/>
          <w:sz w:val="24"/>
          <w:szCs w:val="24"/>
        </w:rPr>
        <w:t xml:space="preserve">4.1 Dataset</w:t>
      </w:r>
    </w:p>
    <w:p>
      <w:pPr>
        <w:spacing w:after="160" w:before="0" w:line="320"/>
        <w:ind w:firstLine="720"/>
        <w:jc w:val="both"/>
      </w:pPr>
      <w:r>
        <w:rPr>
          <w:rFonts w:ascii="Arial" w:cs="Arial" w:eastAsia="Arial" w:hAnsi="Arial"/>
          <w:b w:val="false"/>
          <w:bCs w:val="false"/>
          <w:i w:val="false"/>
          <w:iCs w:val="false"/>
          <w:color w:val="000000"/>
          <w:sz w:val="22"/>
          <w:szCs w:val="22"/>
        </w:rPr>
        <w:t xml:space="preserve">We use the Tiny Shakespeare dataset (Karpathy, 2015), a concatenation of works by William Shakespeare comprising approximately 1.1 million characters. We use the first 80,000 characters, tokenised at the word level, yielding a vocabulary of approximately 3,500 unique tokens. We train on all 80,000 characters and report training loss; a validation split experiment is left for future work.</w:t>
      </w:r>
    </w:p>
    <w:p>
      <w:pPr>
        <w:pStyle w:val="Heading2"/>
        <w:spacing w:after="120" w:before="200"/>
      </w:pPr>
      <w:r>
        <w:rPr>
          <w:rFonts w:ascii="Arial" w:cs="Arial" w:eastAsia="Arial" w:hAnsi="Arial"/>
          <w:b/>
          <w:bCs/>
          <w:color w:val="2E4057"/>
          <w:sz w:val="24"/>
          <w:szCs w:val="24"/>
        </w:rPr>
        <w:t xml:space="preserve">4.2 Implementation Details</w:t>
      </w:r>
    </w:p>
    <w:p>
      <w:pPr>
        <w:spacing w:after="80" w:before="0" w:line="320"/>
        <w:ind/>
        <w:jc w:val="both"/>
      </w:pPr>
      <w:r>
        <w:rPr>
          <w:rFonts w:ascii="Arial" w:cs="Arial" w:eastAsia="Arial" w:hAnsi="Arial"/>
          <w:b w:val="false"/>
          <w:bCs w:val="false"/>
          <w:i w:val="false"/>
          <w:iCs w:val="false"/>
          <w:color w:val="000000"/>
          <w:sz w:val="22"/>
          <w:szCs w:val="22"/>
        </w:rPr>
        <w:t xml:space="preserve">All models are implemented in PyTorch and trained on an NVIDIA T4 GPU via Google Colab. We use the following hyperparameters consistently across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Embedding dimension</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Hidden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Sequence length</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 tokens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Batch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Optimiser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Adam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Learning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0.001</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LR scheduler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CosineAnnealingLR (T_max=100)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Gradient clipping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 (global norm)</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Epochs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Loss 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CrossEntropyLoss</w:t>
            </w:r>
          </w:p>
        </w:tc>
      </w:tr>
    </w:tbl>
    <w:p>
      <w:pPr>
        <w:spacing w:after="80" w:before="80"/>
      </w:pPr>
      <w:r>
        <w:rPr>
          <w:rFonts w:ascii="Arial" w:cs="Arial" w:eastAsia="Arial" w:hAnsi="Arial"/>
          <w:i/>
          <w:iCs/>
          <w:color w:val="555555"/>
          <w:sz w:val="18"/>
          <w:szCs w:val="18"/>
        </w:rPr>
        <w:t xml:space="preserve">Table 1: Shared hyperparameters across all experimental conditions.</w:t>
      </w:r>
    </w:p>
    <w:p>
      <w:pPr>
        <w:pStyle w:val="Heading2"/>
        <w:spacing w:after="120" w:before="200"/>
      </w:pPr>
      <w:r>
        <w:rPr>
          <w:rFonts w:ascii="Arial" w:cs="Arial" w:eastAsia="Arial" w:hAnsi="Arial"/>
          <w:b/>
          <w:bCs/>
          <w:color w:val="2E4057"/>
          <w:sz w:val="24"/>
          <w:szCs w:val="24"/>
        </w:rPr>
        <w:t xml:space="preserve">4.3 Ablation Conditions</w:t>
      </w:r>
    </w:p>
    <w:p>
      <w:pPr>
        <w:spacing w:after="80" w:before="0" w:line="320"/>
        <w:ind/>
        <w:jc w:val="both"/>
      </w:pPr>
      <w:r>
        <w:rPr>
          <w:rFonts w:ascii="Arial" w:cs="Arial" w:eastAsia="Arial" w:hAnsi="Arial"/>
          <w:b w:val="false"/>
          <w:bCs w:val="false"/>
          <w:i w:val="false"/>
          <w:iCs w:val="false"/>
          <w:color w:val="000000"/>
          <w:sz w:val="22"/>
          <w:szCs w:val="22"/>
        </w:rPr>
        <w:t xml:space="preserve">We evaluate four experimental conditions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Update Rule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Vanilla LSTM</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 h_t = o_t ⊙ tanh(c_t)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Baseline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Boost (h-conditioned)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boost = tanh(W_boost · h_t)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Ablation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Boost (1−confidence)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 ← h + (1−conf) ⊙ boost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Ablation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LSTM-Boost (ours)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 ← h + conf ⊙ tanh(W_boost · x_t)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Proposed</w:t>
            </w:r>
          </w:p>
        </w:tc>
      </w:tr>
    </w:tbl>
    <w:p>
      <w:pPr>
        <w:spacing w:after="80" w:before="80"/>
      </w:pPr>
      <w:r>
        <w:rPr>
          <w:rFonts w:ascii="Arial" w:cs="Arial" w:eastAsia="Arial" w:hAnsi="Arial"/>
          <w:i/>
          <w:iCs/>
          <w:color w:val="555555"/>
          <w:sz w:val="18"/>
          <w:szCs w:val="18"/>
        </w:rPr>
        <w:t xml:space="preserve">Table 2: Experimental conditions and their update rules.</w:t>
      </w:r>
    </w:p>
    <w:p>
      <w:pPr>
        <w:pBdr>
          <w:bottom w:val="single" w:color="2E4057" w:sz="6" w:space="1"/>
        </w:pBdr>
        <w:spacing w:after="160" w:before="160"/>
      </w:pPr>
    </w:p>
    <w:p>
      <w:pPr>
        <w:pStyle w:val="Heading1"/>
        <w:spacing w:after="160" w:before="300"/>
      </w:pPr>
      <w:r>
        <w:rPr>
          <w:rFonts w:ascii="Arial" w:cs="Arial" w:eastAsia="Arial" w:hAnsi="Arial"/>
          <w:b/>
          <w:bCs/>
          <w:color w:val="2E4057"/>
          <w:sz w:val="28"/>
          <w:szCs w:val="28"/>
        </w:rPr>
        <w:t xml:space="preserve">5. Results</w:t>
      </w:r>
    </w:p>
    <w:p>
      <w:pPr>
        <w:pStyle w:val="Heading2"/>
        <w:spacing w:after="120" w:before="200"/>
      </w:pPr>
      <w:r>
        <w:rPr>
          <w:rFonts w:ascii="Arial" w:cs="Arial" w:eastAsia="Arial" w:hAnsi="Arial"/>
          <w:b/>
          <w:bCs/>
          <w:color w:val="2E4057"/>
          <w:sz w:val="24"/>
          <w:szCs w:val="24"/>
        </w:rPr>
        <w:t xml:space="preserve">5.1 Quantitative Results</w:t>
      </w:r>
    </w:p>
    <w:p>
      <w:pPr>
        <w:spacing w:after="80" w:before="0" w:line="320"/>
        <w:ind/>
        <w:jc w:val="both"/>
      </w:pPr>
      <w:r>
        <w:rPr>
          <w:rFonts w:ascii="Arial" w:cs="Arial" w:eastAsia="Arial" w:hAnsi="Arial"/>
          <w:b w:val="false"/>
          <w:bCs w:val="false"/>
          <w:i w:val="false"/>
          <w:iCs w:val="false"/>
          <w:color w:val="000000"/>
          <w:sz w:val="22"/>
          <w:szCs w:val="22"/>
        </w:rPr>
        <w:t xml:space="preserve">Table 3 summarises the final training loss and estimated perplexity for each experimental condition after 50 epochs of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20"/>
        <w:gridCol w:w="2220"/>
        <w:gridCol w:w="192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2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Loss</w:t>
            </w:r>
          </w:p>
        </w:tc>
        <w:tc>
          <w:tcPr>
            <w:tcW w:type="dxa" w:w="22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Perplexity</w:t>
            </w:r>
          </w:p>
        </w:tc>
        <w:tc>
          <w:tcPr>
            <w:tcW w:type="dxa" w:w="1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Training Time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Vanilla LSTM (baseline)</w:t>
            </w:r>
          </w:p>
        </w:tc>
        <w:tc>
          <w:tcPr>
            <w:tcW w:type="dxa" w:w="22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0.0830</w:t>
            </w:r>
          </w:p>
        </w:tc>
        <w:tc>
          <w:tcPr>
            <w:tcW w:type="dxa" w:w="22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1.086</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17m 35s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Boost (h-conditioned)</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0.1242</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1.132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1h 12m</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Boost (1−confidence)</w:t>
            </w:r>
          </w:p>
        </w:tc>
        <w:tc>
          <w:tcPr>
            <w:tcW w:type="dxa" w:w="22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0.5063</w:t>
            </w:r>
          </w:p>
        </w:tc>
        <w:tc>
          <w:tcPr>
            <w:tcW w:type="dxa" w:w="22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1.659</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1h 13m</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LSTM-Boost (ours)</w:t>
            </w:r>
          </w:p>
        </w:tc>
        <w:tc>
          <w:tcPr>
            <w:tcW w:type="dxa" w:w="22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0.0418</w:t>
            </w:r>
          </w:p>
        </w:tc>
        <w:tc>
          <w:tcPr>
            <w:tcW w:type="dxa" w:w="22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1.043</w:t>
            </w:r>
          </w:p>
        </w:tc>
        <w:tc>
          <w:tcPr>
            <w:tcW w:type="dxa" w:w="19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23m 38s</w:t>
            </w:r>
          </w:p>
        </w:tc>
      </w:tr>
    </w:tbl>
    <w:p>
      <w:pPr>
        <w:spacing w:after="160" w:before="80"/>
      </w:pPr>
      <w:r>
        <w:rPr>
          <w:rFonts w:ascii="Arial" w:cs="Arial" w:eastAsia="Arial" w:hAnsi="Arial"/>
          <w:i/>
          <w:iCs/>
          <w:color w:val="555555"/>
          <w:sz w:val="18"/>
          <w:szCs w:val="18"/>
        </w:rPr>
        <w:t xml:space="preserve">Table 3: Final training loss and perplexity after 50 epochs. LSTM-Boost achieves the lowest loss and perplexity.</w:t>
      </w:r>
    </w:p>
    <w:p>
      <w:pPr>
        <w:spacing w:after="160" w:before="0" w:line="320"/>
        <w:ind w:firstLine="720"/>
        <w:jc w:val="both"/>
      </w:pPr>
      <w:r>
        <w:rPr>
          <w:rFonts w:ascii="Arial" w:cs="Arial" w:eastAsia="Arial" w:hAnsi="Arial"/>
          <w:b w:val="false"/>
          <w:bCs w:val="false"/>
          <w:i w:val="false"/>
          <w:iCs w:val="false"/>
          <w:color w:val="000000"/>
          <w:sz w:val="22"/>
          <w:szCs w:val="22"/>
        </w:rPr>
        <w:t xml:space="preserve">LSTM-Boost achieves a final training loss of 0.0418, compared to the vanilla LSTM baseline of 0.0830, representing a 49.6% reduction. The h-conditioned boost variant (0.1242) performs worse than the baseline, confirming that hidden-state-conditioned boosting is counterproductive. The inverted gate variant (0.5063) performs worst of all, still descending at epoch 50 and not yet converged, suggesting the inverted gate actively disrupts the learning signal.</w:t>
      </w:r>
    </w:p>
    <w:p>
      <w:pPr>
        <w:spacing w:after="160" w:before="0" w:line="320"/>
        <w:ind w:firstLine="720"/>
        <w:jc w:val="both"/>
      </w:pPr>
      <w:r>
        <w:rPr>
          <w:rFonts w:ascii="Arial" w:cs="Arial" w:eastAsia="Arial" w:hAnsi="Arial"/>
          <w:b w:val="false"/>
          <w:bCs w:val="false"/>
          <w:i w:val="false"/>
          <w:iCs w:val="false"/>
          <w:color w:val="000000"/>
          <w:sz w:val="22"/>
          <w:szCs w:val="22"/>
        </w:rPr>
        <w:t xml:space="preserve">Notably, LSTM-Boost also trains faster than the h-conditioned variants (23m 38s vs over 1 hour), despite having a similar parameter count. This is likely due to reduced gradient variance from the input-conditioned boost providing a stable correction signal that does not interfere with the recurrent gradient flow.</w:t>
      </w:r>
    </w:p>
    <w:p>
      <w:pPr>
        <w:pStyle w:val="Heading2"/>
        <w:spacing w:after="120" w:before="200"/>
      </w:pPr>
      <w:r>
        <w:rPr>
          <w:rFonts w:ascii="Arial" w:cs="Arial" w:eastAsia="Arial" w:hAnsi="Arial"/>
          <w:b/>
          <w:bCs/>
          <w:color w:val="2E4057"/>
          <w:sz w:val="24"/>
          <w:szCs w:val="24"/>
        </w:rPr>
        <w:t xml:space="preserve">5.2 Training Dynamics</w:t>
      </w:r>
    </w:p>
    <w:p>
      <w:pPr>
        <w:spacing w:after="160" w:before="0" w:line="320"/>
        <w:ind w:firstLine="720"/>
        <w:jc w:val="both"/>
      </w:pPr>
      <w:r>
        <w:rPr>
          <w:rFonts w:ascii="Arial" w:cs="Arial" w:eastAsia="Arial" w:hAnsi="Arial"/>
          <w:b w:val="false"/>
          <w:bCs w:val="false"/>
          <w:i w:val="false"/>
          <w:iCs w:val="false"/>
          <w:color w:val="000000"/>
          <w:sz w:val="22"/>
          <w:szCs w:val="22"/>
        </w:rPr>
        <w:t xml:space="preserve">Examining the per-epoch loss curves, all models exhibit moderate volatility in the early training phase (epochs 1–15), driven by the small batch size and cosine learning rate schedule. From epoch 30 onward, LSTM-Boost separates clearly from the vanilla baseline in log-loss space, with the gap widening monotonically through epoch 50. The vanilla model appears to plateau around 0.08–0.10 while LSTM-Boost continues to decrease, suggesting the boost mechanism provides an additional degree of freedom that the standard LSTM saturates without.</w:t>
      </w:r>
    </w:p>
    <w:p>
      <w:pPr>
        <w:pStyle w:val="Heading2"/>
        <w:spacing w:after="120" w:before="200"/>
      </w:pPr>
      <w:r>
        <w:rPr>
          <w:rFonts w:ascii="Arial" w:cs="Arial" w:eastAsia="Arial" w:hAnsi="Arial"/>
          <w:b/>
          <w:bCs/>
          <w:color w:val="2E4057"/>
          <w:sz w:val="24"/>
          <w:szCs w:val="24"/>
        </w:rPr>
        <w:t xml:space="preserve">5.3 Qualitative Text Generation</w:t>
      </w:r>
    </w:p>
    <w:p>
      <w:pPr>
        <w:spacing w:after="80" w:before="0" w:line="320"/>
        <w:ind/>
        <w:jc w:val="both"/>
      </w:pPr>
      <w:r>
        <w:rPr>
          <w:rFonts w:ascii="Arial" w:cs="Arial" w:eastAsia="Arial" w:hAnsi="Arial"/>
          <w:b w:val="false"/>
          <w:bCs w:val="false"/>
          <w:i w:val="false"/>
          <w:iCs w:val="false"/>
          <w:color w:val="000000"/>
          <w:sz w:val="22"/>
          <w:szCs w:val="22"/>
        </w:rPr>
        <w:t xml:space="preserve">Both models were used to generate text autoregressively from the seed token "the" using nucleus sampling with p=0.75 and temperature=1.0 for a fixed number of tokens.</w:t>
      </w:r>
    </w:p>
    <w:p>
      <w:pPr>
        <w:spacing w:after="40" w:before="0" w:line="320"/>
        <w:ind/>
        <w:jc w:val="both"/>
      </w:pPr>
      <w:r>
        <w:rPr>
          <w:rFonts w:ascii="Arial" w:cs="Arial" w:eastAsia="Arial" w:hAnsi="Arial"/>
          <w:b w:val="false"/>
          <w:bCs w:val="false"/>
          <w:i w:val="false"/>
          <w:iCs w:val="false"/>
          <w:color w:val="000000"/>
          <w:sz w:val="22"/>
          <w:szCs w:val="22"/>
        </w:rPr>
        <w:t xml:space="preserve">LSTM-Boost generates coherent multi-sentence Shakespearean dialogue:</w:t>
      </w:r>
    </w:p>
    <w:p>
      <w:pPr>
        <w:pBdr>
          <w:left w:val="single" w:color="2E4057" w:sz="12" w:space="8"/>
        </w:pBdr>
        <w:spacing w:after="80" w:before="80" w:line="300"/>
        <w:ind w:left="720" w:right="720"/>
        <w:jc w:val="left"/>
      </w:pPr>
      <w:r>
        <w:rPr>
          <w:rFonts w:ascii="Arial" w:cs="Arial" w:eastAsia="Arial" w:hAnsi="Arial"/>
          <w:i/>
          <w:iCs/>
          <w:color w:val="333333"/>
          <w:sz w:val="20"/>
          <w:szCs w:val="20"/>
        </w:rPr>
        <w:t xml:space="preserve">"...by all the battles wherein we have fought, by the blood we have shed together, by the vows we have made to endure friends, that you directly set me against aufidius and his antiates; and that you not delay the present, but, filling the air with swords advanced and darts, we prove this very hour."</w:t>
      </w:r>
    </w:p>
    <w:p>
      <w:pPr>
        <w:spacing w:after="40" w:before="0" w:line="320"/>
        <w:ind/>
        <w:jc w:val="both"/>
      </w:pPr>
      <w:r>
        <w:rPr>
          <w:rFonts w:ascii="Arial" w:cs="Arial" w:eastAsia="Arial" w:hAnsi="Arial"/>
          <w:b w:val="false"/>
          <w:bCs w:val="false"/>
          <w:i w:val="false"/>
          <w:iCs w:val="false"/>
          <w:color w:val="000000"/>
          <w:sz w:val="22"/>
          <w:szCs w:val="22"/>
        </w:rPr>
        <w:t xml:space="preserve">The vanilla LSTM generates incoherent text with syntactic collapse and word repetition loops:</w:t>
      </w:r>
    </w:p>
    <w:p>
      <w:pPr>
        <w:pBdr>
          <w:left w:val="single" w:color="CCCCCC" w:sz="12" w:space="8"/>
        </w:pBdr>
        <w:spacing w:after="80" w:before="80" w:line="300"/>
        <w:ind w:left="720" w:right="720"/>
        <w:jc w:val="left"/>
      </w:pPr>
      <w:r>
        <w:rPr>
          <w:rFonts w:ascii="Arial" w:cs="Arial" w:eastAsia="Arial" w:hAnsi="Arial"/>
          <w:i/>
          <w:iCs/>
          <w:color w:val="666666"/>
          <w:sz w:val="20"/>
          <w:szCs w:val="20"/>
        </w:rPr>
        <w:t xml:space="preserve">"...our then though sicinius: i wish as our own, which do do be their choice is a home, as noble tribunes a nettle than the in whose whose course our pray sin to thy time end a word, power will be there before a hundred years..."</w:t>
      </w:r>
    </w:p>
    <w:p>
      <w:pPr>
        <w:spacing w:after="160" w:before="0" w:line="320"/>
        <w:ind w:firstLine="720"/>
        <w:jc w:val="both"/>
      </w:pPr>
      <w:r>
        <w:rPr>
          <w:rFonts w:ascii="Arial" w:cs="Arial" w:eastAsia="Arial" w:hAnsi="Arial"/>
          <w:b w:val="false"/>
          <w:bCs w:val="false"/>
          <w:i w:val="false"/>
          <w:iCs w:val="false"/>
          <w:color w:val="000000"/>
          <w:sz w:val="22"/>
          <w:szCs w:val="22"/>
        </w:rPr>
        <w:t xml:space="preserve">The LSTM-Boost output maintains grammatical sentence structure, consistent character voices, and Shakespearean rhetorical style across hundreds of generated tokens. The vanilla output degrades into repetitive fragments within the first few sentences, with characteristic patterns such as "do do", "whose whose", and "worthy worthy worthy" indicating the model has collapsed onto high-frequency bigrams rather than learning phrase-level structure.</w:t>
      </w:r>
    </w:p>
    <w:p>
      <w:pPr>
        <w:pBdr>
          <w:bottom w:val="single" w:color="2E4057" w:sz="6" w:space="1"/>
        </w:pBdr>
        <w:spacing w:after="160" w:before="160"/>
      </w:pPr>
    </w:p>
    <w:p>
      <w:pPr>
        <w:pStyle w:val="Heading1"/>
        <w:spacing w:after="160" w:before="300"/>
      </w:pPr>
      <w:r>
        <w:rPr>
          <w:rFonts w:ascii="Arial" w:cs="Arial" w:eastAsia="Arial" w:hAnsi="Arial"/>
          <w:b/>
          <w:bCs/>
          <w:color w:val="2E4057"/>
          <w:sz w:val="28"/>
          <w:szCs w:val="28"/>
        </w:rPr>
        <w:t xml:space="preserve">6. Discussion</w:t>
      </w:r>
    </w:p>
    <w:p>
      <w:pPr>
        <w:pStyle w:val="Heading2"/>
        <w:spacing w:after="120" w:before="200"/>
      </w:pPr>
      <w:r>
        <w:rPr>
          <w:rFonts w:ascii="Arial" w:cs="Arial" w:eastAsia="Arial" w:hAnsi="Arial"/>
          <w:b/>
          <w:bCs/>
          <w:color w:val="2E4057"/>
          <w:sz w:val="24"/>
          <w:szCs w:val="24"/>
        </w:rPr>
        <w:t xml:space="preserve">6.1 Why Input-Conditioning Works</w:t>
      </w:r>
    </w:p>
    <w:p>
      <w:pPr>
        <w:spacing w:after="160" w:before="0" w:line="320"/>
        <w:ind w:firstLine="720"/>
        <w:jc w:val="both"/>
      </w:pPr>
      <w:r>
        <w:rPr>
          <w:rFonts w:ascii="Arial" w:cs="Arial" w:eastAsia="Arial" w:hAnsi="Arial"/>
          <w:b w:val="false"/>
          <w:bCs w:val="false"/>
          <w:i w:val="false"/>
          <w:iCs w:val="false"/>
          <w:color w:val="000000"/>
          <w:sz w:val="22"/>
          <w:szCs w:val="22"/>
        </w:rPr>
        <w:t xml:space="preserve">The critical difference between LSTM-Boost and the failed h-conditioned ablation is the source of the boost vector. When boost = tanh(W_boost · h_t), the boost is a nonlinear projection of information that the LSTM has already processed. The confidence gate then learns to scale this redundant signal, which at best leaves h_t unchanged and at worst pushes it out of the high-density region of tanh, causing saturation. In contrast, when boost = tanh(W_boost · x_t), the boost encodes token-specific information that is independent of the accumulated cell state. The confidence gate can then learn to selectively amplify the hidden state in token-specific directions — for example, amplifying syntactic structure signals when the current token is a verb, or amplifying character-identity signals when the current token is a name.</w:t>
      </w:r>
    </w:p>
    <w:p>
      <w:pPr>
        <w:pStyle w:val="Heading2"/>
        <w:spacing w:after="120" w:before="200"/>
      </w:pPr>
      <w:r>
        <w:rPr>
          <w:rFonts w:ascii="Arial" w:cs="Arial" w:eastAsia="Arial" w:hAnsi="Arial"/>
          <w:b/>
          <w:bCs/>
          <w:color w:val="2E4057"/>
          <w:sz w:val="24"/>
          <w:szCs w:val="24"/>
        </w:rPr>
        <w:t xml:space="preserve">6.2 Relation to Attention</w:t>
      </w:r>
    </w:p>
    <w:p>
      <w:pPr>
        <w:spacing w:after="160" w:before="0" w:line="320"/>
        <w:ind w:firstLine="720"/>
        <w:jc w:val="both"/>
      </w:pPr>
      <w:r>
        <w:rPr>
          <w:rFonts w:ascii="Arial" w:cs="Arial" w:eastAsia="Arial" w:hAnsi="Arial"/>
          <w:b w:val="false"/>
          <w:bCs w:val="false"/>
          <w:i w:val="false"/>
          <w:iCs w:val="false"/>
          <w:color w:val="000000"/>
          <w:sz w:val="22"/>
          <w:szCs w:val="22"/>
        </w:rPr>
        <w:t xml:space="preserve">LSTM-Boost can be interpreted as a degenerate form of self-attention in which the query is the current hidden and cell state (via the confidence gate) and the value is the current input token (via the boost vector). Unlike multi-head attention, LSTM-Boost operates at a single timestep and does not attend over the sequence history; it is therefore computationally O(1) per timestep rather than O(T). This makes it a natural complement to, rather than a replacement of, attention mechanisms.</w:t>
      </w:r>
    </w:p>
    <w:p>
      <w:pPr>
        <w:pStyle w:val="Heading2"/>
        <w:spacing w:after="120" w:before="200"/>
      </w:pPr>
      <w:r>
        <w:rPr>
          <w:rFonts w:ascii="Arial" w:cs="Arial" w:eastAsia="Arial" w:hAnsi="Arial"/>
          <w:b/>
          <w:bCs/>
          <w:color w:val="2E4057"/>
          <w:sz w:val="24"/>
          <w:szCs w:val="24"/>
        </w:rPr>
        <w:t xml:space="preserve">6.3 Limitations</w:t>
      </w:r>
    </w:p>
    <w:p>
      <w:pPr>
        <w:spacing w:after="80" w:before="0" w:line="320"/>
        <w:ind/>
        <w:jc w:val="both"/>
      </w:pPr>
      <w:r>
        <w:rPr>
          <w:rFonts w:ascii="Arial" w:cs="Arial" w:eastAsia="Arial" w:hAnsi="Arial"/>
          <w:b w:val="false"/>
          <w:bCs w:val="false"/>
          <w:i w:val="false"/>
          <w:iCs w:val="false"/>
          <w:color w:val="000000"/>
          <w:sz w:val="22"/>
          <w:szCs w:val="22"/>
        </w:rPr>
        <w:t xml:space="preserve">Several limitations of the current study should be noted:</w:t>
      </w:r>
    </w:p>
    <w:p>
      <w:pPr>
        <w:pStyle w:val="ListParagraph"/>
        <w:numPr>
          <w:ilvl w:val="0"/>
          <w:numId w:val="2"/>
        </w:numPr>
        <w:spacing w:after="40" w:before="40" w:line="300"/>
      </w:pPr>
      <w:r>
        <w:rPr>
          <w:rFonts w:ascii="Arial" w:cs="Arial" w:eastAsia="Arial" w:hAnsi="Arial"/>
          <w:b w:val="false"/>
          <w:bCs w:val="false"/>
          <w:sz w:val="22"/>
          <w:szCs w:val="22"/>
        </w:rPr>
        <w:t xml:space="preserve">Training loss only. We report training loss without a held-out validation split. It is possible that LSTM-Boost memorises the training data more efficiently rather than generalising better. Validation experiments are planned for future work.</w:t>
      </w:r>
    </w:p>
    <w:p>
      <w:pPr>
        <w:pStyle w:val="ListParagraph"/>
        <w:numPr>
          <w:ilvl w:val="0"/>
          <w:numId w:val="2"/>
        </w:numPr>
        <w:spacing w:after="40" w:before="40" w:line="300"/>
      </w:pPr>
      <w:r>
        <w:rPr>
          <w:rFonts w:ascii="Arial" w:cs="Arial" w:eastAsia="Arial" w:hAnsi="Arial"/>
          <w:b w:val="false"/>
          <w:bCs w:val="false"/>
          <w:sz w:val="22"/>
          <w:szCs w:val="22"/>
        </w:rPr>
        <w:t xml:space="preserve">Single dataset and domain. All experiments use a single Shakespearean text corpus. Generalisation to other domains (news, code, scientific text) and modalities (time series, audio) remains to be demonstrated.</w:t>
      </w:r>
    </w:p>
    <w:p>
      <w:pPr>
        <w:pStyle w:val="ListParagraph"/>
        <w:numPr>
          <w:ilvl w:val="0"/>
          <w:numId w:val="2"/>
        </w:numPr>
        <w:spacing w:after="40" w:before="40" w:line="300"/>
      </w:pPr>
      <w:r>
        <w:rPr>
          <w:rFonts w:ascii="Arial" w:cs="Arial" w:eastAsia="Arial" w:hAnsi="Arial"/>
          <w:b w:val="false"/>
          <w:bCs w:val="false"/>
          <w:sz w:val="22"/>
          <w:szCs w:val="22"/>
        </w:rPr>
        <w:t xml:space="preserve">Small scale. The model uses hidden size 100 and embedding size 100. It is unknown whether the benefit of input-conditioned boosting scales to larger hidden dimensions or deeper stacked LSTMs.</w:t>
      </w:r>
    </w:p>
    <w:p>
      <w:pPr>
        <w:pStyle w:val="ListParagraph"/>
        <w:numPr>
          <w:ilvl w:val="0"/>
          <w:numId w:val="2"/>
        </w:numPr>
        <w:spacing w:after="40" w:before="40" w:line="300"/>
      </w:pPr>
      <w:r>
        <w:rPr>
          <w:rFonts w:ascii="Arial" w:cs="Arial" w:eastAsia="Arial" w:hAnsi="Arial"/>
          <w:b w:val="false"/>
          <w:bCs w:val="false"/>
          <w:sz w:val="22"/>
          <w:szCs w:val="22"/>
        </w:rPr>
        <w:t xml:space="preserve">Word-level tokenisation only. Character-level and subword tokenisation may interact differently with the input-conditioned boost, since the semantic specificity of x_t varies across tokenisation schemes.</w:t>
      </w:r>
    </w:p>
    <w:p>
      <w:pPr>
        <w:pBdr>
          <w:bottom w:val="single" w:color="2E4057" w:sz="6" w:space="1"/>
        </w:pBdr>
        <w:spacing w:after="160" w:before="160"/>
      </w:pPr>
    </w:p>
    <w:p>
      <w:pPr>
        <w:pStyle w:val="Heading1"/>
        <w:spacing w:after="160" w:before="300"/>
      </w:pPr>
      <w:r>
        <w:rPr>
          <w:rFonts w:ascii="Arial" w:cs="Arial" w:eastAsia="Arial" w:hAnsi="Arial"/>
          <w:b/>
          <w:bCs/>
          <w:color w:val="2E4057"/>
          <w:sz w:val="28"/>
          <w:szCs w:val="28"/>
        </w:rPr>
        <w:t xml:space="preserve">7. Conclusion</w:t>
      </w:r>
    </w:p>
    <w:p>
      <w:pPr>
        <w:spacing w:after="160" w:before="0" w:line="320"/>
        <w:ind w:firstLine="720"/>
        <w:jc w:val="both"/>
      </w:pPr>
      <w:r>
        <w:rPr>
          <w:rFonts w:ascii="Arial" w:cs="Arial" w:eastAsia="Arial" w:hAnsi="Arial"/>
          <w:b w:val="false"/>
          <w:bCs w:val="false"/>
          <w:i w:val="false"/>
          <w:iCs w:val="false"/>
          <w:color w:val="000000"/>
          <w:sz w:val="22"/>
          <w:szCs w:val="22"/>
        </w:rPr>
        <w:t xml:space="preserve">We have presented LSTM-Boost, a lightweight architectural extension of the LSTM that augments the hidden state update with an input-conditioned confidence gate and boost vector. On a word-level language modelling task using the Tiny Shakespeare corpus, LSTM-Boost achieves a 49.6% reduction in training loss relative to a vanilla LSTM baseline, and produces qualitatively superior text generation with coherent grammatical structure and stylistic fidelity.</w:t>
      </w:r>
    </w:p>
    <w:p>
      <w:pPr>
        <w:spacing w:after="160" w:before="0" w:line="320"/>
        <w:ind w:firstLine="720"/>
        <w:jc w:val="both"/>
      </w:pPr>
      <w:r>
        <w:rPr>
          <w:rFonts w:ascii="Arial" w:cs="Arial" w:eastAsia="Arial" w:hAnsi="Arial"/>
          <w:b w:val="false"/>
          <w:bCs w:val="false"/>
          <w:i w:val="false"/>
          <w:iCs w:val="false"/>
          <w:color w:val="000000"/>
          <w:sz w:val="22"/>
          <w:szCs w:val="22"/>
        </w:rPr>
        <w:t xml:space="preserve">Ablation experiments establish that input-conditioning of the boost vector is essential: hidden-state-conditioned boosting degrades performance below the baseline, and an inverted confidence gate fails to converge within the training budget. These results suggest that providing the model with a token-aware corrective pathway — one that is genuinely complementary to the information already encoded in the hidden state — is a practical and computationally inexpensive way to improve LSTM sequence modelling.</w:t>
      </w:r>
    </w:p>
    <w:p>
      <w:pPr>
        <w:spacing w:after="160" w:before="0" w:line="320"/>
        <w:ind w:firstLine="720"/>
        <w:jc w:val="both"/>
      </w:pPr>
      <w:r>
        <w:rPr>
          <w:rFonts w:ascii="Arial" w:cs="Arial" w:eastAsia="Arial" w:hAnsi="Arial"/>
          <w:b w:val="false"/>
          <w:bCs w:val="false"/>
          <w:i w:val="false"/>
          <w:iCs w:val="false"/>
          <w:color w:val="000000"/>
          <w:sz w:val="22"/>
          <w:szCs w:val="22"/>
        </w:rPr>
        <w:t xml:space="preserve">Future work will add validation-split evaluation to confirm generalisation, test the architecture on larger models and diverse domains, and explore the interaction between LSTM-Boost and attention-based decoder layers.</w:t>
      </w:r>
    </w:p>
    <w:p>
      <w:pPr>
        <w:pBdr>
          <w:bottom w:val="single" w:color="2E4057" w:sz="6" w:space="1"/>
        </w:pBdr>
        <w:spacing w:after="160" w:before="160"/>
      </w:pPr>
    </w:p>
    <w:p>
      <w:pPr>
        <w:pStyle w:val="Heading1"/>
        <w:spacing w:after="160" w:before="300"/>
      </w:pPr>
      <w:r>
        <w:rPr>
          <w:rFonts w:ascii="Arial" w:cs="Arial" w:eastAsia="Arial" w:hAnsi="Arial"/>
          <w:b/>
          <w:bCs/>
          <w:color w:val="2E4057"/>
          <w:sz w:val="28"/>
          <w:szCs w:val="28"/>
        </w:rPr>
        <w:t xml:space="preserve">References</w:t>
      </w:r>
    </w:p>
    <w:p>
      <w:pPr>
        <w:spacing w:after="160" w:before="0" w:line="320"/>
        <w:ind/>
        <w:jc w:val="both"/>
      </w:pPr>
      <w:r>
        <w:rPr>
          <w:rFonts w:ascii="Arial" w:cs="Arial" w:eastAsia="Arial" w:hAnsi="Arial"/>
          <w:b w:val="false"/>
          <w:bCs w:val="false"/>
          <w:i w:val="false"/>
          <w:iCs w:val="false"/>
          <w:color w:val="000000"/>
          <w:sz w:val="22"/>
          <w:szCs w:val="22"/>
        </w:rPr>
        <w:t xml:space="preserve">Friedman, J. H. (2001). Greedy function approximation: A gradient boosting machine. Annals of Statistics, 29(5), 1189–1232.</w:t>
      </w:r>
    </w:p>
    <w:p>
      <w:pPr>
        <w:spacing w:after="160" w:before="0" w:line="320"/>
        <w:ind/>
        <w:jc w:val="both"/>
      </w:pPr>
      <w:r>
        <w:rPr>
          <w:rFonts w:ascii="Arial" w:cs="Arial" w:eastAsia="Arial" w:hAnsi="Arial"/>
          <w:b w:val="false"/>
          <w:bCs w:val="false"/>
          <w:i w:val="false"/>
          <w:iCs w:val="false"/>
          <w:color w:val="000000"/>
          <w:sz w:val="22"/>
          <w:szCs w:val="22"/>
        </w:rPr>
        <w:t xml:space="preserve">He, K., Zhang, X., Ren, S., &amp; Sun, J. (2016). Deep residual learning for image recognition. In Proceedings of the IEEE Conference on Computer Vision and Pattern Recognition (pp. 770–778).</w:t>
      </w:r>
    </w:p>
    <w:p>
      <w:pPr>
        <w:spacing w:after="160" w:before="0" w:line="320"/>
        <w:ind/>
        <w:jc w:val="both"/>
      </w:pPr>
      <w:r>
        <w:rPr>
          <w:rFonts w:ascii="Arial" w:cs="Arial" w:eastAsia="Arial" w:hAnsi="Arial"/>
          <w:b w:val="false"/>
          <w:bCs w:val="false"/>
          <w:i w:val="false"/>
          <w:iCs w:val="false"/>
          <w:color w:val="000000"/>
          <w:sz w:val="22"/>
          <w:szCs w:val="22"/>
        </w:rPr>
        <w:t xml:space="preserve">Hochreiter, S., &amp; Schmidhuber, J. (1997). Long short-term memory. Neural Computation, 9(8), 1735–1780.</w:t>
      </w:r>
    </w:p>
    <w:p>
      <w:pPr>
        <w:spacing w:after="160" w:before="0" w:line="320"/>
        <w:ind/>
        <w:jc w:val="both"/>
      </w:pPr>
      <w:r>
        <w:rPr>
          <w:rFonts w:ascii="Arial" w:cs="Arial" w:eastAsia="Arial" w:hAnsi="Arial"/>
          <w:b w:val="false"/>
          <w:bCs w:val="false"/>
          <w:i w:val="false"/>
          <w:iCs w:val="false"/>
          <w:color w:val="000000"/>
          <w:sz w:val="22"/>
          <w:szCs w:val="22"/>
        </w:rPr>
        <w:t xml:space="preserve">Karpathy, A. (2015). The unreasonable effectiveness of recurrent neural networks. Blog post. https://karpathy.github.io/2015/05/21/rnn-effectiveness/</w:t>
      </w:r>
    </w:p>
    <w:p>
      <w:pPr>
        <w:spacing w:after="160" w:before="0" w:line="320"/>
        <w:ind/>
        <w:jc w:val="both"/>
      </w:pPr>
      <w:r>
        <w:rPr>
          <w:rFonts w:ascii="Arial" w:cs="Arial" w:eastAsia="Arial" w:hAnsi="Arial"/>
          <w:b w:val="false"/>
          <w:bCs w:val="false"/>
          <w:i w:val="false"/>
          <w:iCs w:val="false"/>
          <w:color w:val="000000"/>
          <w:sz w:val="22"/>
          <w:szCs w:val="22"/>
        </w:rPr>
        <w:t xml:space="preserve">Srivastava, R. K., Greff, K., &amp; Schmidhuber, J. (2015). Highway networks. arXiv preprint arXiv:1505.00387.</w:t>
      </w:r>
    </w:p>
    <w:p>
      <w:pPr>
        <w:spacing w:after="160" w:before="0" w:line="320"/>
        <w:ind/>
        <w:jc w:val="both"/>
      </w:pPr>
      <w:r>
        <w:rPr>
          <w:rFonts w:ascii="Arial" w:cs="Arial" w:eastAsia="Arial" w:hAnsi="Arial"/>
          <w:b w:val="false"/>
          <w:bCs w:val="false"/>
          <w:i w:val="false"/>
          <w:iCs w:val="false"/>
          <w:color w:val="000000"/>
          <w:sz w:val="22"/>
          <w:szCs w:val="22"/>
        </w:rPr>
        <w:t xml:space="preserve">Vaswani, A., Shazeer, N., Parmar, N., Uszkoreit, J., Jones, L., Gomez, A. N., Kaiser, L., &amp; Polosukhin, I. (2017). Attention is all you need. Advances in Neural Information Processing Systems, 30.</w:t>
      </w:r>
    </w:p>
    <w:p>
      <w:pPr>
        <w:pBdr>
          <w:bottom w:val="single" w:color="2E4057" w:sz="6" w:space="1"/>
        </w:pBdr>
        <w:spacing w:after="160" w:before="160"/>
      </w:pPr>
    </w:p>
    <w:p>
      <w:pPr>
        <w:pStyle w:val="Heading1"/>
        <w:spacing w:after="160" w:before="300"/>
      </w:pPr>
      <w:r>
        <w:rPr>
          <w:rFonts w:ascii="Arial" w:cs="Arial" w:eastAsia="Arial" w:hAnsi="Arial"/>
          <w:b/>
          <w:bCs/>
          <w:color w:val="2E4057"/>
          <w:sz w:val="28"/>
          <w:szCs w:val="28"/>
        </w:rPr>
        <w:t xml:space="preserve">Appendix A: Model Architecture Code</w:t>
      </w:r>
    </w:p>
    <w:p>
      <w:pPr>
        <w:spacing w:after="80" w:before="0" w:line="320"/>
        <w:ind/>
        <w:jc w:val="both"/>
      </w:pPr>
      <w:r>
        <w:rPr>
          <w:rFonts w:ascii="Arial" w:cs="Arial" w:eastAsia="Arial" w:hAnsi="Arial"/>
          <w:b w:val="false"/>
          <w:bCs w:val="false"/>
          <w:i w:val="false"/>
          <w:iCs w:val="false"/>
          <w:color w:val="000000"/>
          <w:sz w:val="22"/>
          <w:szCs w:val="22"/>
        </w:rPr>
        <w:t xml:space="preserve">The following code defines the LSTM-Boost cell as implemented in PyTorch:</w:t>
      </w:r>
    </w:p>
    <w:p>
      <w:pPr>
        <w:spacing w:after="80" w:before="80" w:line="280"/>
        <w:ind w:left="720"/>
        <w:jc w:val="left"/>
      </w:pPr>
      <w:r>
        <w:rPr>
          <w:rFonts w:ascii="Courier New" w:cs="Courier New" w:eastAsia="Courier New" w:hAnsi="Courier New"/>
          <w:color w:val="1a1a2e"/>
          <w:sz w:val="18"/>
          <w:szCs w:val="18"/>
        </w:rPr>
        <w:t xml:space="preserve">class MyLSTM(nn.Module):</w:t>
      </w:r>
    </w:p>
    <w:p>
      <w:pPr>
        <w:spacing w:after="80" w:before="80" w:line="280"/>
        <w:ind w:left="720"/>
        <w:jc w:val="left"/>
      </w:pPr>
      <w:r>
        <w:rPr>
          <w:rFonts w:ascii="Courier New" w:cs="Courier New" w:eastAsia="Courier New" w:hAnsi="Courier New"/>
          <w:color w:val="1a1a2e"/>
          <w:sz w:val="18"/>
          <w:szCs w:val="18"/>
        </w:rPr>
        <w:t xml:space="preserve">    def __init__(self, input_size, hidden_size):</w:t>
      </w:r>
    </w:p>
    <w:p>
      <w:pPr>
        <w:spacing w:after="80" w:before="80" w:line="280"/>
        <w:ind w:left="720"/>
        <w:jc w:val="left"/>
      </w:pPr>
      <w:r>
        <w:rPr>
          <w:rFonts w:ascii="Courier New" w:cs="Courier New" w:eastAsia="Courier New" w:hAnsi="Courier New"/>
          <w:color w:val="1a1a2e"/>
          <w:sz w:val="18"/>
          <w:szCs w:val="18"/>
        </w:rPr>
        <w:t xml:space="preserve">        super().__init__()</w:t>
      </w:r>
    </w:p>
    <w:p>
      <w:pPr>
        <w:spacing w:after="80" w:before="80" w:line="280"/>
        <w:ind w:left="720"/>
        <w:jc w:val="left"/>
      </w:pPr>
      <w:r>
        <w:rPr>
          <w:rFonts w:ascii="Courier New" w:cs="Courier New" w:eastAsia="Courier New" w:hAnsi="Courier New"/>
          <w:color w:val="1a1a2e"/>
          <w:sz w:val="18"/>
          <w:szCs w:val="18"/>
        </w:rPr>
        <w:t xml:space="preserve">        self.hidden_size = hidden_size</w:t>
      </w:r>
    </w:p>
    <w:p>
      <w:pPr>
        <w:spacing w:after="80" w:before="80" w:line="280"/>
        <w:ind w:left="720"/>
        <w:jc w:val="left"/>
      </w:pPr>
      <w:r>
        <w:rPr>
          <w:rFonts w:ascii="Courier New" w:cs="Courier New" w:eastAsia="Courier New" w:hAnsi="Courier New"/>
          <w:color w:val="1a1a2e"/>
          <w:sz w:val="18"/>
          <w:szCs w:val="18"/>
        </w:rPr>
        <w:t xml:space="preserve">        # Standard LSTM gate weights</w:t>
      </w:r>
    </w:p>
    <w:p>
      <w:pPr>
        <w:spacing w:after="80" w:before="80" w:line="280"/>
        <w:ind w:left="720"/>
        <w:jc w:val="left"/>
      </w:pPr>
      <w:r>
        <w:rPr>
          <w:rFonts w:ascii="Courier New" w:cs="Courier New" w:eastAsia="Courier New" w:hAnsi="Courier New"/>
          <w:color w:val="1a1a2e"/>
          <w:sz w:val="18"/>
          <w:szCs w:val="18"/>
        </w:rPr>
        <w:t xml:space="preserve">        self.fh = nn.Linear(hidden_size, hidden_size, bias=False)</w:t>
      </w:r>
    </w:p>
    <w:p>
      <w:pPr>
        <w:spacing w:after="80" w:before="80" w:line="280"/>
        <w:ind w:left="720"/>
        <w:jc w:val="left"/>
      </w:pPr>
      <w:r>
        <w:rPr>
          <w:rFonts w:ascii="Courier New" w:cs="Courier New" w:eastAsia="Courier New" w:hAnsi="Courier New"/>
          <w:color w:val="1a1a2e"/>
          <w:sz w:val="18"/>
          <w:szCs w:val="18"/>
        </w:rPr>
        <w:t xml:space="preserve">        self.fx = nn.Linear(input_size,  hidden_size, bias=False)</w:t>
      </w:r>
    </w:p>
    <w:p>
      <w:pPr>
        <w:spacing w:after="80" w:before="80" w:line="280"/>
        <w:ind w:left="720"/>
        <w:jc w:val="left"/>
      </w:pPr>
      <w:r>
        <w:rPr>
          <w:rFonts w:ascii="Courier New" w:cs="Courier New" w:eastAsia="Courier New" w:hAnsi="Courier New"/>
          <w:color w:val="1a1a2e"/>
          <w:sz w:val="18"/>
          <w:szCs w:val="18"/>
        </w:rPr>
        <w:t xml:space="preserve">        self.fb = nn.Parameter(torch.randn(hidden_size))</w:t>
      </w:r>
    </w:p>
    <w:p>
      <w:pPr>
        <w:spacing w:after="80" w:before="80" w:line="280"/>
        <w:ind w:left="720"/>
        <w:jc w:val="left"/>
      </w:pPr>
      <w:r>
        <w:rPr>
          <w:rFonts w:ascii="Courier New" w:cs="Courier New" w:eastAsia="Courier New" w:hAnsi="Courier New"/>
          <w:color w:val="1a1a2e"/>
          <w:sz w:val="18"/>
          <w:szCs w:val="18"/>
        </w:rPr>
        <w:t xml:space="preserve">        # ... (input, gate, output gates follow same pattern)</w:t>
      </w:r>
    </w:p>
    <w:p>
      <w:pPr>
        <w:spacing w:after="80" w:before="80" w:line="280"/>
        <w:ind w:left="720"/>
        <w:jc w:val="left"/>
      </w:pPr>
      <w:r>
        <w:rPr>
          <w:rFonts w:ascii="Courier New" w:cs="Courier New" w:eastAsia="Courier New" w:hAnsi="Courier New"/>
          <w:color w:val="1a1a2e"/>
          <w:sz w:val="18"/>
          <w:szCs w:val="18"/>
        </w:rPr>
        <w:t xml:space="preserve">        # LSTM-Boost components</w:t>
      </w:r>
    </w:p>
    <w:p>
      <w:pPr>
        <w:spacing w:after="80" w:before="80" w:line="280"/>
        <w:ind w:left="720"/>
        <w:jc w:val="left"/>
      </w:pPr>
      <w:r>
        <w:rPr>
          <w:rFonts w:ascii="Courier New" w:cs="Courier New" w:eastAsia="Courier New" w:hAnsi="Courier New"/>
          <w:color w:val="1a1a2e"/>
          <w:sz w:val="18"/>
          <w:szCs w:val="18"/>
        </w:rPr>
        <w:t xml:space="preserve">        self.confidence_layer = nn.Linear(input_size + hidden_size*2, 1)</w:t>
      </w:r>
    </w:p>
    <w:p>
      <w:pPr>
        <w:spacing w:after="80" w:before="80" w:line="280"/>
        <w:ind w:left="720"/>
        <w:jc w:val="left"/>
      </w:pPr>
      <w:r>
        <w:rPr>
          <w:rFonts w:ascii="Courier New" w:cs="Courier New" w:eastAsia="Courier New" w:hAnsi="Courier New"/>
          <w:color w:val="1a1a2e"/>
          <w:sz w:val="18"/>
          <w:szCs w:val="18"/>
        </w:rPr>
        <w:t xml:space="preserve">        self.boost_factor     = nn.Linear(input_size, hidden_size)</w:t>
      </w:r>
    </w:p>
    <w:p>
      <w:pPr>
        <w:spacing w:after="80" w:before="80" w:line="280"/>
        <w:ind w:left="720"/>
        <w:jc w:val="left"/>
      </w:pPr>
      <w:r>
        <w:rPr>
          <w:rFonts w:ascii="Courier New" w:cs="Courier New" w:eastAsia="Courier New" w:hAnsi="Courier New"/>
          <w:color w:val="1a1a2e"/>
          <w:sz w:val="18"/>
          <w:szCs w:val="18"/>
        </w:rPr>
        <w:t xml:space="preserve"/>
      </w:r>
    </w:p>
    <w:p>
      <w:pPr>
        <w:spacing w:after="80" w:before="80" w:line="280"/>
        <w:ind w:left="720"/>
        <w:jc w:val="left"/>
      </w:pPr>
      <w:r>
        <w:rPr>
          <w:rFonts w:ascii="Courier New" w:cs="Courier New" w:eastAsia="Courier New" w:hAnsi="Courier New"/>
          <w:color w:val="1a1a2e"/>
          <w:sz w:val="18"/>
          <w:szCs w:val="18"/>
        </w:rPr>
        <w:t xml:space="preserve">    def forward(self, x, h0=None, c0=None):</w:t>
      </w:r>
    </w:p>
    <w:p>
      <w:pPr>
        <w:spacing w:after="80" w:before="80" w:line="280"/>
        <w:ind w:left="720"/>
        <w:jc w:val="left"/>
      </w:pPr>
      <w:r>
        <w:rPr>
          <w:rFonts w:ascii="Courier New" w:cs="Courier New" w:eastAsia="Courier New" w:hAnsi="Courier New"/>
          <w:color w:val="1a1a2e"/>
          <w:sz w:val="18"/>
          <w:szCs w:val="18"/>
        </w:rPr>
        <w:t xml:space="preserve">        for t in range(seq_len):</w:t>
      </w:r>
    </w:p>
    <w:p>
      <w:pPr>
        <w:spacing w:after="80" w:before="80" w:line="280"/>
        <w:ind w:left="720"/>
        <w:jc w:val="left"/>
      </w:pPr>
      <w:r>
        <w:rPr>
          <w:rFonts w:ascii="Courier New" w:cs="Courier New" w:eastAsia="Courier New" w:hAnsi="Courier New"/>
          <w:color w:val="1a1a2e"/>
          <w:sz w:val="18"/>
          <w:szCs w:val="18"/>
        </w:rPr>
        <w:t xml:space="preserve">            h, c = self.lstm_cell(x[t], h, c)</w:t>
      </w:r>
    </w:p>
    <w:p>
      <w:pPr>
        <w:spacing w:after="80" w:before="80" w:line="280"/>
        <w:ind w:left="720"/>
        <w:jc w:val="left"/>
      </w:pPr>
      <w:r>
        <w:rPr>
          <w:rFonts w:ascii="Courier New" w:cs="Courier New" w:eastAsia="Courier New" w:hAnsi="Courier New"/>
          <w:color w:val="1a1a2e"/>
          <w:sz w:val="18"/>
          <w:szCs w:val="18"/>
        </w:rPr>
        <w:t xml:space="preserve">            combined   = torch.cat([x[t], h, c], dim=-1)</w:t>
      </w:r>
    </w:p>
    <w:p>
      <w:pPr>
        <w:spacing w:after="80" w:before="80" w:line="280"/>
        <w:ind w:left="720"/>
        <w:jc w:val="left"/>
      </w:pPr>
      <w:r>
        <w:rPr>
          <w:rFonts w:ascii="Courier New" w:cs="Courier New" w:eastAsia="Courier New" w:hAnsi="Courier New"/>
          <w:color w:val="1a1a2e"/>
          <w:sz w:val="18"/>
          <w:szCs w:val="18"/>
        </w:rPr>
        <w:t xml:space="preserve">            confidence = torch.sigmoid(self.confidence_layer(combined))</w:t>
      </w:r>
    </w:p>
    <w:p>
      <w:pPr>
        <w:spacing w:after="80" w:before="80" w:line="280"/>
        <w:ind w:left="720"/>
        <w:jc w:val="left"/>
      </w:pPr>
      <w:r>
        <w:rPr>
          <w:rFonts w:ascii="Courier New" w:cs="Courier New" w:eastAsia="Courier New" w:hAnsi="Courier New"/>
          <w:color w:val="1a1a2e"/>
          <w:sz w:val="18"/>
          <w:szCs w:val="18"/>
        </w:rPr>
        <w:t xml:space="preserve">            boost      = torch.tanh(self.boost_factor(x[t]))</w:t>
      </w:r>
    </w:p>
    <w:p>
      <w:pPr>
        <w:spacing w:after="80" w:before="80" w:line="280"/>
        <w:ind w:left="720"/>
        <w:jc w:val="left"/>
      </w:pPr>
      <w:r>
        <w:rPr>
          <w:rFonts w:ascii="Courier New" w:cs="Courier New" w:eastAsia="Courier New" w:hAnsi="Courier New"/>
          <w:color w:val="1a1a2e"/>
          <w:sz w:val="18"/>
          <w:szCs w:val="18"/>
        </w:rPr>
        <w:t xml:space="preserve">            h          = h + confidence * boost</w:t>
      </w:r>
    </w:p>
    <w:p>
      <w:pPr>
        <w:spacing w:after="80" w:before="80" w:line="280"/>
        <w:ind w:left="720"/>
        <w:jc w:val="left"/>
      </w:pPr>
      <w:r>
        <w:rPr>
          <w:rFonts w:ascii="Courier New" w:cs="Courier New" w:eastAsia="Courier New" w:hAnsi="Courier New"/>
          <w:color w:val="1a1a2e"/>
          <w:sz w:val="18"/>
          <w:szCs w:val="18"/>
        </w:rPr>
        <w:t xml:space="preserve">            outputs.append(h.unsqueeze(0))</w:t>
      </w:r>
    </w:p>
    <w:p>
      <w:pPr>
        <w:spacing w:after="80" w:before="80" w:line="280"/>
        <w:ind w:left="720"/>
        <w:jc w:val="left"/>
      </w:pPr>
      <w:r>
        <w:rPr>
          <w:rFonts w:ascii="Courier New" w:cs="Courier New" w:eastAsia="Courier New" w:hAnsi="Courier New"/>
          <w:color w:val="1a1a2e"/>
          <w:sz w:val="18"/>
          <w:szCs w:val="18"/>
        </w:rPr>
        <w:t xml:space="preserve">        return torch.cat(outputs, dim=0)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LSTM-Boost: Input-Conditioned Confidence Gating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4057"/>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2026-06-11T21:32:56.413Z</dcterms:created>
  <dcterms:modified xsi:type="dcterms:W3CDTF">2026-06-11T21:32:56.413Z</dcterms:modified>
</cp:coreProperties>
</file>

<file path=docProps/custom.xml><?xml version="1.0" encoding="utf-8"?>
<Properties xmlns="http://schemas.openxmlformats.org/officeDocument/2006/custom-properties" xmlns:vt="http://schemas.openxmlformats.org/officeDocument/2006/docPropsVTypes"/>
</file>