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Smart-Shield AI</w:t>
        <w:br/>
        <w:t>Technical Logic, Sample Design and Model Selection</w:t>
      </w:r>
    </w:p>
    <w:p>
      <w:pPr>
        <w:jc w:val="center"/>
      </w:pPr>
      <w:r>
        <w:rPr>
          <w:b/>
          <w:sz w:val="22"/>
        </w:rPr>
        <w:t>Afolabi Adesina  |  Student No. 991808102  |  Team 2B  |  PR7 / Week 11</w:t>
      </w:r>
    </w:p>
    <w:p>
      <w:pPr>
        <w:jc w:val="center"/>
      </w:pPr>
      <w:r>
        <w:rPr>
          <w:i/>
        </w:rPr>
        <w:t>Prepared July 2026  •  INFO53883 AI &amp; ML Capstone Project</w:t>
      </w:r>
    </w:p>
    <w:p>
      <w:pPr>
        <w:pStyle w:val="Heading1"/>
      </w:pPr>
      <w:r>
        <w:t>1. Project Objective and Traceability</w:t>
      </w:r>
    </w:p>
    <w:p>
      <w:pPr>
        <w:spacing w:after="100"/>
      </w:pPr>
      <w:r>
        <w:t>Smart-Shield AI extends conventional route planning beyond distance and estimated travel time. It combines text alerts, visual road conditions and environmental observations into a single, explainable route-risk score. The implementation links the safety-routing problem proposed in D1, the multimodal work packages designed in D2, and the iterative model and deployment work reported in PR2–PR6.</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F4E78"/>
          </w:tcPr>
          <w:p>
            <w:r/>
            <w:r>
              <w:rPr>
                <w:b/>
                <w:color w:val="FFFFFF"/>
                <w:sz w:val="18"/>
              </w:rPr>
              <w:t>Past deliverable</w:t>
            </w:r>
          </w:p>
        </w:tc>
        <w:tc>
          <w:tcPr>
            <w:tcW w:type="dxa" w:w="3456"/>
            <w:vAlign w:val="center"/>
            <w:shd w:fill="1F4E78"/>
          </w:tcPr>
          <w:p>
            <w:r/>
            <w:r>
              <w:rPr>
                <w:b/>
                <w:color w:val="FFFFFF"/>
                <w:sz w:val="18"/>
              </w:rPr>
              <w:t>Original commitment</w:t>
            </w:r>
          </w:p>
        </w:tc>
        <w:tc>
          <w:tcPr>
            <w:tcW w:type="dxa" w:w="4032"/>
            <w:vAlign w:val="center"/>
            <w:shd w:fill="1F4E78"/>
          </w:tcPr>
          <w:p>
            <w:r/>
            <w:r>
              <w:rPr>
                <w:b/>
                <w:color w:val="FFFFFF"/>
                <w:sz w:val="18"/>
              </w:rPr>
              <w:t>Current implementation</w:t>
            </w:r>
          </w:p>
        </w:tc>
      </w:tr>
      <w:tr>
        <w:tc>
          <w:tcPr>
            <w:tcW w:type="dxa" w:w="1440"/>
            <w:vAlign w:val="center"/>
          </w:tcPr>
          <w:p>
            <w:r/>
            <w:r>
              <w:rPr>
                <w:b w:val="0"/>
                <w:sz w:val="18"/>
              </w:rPr>
              <w:t>D1 Proposal</w:t>
            </w:r>
          </w:p>
        </w:tc>
        <w:tc>
          <w:tcPr>
            <w:tcW w:type="dxa" w:w="3456"/>
            <w:vAlign w:val="center"/>
          </w:tcPr>
          <w:p>
            <w:r/>
            <w:r>
              <w:rPr>
                <w:b w:val="0"/>
                <w:sz w:val="18"/>
              </w:rPr>
              <w:t>Safety-aware routing rather than ETA-only navigation</w:t>
            </w:r>
          </w:p>
        </w:tc>
        <w:tc>
          <w:tcPr>
            <w:tcW w:type="dxa" w:w="4032"/>
            <w:vAlign w:val="center"/>
          </w:tcPr>
          <w:p>
            <w:r/>
            <w:r>
              <w:rPr>
                <w:b w:val="0"/>
                <w:sz w:val="18"/>
              </w:rPr>
              <w:t>Route comparison using a multimodal Safety Score</w:t>
            </w:r>
          </w:p>
        </w:tc>
      </w:tr>
      <w:tr>
        <w:tc>
          <w:tcPr>
            <w:tcW w:type="dxa" w:w="1440"/>
            <w:vAlign w:val="center"/>
            <w:shd w:fill="DCE6F1"/>
          </w:tcPr>
          <w:p>
            <w:r/>
            <w:r>
              <w:rPr>
                <w:b w:val="0"/>
                <w:sz w:val="18"/>
              </w:rPr>
              <w:t>D2 Design</w:t>
            </w:r>
          </w:p>
        </w:tc>
        <w:tc>
          <w:tcPr>
            <w:tcW w:type="dxa" w:w="3456"/>
            <w:vAlign w:val="center"/>
            <w:shd w:fill="DCE6F1"/>
          </w:tcPr>
          <w:p>
            <w:r/>
            <w:r>
              <w:rPr>
                <w:b w:val="0"/>
                <w:sz w:val="18"/>
              </w:rPr>
              <w:t>Data ingestion, CNN, text scoring, fusion, backend and UI</w:t>
            </w:r>
          </w:p>
        </w:tc>
        <w:tc>
          <w:tcPr>
            <w:tcW w:type="dxa" w:w="4032"/>
            <w:vAlign w:val="center"/>
            <w:shd w:fill="DCE6F1"/>
          </w:tcPr>
          <w:p>
            <w:r/>
            <w:r>
              <w:rPr>
                <w:b w:val="0"/>
                <w:sz w:val="18"/>
              </w:rPr>
              <w:t>Notebook Parts 01–04, models/, src/ and Flask demo</w:t>
            </w:r>
          </w:p>
        </w:tc>
      </w:tr>
      <w:tr>
        <w:tc>
          <w:tcPr>
            <w:tcW w:type="dxa" w:w="1440"/>
            <w:vAlign w:val="center"/>
          </w:tcPr>
          <w:p>
            <w:r/>
            <w:r>
              <w:rPr>
                <w:b w:val="0"/>
                <w:sz w:val="18"/>
              </w:rPr>
              <w:t>PR2–PR4</w:t>
            </w:r>
          </w:p>
        </w:tc>
        <w:tc>
          <w:tcPr>
            <w:tcW w:type="dxa" w:w="3456"/>
            <w:vAlign w:val="center"/>
          </w:tcPr>
          <w:p>
            <w:r/>
            <w:r>
              <w:rPr>
                <w:b w:val="0"/>
                <w:sz w:val="18"/>
              </w:rPr>
              <w:t>EDA, Paper 2 validation, feature engineering and baseline ML</w:t>
            </w:r>
          </w:p>
        </w:tc>
        <w:tc>
          <w:tcPr>
            <w:tcW w:type="dxa" w:w="4032"/>
            <w:vAlign w:val="center"/>
          </w:tcPr>
          <w:p>
            <w:r/>
            <w:r>
              <w:rPr>
                <w:b w:val="0"/>
                <w:sz w:val="18"/>
              </w:rPr>
              <w:t>Part 01 and Part 03</w:t>
            </w:r>
          </w:p>
        </w:tc>
      </w:tr>
      <w:tr>
        <w:tc>
          <w:tcPr>
            <w:tcW w:type="dxa" w:w="1440"/>
            <w:vAlign w:val="center"/>
            <w:shd w:fill="DCE6F1"/>
          </w:tcPr>
          <w:p>
            <w:r/>
            <w:r>
              <w:rPr>
                <w:b w:val="0"/>
                <w:sz w:val="18"/>
              </w:rPr>
              <w:t>PR5–PR6</w:t>
            </w:r>
          </w:p>
        </w:tc>
        <w:tc>
          <w:tcPr>
            <w:tcW w:type="dxa" w:w="3456"/>
            <w:vAlign w:val="center"/>
            <w:shd w:fill="DCE6F1"/>
          </w:tcPr>
          <w:p>
            <w:r/>
            <w:r>
              <w:rPr>
                <w:b w:val="0"/>
                <w:sz w:val="18"/>
              </w:rPr>
              <w:t>Vision, GPU execution, fusion and deployment</w:t>
            </w:r>
          </w:p>
        </w:tc>
        <w:tc>
          <w:tcPr>
            <w:tcW w:type="dxa" w:w="4032"/>
            <w:vAlign w:val="center"/>
            <w:shd w:fill="DCE6F1"/>
          </w:tcPr>
          <w:p>
            <w:r/>
            <w:r>
              <w:rPr>
                <w:b w:val="0"/>
                <w:sz w:val="18"/>
              </w:rPr>
              <w:t>Part 02 and Part 04</w:t>
            </w:r>
          </w:p>
        </w:tc>
      </w:tr>
      <w:tr>
        <w:tc>
          <w:tcPr>
            <w:tcW w:type="dxa" w:w="1440"/>
            <w:vAlign w:val="center"/>
          </w:tcPr>
          <w:p>
            <w:r/>
            <w:r>
              <w:rPr>
                <w:b w:val="0"/>
                <w:sz w:val="18"/>
              </w:rPr>
              <w:t>PR7</w:t>
            </w:r>
          </w:p>
        </w:tc>
        <w:tc>
          <w:tcPr>
            <w:tcW w:type="dxa" w:w="3456"/>
            <w:vAlign w:val="center"/>
          </w:tcPr>
          <w:p>
            <w:r/>
            <w:r>
              <w:rPr>
                <w:b w:val="0"/>
                <w:sz w:val="18"/>
              </w:rPr>
              <w:t>Reproducibility and final validation</w:t>
            </w:r>
          </w:p>
        </w:tc>
        <w:tc>
          <w:tcPr>
            <w:tcW w:type="dxa" w:w="4032"/>
            <w:vAlign w:val="center"/>
          </w:tcPr>
          <w:p>
            <w:r/>
            <w:r>
              <w:rPr>
                <w:b w:val="0"/>
                <w:sz w:val="18"/>
              </w:rPr>
              <w:t>Notebook split, balanced RSCD cache, retraining and synchronized results</w:t>
            </w:r>
          </w:p>
        </w:tc>
      </w:tr>
    </w:tbl>
    <w:p>
      <w:pPr>
        <w:spacing w:after="20"/>
      </w:pPr>
    </w:p>
    <w:p>
      <w:pPr>
        <w:pStyle w:val="Heading1"/>
      </w:pPr>
      <w:r>
        <w:t>2. New Notebook Split and Achievements</w:t>
      </w:r>
    </w:p>
    <w:p>
      <w:pPr>
        <w:spacing w:after="100"/>
      </w:pPr>
      <w:r>
        <w:t>The original master notebook became too large and computationally expensive to execute reliably. It was divided into four runnable notebooks while capstone_with_results.ipynb remains the complete annotated record. The synchronization script copies updated source and outputs from each part into the master notebook.</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1F4E78"/>
          </w:tcPr>
          <w:p>
            <w:r/>
            <w:r>
              <w:rPr>
                <w:b/>
                <w:color w:val="FFFFFF"/>
                <w:sz w:val="18"/>
              </w:rPr>
              <w:t>Notebook</w:t>
            </w:r>
          </w:p>
        </w:tc>
        <w:tc>
          <w:tcPr>
            <w:tcW w:type="dxa" w:w="3240"/>
            <w:vAlign w:val="center"/>
            <w:shd w:fill="1F4E78"/>
          </w:tcPr>
          <w:p>
            <w:r/>
            <w:r>
              <w:rPr>
                <w:b/>
                <w:color w:val="FFFFFF"/>
                <w:sz w:val="18"/>
              </w:rPr>
              <w:t>Responsibility</w:t>
            </w:r>
          </w:p>
        </w:tc>
        <w:tc>
          <w:tcPr>
            <w:tcW w:type="dxa" w:w="3816"/>
            <w:vAlign w:val="center"/>
            <w:shd w:fill="1F4E78"/>
          </w:tcPr>
          <w:p>
            <w:r/>
            <w:r>
              <w:rPr>
                <w:b/>
                <w:color w:val="FFFFFF"/>
                <w:sz w:val="18"/>
              </w:rPr>
              <w:t>Achievement</w:t>
            </w:r>
          </w:p>
        </w:tc>
      </w:tr>
      <w:tr>
        <w:tc>
          <w:tcPr>
            <w:tcW w:type="dxa" w:w="2376"/>
            <w:vAlign w:val="center"/>
          </w:tcPr>
          <w:p>
            <w:r/>
            <w:r>
              <w:rPr>
                <w:b w:val="0"/>
                <w:sz w:val="18"/>
              </w:rPr>
              <w:t>Part 01 — Charter, EDA and Features</w:t>
            </w:r>
          </w:p>
        </w:tc>
        <w:tc>
          <w:tcPr>
            <w:tcW w:type="dxa" w:w="3240"/>
            <w:vAlign w:val="center"/>
          </w:tcPr>
          <w:p>
            <w:r/>
            <w:r>
              <w:rPr>
                <w:b w:val="0"/>
                <w:sz w:val="18"/>
              </w:rPr>
              <w:t>Literature, Toronto/DfT/SDOT data, EDA and features</w:t>
            </w:r>
          </w:p>
        </w:tc>
        <w:tc>
          <w:tcPr>
            <w:tcW w:type="dxa" w:w="3816"/>
            <w:vAlign w:val="center"/>
          </w:tcPr>
          <w:p>
            <w:r/>
            <w:r>
              <w:rPr>
                <w:b w:val="0"/>
                <w:sz w:val="18"/>
              </w:rPr>
              <w:t>Reproduced Paper 2 hazard patterns and established the environmental-risk basis</w:t>
            </w:r>
          </w:p>
        </w:tc>
      </w:tr>
      <w:tr>
        <w:tc>
          <w:tcPr>
            <w:tcW w:type="dxa" w:w="2376"/>
            <w:vAlign w:val="center"/>
            <w:shd w:fill="DCE6F1"/>
          </w:tcPr>
          <w:p>
            <w:r/>
            <w:r>
              <w:rPr>
                <w:b w:val="0"/>
                <w:sz w:val="18"/>
              </w:rPr>
              <w:t>Part 02 — Vision Brain</w:t>
            </w:r>
          </w:p>
        </w:tc>
        <w:tc>
          <w:tcPr>
            <w:tcW w:type="dxa" w:w="3240"/>
            <w:vAlign w:val="center"/>
            <w:shd w:fill="DCE6F1"/>
          </w:tcPr>
          <w:p>
            <w:r/>
            <w:r>
              <w:rPr>
                <w:b w:val="0"/>
                <w:sz w:val="18"/>
              </w:rPr>
              <w:t>ResNet18, autoencoder and backend comparison</w:t>
            </w:r>
          </w:p>
        </w:tc>
        <w:tc>
          <w:tcPr>
            <w:tcW w:type="dxa" w:w="3816"/>
            <w:vAlign w:val="center"/>
            <w:shd w:fill="DCE6F1"/>
          </w:tcPr>
          <w:p>
            <w:r/>
            <w:r>
              <w:rPr>
                <w:b w:val="0"/>
                <w:sz w:val="18"/>
              </w:rPr>
              <w:t>Trained on 1,086 RSCD images; ResNet18 selected</w:t>
            </w:r>
          </w:p>
        </w:tc>
      </w:tr>
      <w:tr>
        <w:tc>
          <w:tcPr>
            <w:tcW w:type="dxa" w:w="2376"/>
            <w:vAlign w:val="center"/>
          </w:tcPr>
          <w:p>
            <w:r/>
            <w:r>
              <w:rPr>
                <w:b w:val="0"/>
                <w:sz w:val="18"/>
              </w:rPr>
              <w:t>Part 03 — Tabular ML</w:t>
            </w:r>
          </w:p>
        </w:tc>
        <w:tc>
          <w:tcPr>
            <w:tcW w:type="dxa" w:w="3240"/>
            <w:vAlign w:val="center"/>
          </w:tcPr>
          <w:p>
            <w:r/>
            <w:r>
              <w:rPr>
                <w:b w:val="0"/>
                <w:sz w:val="18"/>
              </w:rPr>
              <w:t>Logistic Regression, RF, LightGBM and neural baselines</w:t>
            </w:r>
          </w:p>
        </w:tc>
        <w:tc>
          <w:tcPr>
            <w:tcW w:type="dxa" w:w="3816"/>
            <w:vAlign w:val="center"/>
          </w:tcPr>
          <w:p>
            <w:r/>
            <w:r>
              <w:rPr>
                <w:b w:val="0"/>
                <w:sz w:val="18"/>
              </w:rPr>
              <w:t>Compared models using recall, MCC and Macro-F1 under imbalance</w:t>
            </w:r>
          </w:p>
        </w:tc>
      </w:tr>
      <w:tr>
        <w:tc>
          <w:tcPr>
            <w:tcW w:type="dxa" w:w="2376"/>
            <w:vAlign w:val="center"/>
            <w:shd w:fill="DCE6F1"/>
          </w:tcPr>
          <w:p>
            <w:r/>
            <w:r>
              <w:rPr>
                <w:b w:val="0"/>
                <w:sz w:val="18"/>
              </w:rPr>
              <w:t>Part 04 — Fusion and Deployment</w:t>
            </w:r>
          </w:p>
        </w:tc>
        <w:tc>
          <w:tcPr>
            <w:tcW w:type="dxa" w:w="3240"/>
            <w:vAlign w:val="center"/>
            <w:shd w:fill="DCE6F1"/>
          </w:tcPr>
          <w:p>
            <w:r/>
            <w:r>
              <w:rPr>
                <w:b w:val="0"/>
                <w:sz w:val="18"/>
              </w:rPr>
              <w:t>NLP, Safety Score, SHAP and serialization</w:t>
            </w:r>
          </w:p>
        </w:tc>
        <w:tc>
          <w:tcPr>
            <w:tcW w:type="dxa" w:w="3816"/>
            <w:vAlign w:val="center"/>
            <w:shd w:fill="DCE6F1"/>
          </w:tcPr>
          <w:p>
            <w:r/>
            <w:r>
              <w:rPr>
                <w:b w:val="0"/>
                <w:sz w:val="18"/>
              </w:rPr>
              <w:t>Combined T, V and E; saved artifacts and connected the Flask demo</w:t>
            </w:r>
          </w:p>
        </w:tc>
      </w:tr>
    </w:tbl>
    <w:p>
      <w:pPr>
        <w:spacing w:after="20"/>
      </w:pPr>
    </w:p>
    <w:p>
      <w:pPr>
        <w:pStyle w:val="Heading1"/>
      </w:pPr>
      <w:r>
        <w:t>3. Vision Sample Design: 1,086 Images from RSCD-1million</w:t>
      </w:r>
    </w:p>
    <w:p>
      <w:pPr>
        <w:spacing w:after="100"/>
      </w:pPr>
      <w:r>
        <w:t>RSCD-1million is the source corpus, but Smart-Shield addresses a narrower three-class decision problem: Clear Asphalt, Wet/Slush and Snow/Ice. The 1,086 images form a curated working sample; they are not a simple random sample of all one million images and therefore do not support a conventional population margin-of-error claim.</w:t>
      </w:r>
    </w:p>
    <w:tbl>
      <w:tblPr>
        <w:tblStyle w:val="TableGrid"/>
        <w:tblW w:type="auto" w:w="0"/>
        <w:jc w:val="center"/>
        <w:tblLook w:firstColumn="1" w:firstRow="1" w:lastColumn="0" w:lastRow="0" w:noHBand="0" w:noVBand="1" w:val="04A0"/>
      </w:tblPr>
      <w:tblGrid>
        <w:gridCol w:w="3389"/>
        <w:gridCol w:w="3389"/>
        <w:gridCol w:w="3389"/>
      </w:tblGrid>
      <w:tr>
        <w:tc>
          <w:tcPr>
            <w:tcW w:type="dxa" w:w="4320"/>
            <w:vAlign w:val="center"/>
            <w:shd w:fill="1F4E78"/>
          </w:tcPr>
          <w:p>
            <w:r/>
            <w:r>
              <w:rPr>
                <w:b/>
                <w:color w:val="FFFFFF"/>
                <w:sz w:val="18"/>
              </w:rPr>
              <w:t>Class</w:t>
            </w:r>
          </w:p>
        </w:tc>
        <w:tc>
          <w:tcPr>
            <w:tcW w:type="dxa" w:w="1728"/>
            <w:vAlign w:val="center"/>
            <w:shd w:fill="1F4E78"/>
          </w:tcPr>
          <w:p>
            <w:r/>
            <w:r>
              <w:rPr>
                <w:b/>
                <w:color w:val="FFFFFF"/>
                <w:sz w:val="18"/>
              </w:rPr>
              <w:t>Count</w:t>
            </w:r>
          </w:p>
        </w:tc>
        <w:tc>
          <w:tcPr>
            <w:tcW w:type="dxa" w:w="1728"/>
            <w:vAlign w:val="center"/>
            <w:shd w:fill="1F4E78"/>
          </w:tcPr>
          <w:p>
            <w:r/>
            <w:r>
              <w:rPr>
                <w:b/>
                <w:color w:val="FFFFFF"/>
                <w:sz w:val="18"/>
              </w:rPr>
              <w:t>Share</w:t>
            </w:r>
          </w:p>
        </w:tc>
      </w:tr>
      <w:tr>
        <w:tc>
          <w:tcPr>
            <w:tcW w:type="dxa" w:w="4320"/>
            <w:vAlign w:val="center"/>
          </w:tcPr>
          <w:p>
            <w:r/>
            <w:r>
              <w:rPr>
                <w:b w:val="0"/>
                <w:sz w:val="18"/>
              </w:rPr>
              <w:t>Clear Asphalt</w:t>
            </w:r>
          </w:p>
        </w:tc>
        <w:tc>
          <w:tcPr>
            <w:tcW w:type="dxa" w:w="1728"/>
            <w:vAlign w:val="center"/>
          </w:tcPr>
          <w:p>
            <w:r/>
            <w:r>
              <w:rPr>
                <w:b w:val="0"/>
                <w:sz w:val="18"/>
              </w:rPr>
              <w:t>324</w:t>
            </w:r>
          </w:p>
        </w:tc>
        <w:tc>
          <w:tcPr>
            <w:tcW w:type="dxa" w:w="1728"/>
            <w:vAlign w:val="center"/>
          </w:tcPr>
          <w:p>
            <w:r/>
            <w:r>
              <w:rPr>
                <w:b w:val="0"/>
                <w:sz w:val="18"/>
              </w:rPr>
              <w:t>29.8%</w:t>
            </w:r>
          </w:p>
        </w:tc>
      </w:tr>
      <w:tr>
        <w:tc>
          <w:tcPr>
            <w:tcW w:type="dxa" w:w="4320"/>
            <w:vAlign w:val="center"/>
            <w:shd w:fill="DCE6F1"/>
          </w:tcPr>
          <w:p>
            <w:r/>
            <w:r>
              <w:rPr>
                <w:b w:val="0"/>
                <w:sz w:val="18"/>
              </w:rPr>
              <w:t>Wet / Slush</w:t>
            </w:r>
          </w:p>
        </w:tc>
        <w:tc>
          <w:tcPr>
            <w:tcW w:type="dxa" w:w="1728"/>
            <w:vAlign w:val="center"/>
            <w:shd w:fill="DCE6F1"/>
          </w:tcPr>
          <w:p>
            <w:r/>
            <w:r>
              <w:rPr>
                <w:b w:val="0"/>
                <w:sz w:val="18"/>
              </w:rPr>
              <w:t>400</w:t>
            </w:r>
          </w:p>
        </w:tc>
        <w:tc>
          <w:tcPr>
            <w:tcW w:type="dxa" w:w="1728"/>
            <w:vAlign w:val="center"/>
            <w:shd w:fill="DCE6F1"/>
          </w:tcPr>
          <w:p>
            <w:r/>
            <w:r>
              <w:rPr>
                <w:b w:val="0"/>
                <w:sz w:val="18"/>
              </w:rPr>
              <w:t>36.8%</w:t>
            </w:r>
          </w:p>
        </w:tc>
      </w:tr>
      <w:tr>
        <w:tc>
          <w:tcPr>
            <w:tcW w:type="dxa" w:w="4320"/>
            <w:vAlign w:val="center"/>
          </w:tcPr>
          <w:p>
            <w:r/>
            <w:r>
              <w:rPr>
                <w:b w:val="0"/>
                <w:sz w:val="18"/>
              </w:rPr>
              <w:t>Snow / Ice</w:t>
            </w:r>
          </w:p>
        </w:tc>
        <w:tc>
          <w:tcPr>
            <w:tcW w:type="dxa" w:w="1728"/>
            <w:vAlign w:val="center"/>
          </w:tcPr>
          <w:p>
            <w:r/>
            <w:r>
              <w:rPr>
                <w:b w:val="0"/>
                <w:sz w:val="18"/>
              </w:rPr>
              <w:t>362</w:t>
            </w:r>
          </w:p>
        </w:tc>
        <w:tc>
          <w:tcPr>
            <w:tcW w:type="dxa" w:w="1728"/>
            <w:vAlign w:val="center"/>
          </w:tcPr>
          <w:p>
            <w:r/>
            <w:r>
              <w:rPr>
                <w:b w:val="0"/>
                <w:sz w:val="18"/>
              </w:rPr>
              <w:t>33.3%</w:t>
            </w:r>
          </w:p>
        </w:tc>
      </w:tr>
      <w:tr>
        <w:tc>
          <w:tcPr>
            <w:tcW w:type="dxa" w:w="4320"/>
            <w:vAlign w:val="center"/>
            <w:shd w:fill="DCE6F1"/>
          </w:tcPr>
          <w:p>
            <w:r/>
            <w:r>
              <w:rPr>
                <w:b w:val="0"/>
                <w:sz w:val="18"/>
              </w:rPr>
              <w:t>Total</w:t>
            </w:r>
          </w:p>
        </w:tc>
        <w:tc>
          <w:tcPr>
            <w:tcW w:type="dxa" w:w="1728"/>
            <w:vAlign w:val="center"/>
            <w:shd w:fill="DCE6F1"/>
          </w:tcPr>
          <w:p>
            <w:r/>
            <w:r>
              <w:rPr>
                <w:b w:val="0"/>
                <w:sz w:val="18"/>
              </w:rPr>
              <w:t>1,086</w:t>
            </w:r>
          </w:p>
        </w:tc>
        <w:tc>
          <w:tcPr>
            <w:tcW w:type="dxa" w:w="1728"/>
            <w:vAlign w:val="center"/>
            <w:shd w:fill="DCE6F1"/>
          </w:tcPr>
          <w:p>
            <w:r/>
            <w:r>
              <w:rPr>
                <w:b w:val="0"/>
                <w:sz w:val="18"/>
              </w:rPr>
              <w:t>100.0%</w:t>
            </w:r>
          </w:p>
        </w:tc>
      </w:tr>
    </w:tbl>
    <w:p>
      <w:pPr>
        <w:spacing w:after="20"/>
      </w:pPr>
    </w:p>
    <w:p>
      <w:pPr>
        <w:spacing w:after="100"/>
      </w:pPr>
      <w:r>
        <w:t>The sample size is justified operationally:</w:t>
      </w:r>
    </w:p>
    <w:p>
      <w:pPr>
        <w:pStyle w:val="ListBullet"/>
        <w:spacing w:after="40"/>
      </w:pPr>
      <w:r>
        <w:t>Hundreds of examples are available for each target class.</w:t>
      </w:r>
    </w:p>
    <w:p>
      <w:pPr>
        <w:pStyle w:val="ListBullet"/>
        <w:spacing w:after="40"/>
      </w:pPr>
      <w:r>
        <w:t>Snow/Ice is prevented from becoming a small minority class.</w:t>
      </w:r>
    </w:p>
    <w:p>
      <w:pPr>
        <w:pStyle w:val="ListBullet"/>
        <w:spacing w:after="40"/>
      </w:pPr>
      <w:r>
        <w:t>A stratified training/validation split can represent all three classes.</w:t>
      </w:r>
    </w:p>
    <w:p>
      <w:pPr>
        <w:pStyle w:val="ListBullet"/>
        <w:spacing w:after="40"/>
      </w:pPr>
      <w:r>
        <w:t>The data volume is manageable within available GPU and notebook resources.</w:t>
      </w:r>
    </w:p>
    <w:p>
      <w:pPr>
        <w:pStyle w:val="ListBullet"/>
        <w:spacing w:after="40"/>
      </w:pPr>
      <w:r>
        <w:t>ImageNet transfer learning reduces the amount of task-specific data required compared with training a CNN from scratch.</w:t>
      </w:r>
    </w:p>
    <w:p>
      <w:pPr>
        <w:spacing w:after="100"/>
      </w:pPr>
      <w:r>
        <w:t>Approximately 22% of the images were held out for validation. Validation accuracy was approximately 86%, and the required class-conditional risk ordering was observed:</w:t>
      </w:r>
    </w:p>
    <w:p>
      <w:pPr>
        <w:spacing w:before="60" w:after="140"/>
        <w:jc w:val="center"/>
      </w:pPr>
      <m:oMathPara>
        <m:oMath>
          <m:sSub>
            <m:e>
              <m:r>
                <m:rPr>
                  <m:sty m:val="p"/>
                </m:rPr>
                <m:t>V̄</m:t>
              </m:r>
            </m:e>
            <m:sub>
              <m:r>
                <m:rPr>
                  <m:sty m:val="p"/>
                </m:rPr>
                <m:t>Clear</m:t>
              </m:r>
            </m:sub>
          </m:sSub>
          <m:r>
            <m:rPr>
              <m:sty m:val="p"/>
            </m:rPr>
            <m:t> &lt; </m:t>
          </m:r>
          <m:sSub>
            <m:e>
              <m:r>
                <m:rPr>
                  <m:sty m:val="p"/>
                </m:rPr>
                <m:t>V̄</m:t>
              </m:r>
            </m:e>
            <m:sub>
              <m:r>
                <m:rPr>
                  <m:sty m:val="p"/>
                </m:rPr>
                <m:t>Wet</m:t>
              </m:r>
            </m:sub>
          </m:sSub>
          <m:r>
            <m:rPr>
              <m:sty m:val="p"/>
            </m:rPr>
            <m:t> &lt; </m:t>
          </m:r>
          <m:sSub>
            <m:e>
              <m:r>
                <m:rPr>
                  <m:sty m:val="p"/>
                </m:rPr>
                <m:t>V̄</m:t>
              </m:r>
            </m:e>
            <m:sub>
              <m:r>
                <m:rPr>
                  <m:sty m:val="p"/>
                </m:rPr>
                <m:t>Snow</m:t>
              </m:r>
            </m:sub>
          </m:sSub>
        </m:oMath>
      </m:oMathPara>
    </w:p>
    <w:p>
      <w:pPr>
        <w:spacing w:after="100"/>
      </w:pPr>
      <w:r>
        <w:t>This ordering is a decision-quality check: the model’s mean visual risk should increase as the surface becomes more hazardous. External testing on independent Ontario camera images remains necessary before production claims can be made.</w:t>
      </w:r>
    </w:p>
    <w:p>
      <w:pPr>
        <w:pStyle w:val="Heading1"/>
      </w:pPr>
      <w:r>
        <w:t>4. ResNet18: Formula Logic and Selection</w:t>
      </w:r>
    </w:p>
    <w:p>
      <w:pPr>
        <w:spacing w:after="100"/>
      </w:pPr>
      <w:r>
        <w:t>ResNet18 is a convolutional neural network with residual or skip connections. A residual block learns a change F(x) and adds it to the existing representation x:</w:t>
      </w:r>
    </w:p>
    <w:p>
      <w:pPr>
        <w:spacing w:before="60" w:after="140"/>
        <w:jc w:val="center"/>
      </w:pPr>
      <m:oMathPara>
        <m:oMath>
          <m:r>
            <m:rPr>
              <m:sty m:val="p"/>
            </m:rPr>
            <m:t>y = F(x) + x</m:t>
          </m:r>
        </m:oMath>
      </m:oMathPara>
    </w:p>
    <w:p>
      <w:pPr>
        <w:spacing w:after="100"/>
      </w:pPr>
      <w:r>
        <w:t>Skip connections improve gradient flow and allow deeper feature extractors to train reliably. In Smart-Shield, an image is resized and normalized to 224 × 224 pixels; residual blocks extract features such as texture, reflected light, moisture, slush and snow; and the classifier head outputs three logits. Softmax converts these logits into class probabilities:</w:t>
      </w:r>
    </w:p>
    <w:p>
      <w:pPr>
        <w:spacing w:before="60" w:after="140"/>
        <w:jc w:val="center"/>
      </w:pPr>
      <m:oMathPara>
        <m:oMath>
          <m:sSub>
            <m:e>
              <m:r>
                <m:rPr>
                  <m:sty m:val="p"/>
                </m:rPr>
                <m:t>P</m:t>
              </m:r>
            </m:e>
            <m:sub>
              <m:r>
                <m:rPr>
                  <m:sty m:val="p"/>
                </m:rPr>
                <m:t>k</m:t>
              </m:r>
            </m:sub>
          </m:sSub>
          <m:r>
            <m:rPr>
              <m:sty m:val="p"/>
            </m:rPr>
            <m:t> = P(Y = k | x) = </m:t>
          </m:r>
          <m:f>
            <m:fPr>
              <m:type m:val="bar"/>
            </m:fPr>
            <m:num>
              <m:sSup>
                <m:e>
                  <m:r>
                    <m:rPr>
                      <m:sty m:val="p"/>
                    </m:rPr>
                    <m:t>e</m:t>
                  </m:r>
                </m:e>
                <m:sup>
                  <m:sSub>
                    <m:e>
                      <m:r>
                        <m:rPr>
                          <m:sty m:val="p"/>
                        </m:rPr>
                        <m:t>z</m:t>
                      </m:r>
                    </m:e>
                    <m:sub>
                      <m:r>
                        <m:rPr>
                          <m:sty m:val="p"/>
                        </m:rPr>
                        <m:t>k</m:t>
                      </m:r>
                    </m:sub>
                  </m:sSub>
                </m:sup>
              </m:sSup>
            </m:num>
            <m:den>
              <m:nary>
                <m:naryPr>
                  <m:chr m:val="∑"/>
                  <m:limLoc m:val="undOvr"/>
                </m:naryPr>
                <m:sub>
                  <m:r>
                    <m:rPr>
                      <m:sty m:val="p"/>
                    </m:rPr>
                    <m:t>j = 1</m:t>
                  </m:r>
                </m:sub>
                <m:sup>
                  <m:r>
                    <m:rPr>
                      <m:sty m:val="p"/>
                    </m:rPr>
                    <m:t>3</m:t>
                  </m:r>
                </m:sup>
                <m:e>
                  <m:sSup>
                    <m:e>
                      <m:r>
                        <m:rPr>
                          <m:sty m:val="p"/>
                        </m:rPr>
                        <m:t>e</m:t>
                      </m:r>
                    </m:e>
                    <m:sup>
                      <m:sSub>
                        <m:e>
                          <m:r>
                            <m:rPr>
                              <m:sty m:val="p"/>
                            </m:rPr>
                            <m:t>z</m:t>
                          </m:r>
                        </m:e>
                        <m:sub>
                          <m:r>
                            <m:rPr>
                              <m:sty m:val="p"/>
                            </m:rPr>
                            <m:t>j</m:t>
                          </m:r>
                        </m:sub>
                      </m:sSub>
                    </m:sup>
                  </m:sSup>
                </m:e>
              </m:nary>
            </m:den>
          </m:f>
        </m:oMath>
      </m:oMathPara>
    </w:p>
    <w:p>
      <w:pPr>
        <w:jc w:val="center"/>
      </w:pPr>
      <w:r>
        <w:rPr>
          <w:i/>
          <w:sz w:val="18"/>
        </w:rPr>
        <w:t>Equivalent denominator:  Σⱼ exp(zⱼ), for j = 1, 2, 3.</w:t>
      </w:r>
    </w:p>
    <w:p>
      <w:pPr>
        <w:spacing w:after="100"/>
      </w:pPr>
      <w:r>
        <w:t>ResNet18 was selected because it supports transfer learning from ImageNet, is computationally lighter than deeper ResNet variants, matched the available sample size, achieved usable validation accuracy and maintained the Clear &lt; Wet &lt; Snow hazard ordering. It classifies visible road surfaces; it does not directly predict whether a collision will occur.</w:t>
      </w:r>
    </w:p>
    <w:p>
      <w:pPr>
        <w:pStyle w:val="Heading1"/>
      </w:pPr>
      <w:r>
        <w:t>5. Autoencoder: Anomaly Logic and Backend Decision</w:t>
      </w:r>
    </w:p>
    <w:p>
      <w:pPr>
        <w:spacing w:after="100"/>
      </w:pPr>
      <w:r>
        <w:t>A supervised classifier must select one of its known labels and may be overconfident on an unfamiliar image. The convolutional autoencoder was introduced as an unsupervised normal-road sensor. It was trained only on Clear Asphalt and learned to reconstruct a typical dry road. Reconstruction error is measured using mean squared error:</w:t>
      </w:r>
    </w:p>
    <w:p>
      <w:pPr>
        <w:spacing w:before="60" w:after="140"/>
        <w:jc w:val="center"/>
      </w:pPr>
      <m:oMathPara>
        <m:oMath>
          <m:r>
            <m:rPr>
              <m:sty m:val="p"/>
            </m:rPr>
            <m:t>MSE(x, x̂) = </m:t>
          </m:r>
          <m:f>
            <m:fPr>
              <m:type m:val="bar"/>
            </m:fPr>
            <m:num>
              <m:r>
                <m:rPr>
                  <m:sty m:val="p"/>
                </m:rPr>
                <m:t>1</m:t>
              </m:r>
            </m:num>
            <m:den>
              <m:r>
                <m:rPr>
                  <m:sty m:val="p"/>
                </m:rPr>
                <m:t>N</m:t>
              </m:r>
            </m:den>
          </m:f>
          <m:r>
            <m:rPr>
              <m:sty m:val="p"/>
            </m:rPr>
            <m:t> </m:t>
          </m:r>
          <m:nary>
            <m:naryPr>
              <m:chr m:val="∑"/>
              <m:limLoc m:val="undOvr"/>
            </m:naryPr>
            <m:sub>
              <m:r>
                <m:rPr>
                  <m:sty m:val="p"/>
                </m:rPr>
                <m:t>i = 1</m:t>
              </m:r>
            </m:sub>
            <m:sup>
              <m:r>
                <m:rPr>
                  <m:sty m:val="p"/>
                </m:rPr>
                <m:t>N</m:t>
              </m:r>
            </m:sup>
            <m:e>
              <m:sSup>
                <m:e>
                  <m:r>
                    <m:rPr>
                      <m:sty m:val="p"/>
                    </m:rPr>
                    <m:t>(</m:t>
                  </m:r>
                  <m:sSub>
                    <m:e>
                      <m:r>
                        <m:rPr>
                          <m:sty m:val="p"/>
                        </m:rPr>
                        <m:t>x</m:t>
                      </m:r>
                    </m:e>
                    <m:sub>
                      <m:r>
                        <m:rPr>
                          <m:sty m:val="p"/>
                        </m:rPr>
                        <m:t>i</m:t>
                      </m:r>
                    </m:sub>
                  </m:sSub>
                  <m:r>
                    <m:rPr>
                      <m:sty m:val="p"/>
                    </m:rPr>
                    <m:t> − </m:t>
                  </m:r>
                  <m:sSub>
                    <m:e>
                      <m:r>
                        <m:rPr>
                          <m:sty m:val="p"/>
                        </m:rPr>
                        <m:t>x̂</m:t>
                      </m:r>
                    </m:e>
                    <m:sub>
                      <m:r>
                        <m:rPr>
                          <m:sty m:val="p"/>
                        </m:rPr>
                        <m:t>i</m:t>
                      </m:r>
                    </m:sub>
                  </m:sSub>
                  <m:r>
                    <m:rPr>
                      <m:sty m:val="p"/>
                    </m:rPr>
                    <m:t>)</m:t>
                  </m:r>
                </m:e>
                <m:sup>
                  <m:r>
                    <m:rPr>
                      <m:sty m:val="p"/>
                    </m:rPr>
                    <m:t>2</m:t>
                  </m:r>
                </m:sup>
              </m:sSup>
            </m:e>
          </m:nary>
        </m:oMath>
      </m:oMathPara>
    </w:p>
    <w:p>
      <w:pPr>
        <w:spacing w:after="100"/>
      </w:pPr>
      <w:r>
        <w:t>A low error indicates similarity to learned clear-road structure; a high error indicates an unusual surface. The error is mapped to an anomaly score between zero and one. The optional hybrid vision score is:</w:t>
      </w:r>
    </w:p>
    <w:p>
      <w:pPr>
        <w:spacing w:before="60" w:after="140"/>
        <w:jc w:val="center"/>
      </w:pPr>
      <m:oMathPara>
        <m:oMath>
          <m:sSub>
            <m:e>
              <m:r>
                <m:rPr>
                  <m:sty m:val="p"/>
                </m:rPr>
                <m:t>V</m:t>
              </m:r>
            </m:e>
            <m:sub>
              <m:r>
                <m:rPr>
                  <m:sty m:val="p"/>
                </m:rPr>
                <m:t>vision</m:t>
              </m:r>
            </m:sub>
          </m:sSub>
          <m:r>
            <m:rPr>
              <m:sty m:val="p"/>
            </m:rPr>
            <m:t> = α</m:t>
          </m:r>
          <m:sSub>
            <m:e>
              <m:r>
                <m:rPr>
                  <m:sty m:val="p"/>
                </m:rPr>
                <m:t>V</m:t>
              </m:r>
            </m:e>
            <m:sub>
              <m:r>
                <m:rPr>
                  <m:sty m:val="p"/>
                </m:rPr>
                <m:t>class</m:t>
              </m:r>
            </m:sub>
          </m:sSub>
          <m:r>
            <m:rPr>
              <m:sty m:val="p"/>
            </m:rPr>
            <m:t> + (1 − α)</m:t>
          </m:r>
          <m:sSub>
            <m:e>
              <m:r>
                <m:rPr>
                  <m:sty m:val="p"/>
                </m:rPr>
                <m:t>V</m:t>
              </m:r>
            </m:e>
            <m:sub>
              <m:r>
                <m:rPr>
                  <m:sty m:val="p"/>
                </m:rPr>
                <m:t>anomaly</m:t>
              </m:r>
            </m:sub>
          </m:sSub>
        </m:oMath>
      </m:oMathPara>
    </w:p>
    <w:p>
      <w:pPr>
        <w:spacing w:before="60" w:after="140"/>
        <w:jc w:val="center"/>
      </w:pPr>
      <m:oMathPara>
        <m:oMath>
          <m:r>
            <m:rPr>
              <m:sty m:val="p"/>
            </m:rPr>
            <m:t>α = 0.70</m:t>
          </m:r>
        </m:oMath>
      </m:oMathPara>
    </w:p>
    <w:p>
      <w:pPr>
        <w:spacing w:after="100"/>
      </w:pPr>
      <w:r>
        <w:t>ResNet-only and ResNet-plus-autoencoder were compared on held-out frames. ResNet-only achieved the stronger selection score and cleaner class separation, so the current deployed configuration is:</w:t>
      </w:r>
    </w:p>
    <w:p>
      <w:pPr>
        <w:spacing w:before="60" w:after="140"/>
        <w:jc w:val="center"/>
      </w:pPr>
      <m:oMathPara>
        <m:oMath>
          <m:sSub>
            <m:e>
              <m:r>
                <m:rPr>
                  <m:sty m:val="p"/>
                </m:rPr>
                <m:t>V</m:t>
              </m:r>
            </m:e>
            <m:sub>
              <m:r>
                <m:rPr>
                  <m:sty m:val="p"/>
                </m:rPr>
                <m:t>vision</m:t>
              </m:r>
            </m:sub>
          </m:sSub>
          <m:r>
            <m:rPr>
              <m:sty m:val="p"/>
            </m:rPr>
            <m:t> = </m:t>
          </m:r>
          <m:sSub>
            <m:e>
              <m:r>
                <m:rPr>
                  <m:sty m:val="p"/>
                </m:rPr>
                <m:t>V</m:t>
              </m:r>
            </m:e>
            <m:sub>
              <m:r>
                <m:rPr>
                  <m:sty m:val="p"/>
                </m:rPr>
                <m:t>class</m:t>
              </m:r>
            </m:sub>
          </m:sSub>
        </m:oMath>
      </m:oMathPara>
    </w:p>
    <w:p>
      <w:pPr>
        <w:spacing w:after="100"/>
      </w:pPr>
      <w:r>
        <w:t>The autoencoder therefore remains an experimental robustness branch rather than being forced into production when it does not improve validation results.</w:t>
      </w:r>
    </w:p>
    <w:p>
      <w:pPr>
        <w:pStyle w:val="Heading1"/>
      </w:pPr>
      <w:r>
        <w:t>6. Why Each Model Was Used</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8"/>
              </w:rPr>
              <w:t>Stage</w:t>
            </w:r>
          </w:p>
        </w:tc>
        <w:tc>
          <w:tcPr>
            <w:tcW w:type="dxa" w:w="2304"/>
            <w:vAlign w:val="center"/>
            <w:shd w:fill="1F4E78"/>
          </w:tcPr>
          <w:p>
            <w:r/>
            <w:r>
              <w:rPr>
                <w:b/>
                <w:color w:val="FFFFFF"/>
                <w:sz w:val="18"/>
              </w:rPr>
              <w:t>Method</w:t>
            </w:r>
          </w:p>
        </w:tc>
        <w:tc>
          <w:tcPr>
            <w:tcW w:type="dxa" w:w="4896"/>
            <w:vAlign w:val="center"/>
            <w:shd w:fill="1F4E78"/>
          </w:tcPr>
          <w:p>
            <w:r/>
            <w:r>
              <w:rPr>
                <w:b/>
                <w:color w:val="FFFFFF"/>
                <w:sz w:val="18"/>
              </w:rPr>
              <w:t>Selection basis</w:t>
            </w:r>
          </w:p>
        </w:tc>
      </w:tr>
      <w:tr>
        <w:tc>
          <w:tcPr>
            <w:tcW w:type="dxa" w:w="1872"/>
            <w:vAlign w:val="center"/>
          </w:tcPr>
          <w:p>
            <w:r/>
            <w:r>
              <w:rPr>
                <w:b w:val="0"/>
                <w:sz w:val="18"/>
              </w:rPr>
              <w:t>Text alerts</w:t>
            </w:r>
          </w:p>
        </w:tc>
        <w:tc>
          <w:tcPr>
            <w:tcW w:type="dxa" w:w="2304"/>
            <w:vAlign w:val="center"/>
          </w:tcPr>
          <w:p>
            <w:r/>
            <w:r>
              <w:rPr>
                <w:b w:val="0"/>
                <w:sz w:val="18"/>
              </w:rPr>
              <w:t>TF-IDF + hazard lexicon</w:t>
            </w:r>
          </w:p>
        </w:tc>
        <w:tc>
          <w:tcPr>
            <w:tcW w:type="dxa" w:w="4896"/>
            <w:vAlign w:val="center"/>
          </w:tcPr>
          <w:p>
            <w:r/>
            <w:r>
              <w:rPr>
                <w:b w:val="0"/>
                <w:sz w:val="18"/>
              </w:rPr>
              <w:t>Interpretable and suitable for short 511-style alerts without a large labelled text corpus</w:t>
            </w:r>
          </w:p>
        </w:tc>
      </w:tr>
      <w:tr>
        <w:tc>
          <w:tcPr>
            <w:tcW w:type="dxa" w:w="1872"/>
            <w:vAlign w:val="center"/>
            <w:shd w:fill="DCE6F1"/>
          </w:tcPr>
          <w:p>
            <w:r/>
            <w:r>
              <w:rPr>
                <w:b w:val="0"/>
                <w:sz w:val="18"/>
              </w:rPr>
              <w:t>Road images</w:t>
            </w:r>
          </w:p>
        </w:tc>
        <w:tc>
          <w:tcPr>
            <w:tcW w:type="dxa" w:w="2304"/>
            <w:vAlign w:val="center"/>
            <w:shd w:fill="DCE6F1"/>
          </w:tcPr>
          <w:p>
            <w:r/>
            <w:r>
              <w:rPr>
                <w:b w:val="0"/>
                <w:sz w:val="18"/>
              </w:rPr>
              <w:t>ResNet18</w:t>
            </w:r>
          </w:p>
        </w:tc>
        <w:tc>
          <w:tcPr>
            <w:tcW w:type="dxa" w:w="4896"/>
            <w:vAlign w:val="center"/>
            <w:shd w:fill="DCE6F1"/>
          </w:tcPr>
          <w:p>
            <w:r/>
            <w:r>
              <w:rPr>
                <w:b w:val="0"/>
                <w:sz w:val="18"/>
              </w:rPr>
              <w:t>Efficient transfer learning and strong Clear/Wet/Snow separation</w:t>
            </w:r>
          </w:p>
        </w:tc>
      </w:tr>
      <w:tr>
        <w:tc>
          <w:tcPr>
            <w:tcW w:type="dxa" w:w="1872"/>
            <w:vAlign w:val="center"/>
          </w:tcPr>
          <w:p>
            <w:r/>
            <w:r>
              <w:rPr>
                <w:b w:val="0"/>
                <w:sz w:val="18"/>
              </w:rPr>
              <w:t>Unknown visual conditions</w:t>
            </w:r>
          </w:p>
        </w:tc>
        <w:tc>
          <w:tcPr>
            <w:tcW w:type="dxa" w:w="2304"/>
            <w:vAlign w:val="center"/>
          </w:tcPr>
          <w:p>
            <w:r/>
            <w:r>
              <w:rPr>
                <w:b w:val="0"/>
                <w:sz w:val="18"/>
              </w:rPr>
              <w:t>Convolutional autoencoder</w:t>
            </w:r>
          </w:p>
        </w:tc>
        <w:tc>
          <w:tcPr>
            <w:tcW w:type="dxa" w:w="4896"/>
            <w:vAlign w:val="center"/>
          </w:tcPr>
          <w:p>
            <w:r/>
            <w:r>
              <w:rPr>
                <w:b w:val="0"/>
                <w:sz w:val="18"/>
              </w:rPr>
              <w:t>Detects deviations from Clear Asphalt without anomaly labels</w:t>
            </w:r>
          </w:p>
        </w:tc>
      </w:tr>
      <w:tr>
        <w:tc>
          <w:tcPr>
            <w:tcW w:type="dxa" w:w="1872"/>
            <w:vAlign w:val="center"/>
            <w:shd w:fill="DCE6F1"/>
          </w:tcPr>
          <w:p>
            <w:r/>
            <w:r>
              <w:rPr>
                <w:b w:val="0"/>
                <w:sz w:val="18"/>
              </w:rPr>
              <w:t>Tabular baseline</w:t>
            </w:r>
          </w:p>
        </w:tc>
        <w:tc>
          <w:tcPr>
            <w:tcW w:type="dxa" w:w="2304"/>
            <w:vAlign w:val="center"/>
            <w:shd w:fill="DCE6F1"/>
          </w:tcPr>
          <w:p>
            <w:r/>
            <w:r>
              <w:rPr>
                <w:b w:val="0"/>
                <w:sz w:val="18"/>
              </w:rPr>
              <w:t>Logistic Regression</w:t>
            </w:r>
          </w:p>
        </w:tc>
        <w:tc>
          <w:tcPr>
            <w:tcW w:type="dxa" w:w="4896"/>
            <w:vAlign w:val="center"/>
            <w:shd w:fill="DCE6F1"/>
          </w:tcPr>
          <w:p>
            <w:r/>
            <w:r>
              <w:rPr>
                <w:b w:val="0"/>
                <w:sz w:val="18"/>
              </w:rPr>
              <w:t>Interpretable probability baseline for linear log-odds effects</w:t>
            </w:r>
          </w:p>
        </w:tc>
      </w:tr>
      <w:tr>
        <w:tc>
          <w:tcPr>
            <w:tcW w:type="dxa" w:w="1872"/>
            <w:vAlign w:val="center"/>
          </w:tcPr>
          <w:p>
            <w:r/>
            <w:r>
              <w:rPr>
                <w:b w:val="0"/>
                <w:sz w:val="18"/>
              </w:rPr>
              <w:t>Nonlinear tabular comparison</w:t>
            </w:r>
          </w:p>
        </w:tc>
        <w:tc>
          <w:tcPr>
            <w:tcW w:type="dxa" w:w="2304"/>
            <w:vAlign w:val="center"/>
          </w:tcPr>
          <w:p>
            <w:r/>
            <w:r>
              <w:rPr>
                <w:b w:val="0"/>
                <w:sz w:val="18"/>
              </w:rPr>
              <w:t>Random Forest / LightGBM</w:t>
            </w:r>
          </w:p>
        </w:tc>
        <w:tc>
          <w:tcPr>
            <w:tcW w:type="dxa" w:w="4896"/>
            <w:vAlign w:val="center"/>
          </w:tcPr>
          <w:p>
            <w:r/>
            <w:r>
              <w:rPr>
                <w:b w:val="0"/>
                <w:sz w:val="18"/>
              </w:rPr>
              <w:t>Capture interactions and nonlinear effects</w:t>
            </w:r>
          </w:p>
        </w:tc>
      </w:tr>
      <w:tr>
        <w:tc>
          <w:tcPr>
            <w:tcW w:type="dxa" w:w="1872"/>
            <w:vAlign w:val="center"/>
            <w:shd w:fill="DCE6F1"/>
          </w:tcPr>
          <w:p>
            <w:r/>
            <w:r>
              <w:rPr>
                <w:b w:val="0"/>
                <w:sz w:val="18"/>
              </w:rPr>
              <w:t>Safety-recall benchmark</w:t>
            </w:r>
          </w:p>
        </w:tc>
        <w:tc>
          <w:tcPr>
            <w:tcW w:type="dxa" w:w="2304"/>
            <w:vAlign w:val="center"/>
            <w:shd w:fill="DCE6F1"/>
          </w:tcPr>
          <w:p>
            <w:r/>
            <w:r>
              <w:rPr>
                <w:b w:val="0"/>
                <w:sz w:val="18"/>
              </w:rPr>
              <w:t>GLU</w:t>
            </w:r>
          </w:p>
        </w:tc>
        <w:tc>
          <w:tcPr>
            <w:tcW w:type="dxa" w:w="4896"/>
            <w:vAlign w:val="center"/>
            <w:shd w:fill="DCE6F1"/>
          </w:tcPr>
          <w:p>
            <w:r/>
            <w:r>
              <w:rPr>
                <w:b w:val="0"/>
                <w:sz w:val="18"/>
              </w:rPr>
              <w:t>Highest reported fatal recall in the W10 comparison</w:t>
            </w:r>
          </w:p>
        </w:tc>
      </w:tr>
      <w:tr>
        <w:tc>
          <w:tcPr>
            <w:tcW w:type="dxa" w:w="1872"/>
            <w:vAlign w:val="center"/>
          </w:tcPr>
          <w:p>
            <w:r/>
            <w:r>
              <w:rPr>
                <w:b w:val="0"/>
                <w:sz w:val="18"/>
              </w:rPr>
              <w:t>Deployment explanation</w:t>
            </w:r>
          </w:p>
        </w:tc>
        <w:tc>
          <w:tcPr>
            <w:tcW w:type="dxa" w:w="2304"/>
            <w:vAlign w:val="center"/>
          </w:tcPr>
          <w:p>
            <w:r/>
            <w:r>
              <w:rPr>
                <w:b w:val="0"/>
                <w:sz w:val="18"/>
              </w:rPr>
              <w:t>Tuned Random Forest + SHAP</w:t>
            </w:r>
          </w:p>
        </w:tc>
        <w:tc>
          <w:tcPr>
            <w:tcW w:type="dxa" w:w="4896"/>
            <w:vAlign w:val="center"/>
          </w:tcPr>
          <w:p>
            <w:r/>
            <w:r>
              <w:rPr>
                <w:b w:val="0"/>
                <w:sz w:val="18"/>
              </w:rPr>
              <w:t>Stable serialized artifact and practical feature-level explanations</w:t>
            </w:r>
          </w:p>
        </w:tc>
      </w:tr>
      <w:tr>
        <w:tc>
          <w:tcPr>
            <w:tcW w:type="dxa" w:w="1872"/>
            <w:vAlign w:val="center"/>
            <w:shd w:fill="DCE6F1"/>
          </w:tcPr>
          <w:p>
            <w:r/>
            <w:r>
              <w:rPr>
                <w:b w:val="0"/>
                <w:sz w:val="18"/>
              </w:rPr>
              <w:t>Environment</w:t>
            </w:r>
          </w:p>
        </w:tc>
        <w:tc>
          <w:tcPr>
            <w:tcW w:type="dxa" w:w="2304"/>
            <w:vAlign w:val="center"/>
            <w:shd w:fill="DCE6F1"/>
          </w:tcPr>
          <w:p>
            <w:r/>
            <w:r>
              <w:rPr>
                <w:b w:val="0"/>
                <w:sz w:val="18"/>
              </w:rPr>
              <w:t>Literature-grounded weighted index</w:t>
            </w:r>
          </w:p>
        </w:tc>
        <w:tc>
          <w:tcPr>
            <w:tcW w:type="dxa" w:w="4896"/>
            <w:vAlign w:val="center"/>
            <w:shd w:fill="DCE6F1"/>
          </w:tcPr>
          <w:p>
            <w:r/>
            <w:r>
              <w:rPr>
                <w:b w:val="0"/>
                <w:sz w:val="18"/>
              </w:rPr>
              <w:t>Paper 2 supports hazard direction; live inputs do not require retraining</w:t>
            </w:r>
          </w:p>
        </w:tc>
      </w:tr>
      <w:tr>
        <w:tc>
          <w:tcPr>
            <w:tcW w:type="dxa" w:w="1872"/>
            <w:vAlign w:val="center"/>
          </w:tcPr>
          <w:p>
            <w:r/>
            <w:r>
              <w:rPr>
                <w:b w:val="0"/>
                <w:sz w:val="18"/>
              </w:rPr>
              <w:t>Final fusion</w:t>
            </w:r>
          </w:p>
        </w:tc>
        <w:tc>
          <w:tcPr>
            <w:tcW w:type="dxa" w:w="2304"/>
            <w:vAlign w:val="center"/>
          </w:tcPr>
          <w:p>
            <w:r/>
            <w:r>
              <w:rPr>
                <w:b w:val="0"/>
                <w:sz w:val="18"/>
              </w:rPr>
              <w:t>Weighted convex combination</w:t>
            </w:r>
          </w:p>
        </w:tc>
        <w:tc>
          <w:tcPr>
            <w:tcW w:type="dxa" w:w="4896"/>
            <w:vAlign w:val="center"/>
          </w:tcPr>
          <w:p>
            <w:r/>
            <w:r>
              <w:rPr>
                <w:b w:val="0"/>
                <w:sz w:val="18"/>
              </w:rPr>
              <w:t>Bounded, transparent and consistent with Paper 1’s multi-criteria concept</w:t>
            </w:r>
          </w:p>
        </w:tc>
      </w:tr>
    </w:tbl>
    <w:p>
      <w:pPr>
        <w:spacing w:after="20"/>
      </w:pPr>
    </w:p>
    <w:p>
      <w:pPr>
        <w:spacing w:after="100"/>
      </w:pPr>
      <w:r>
        <w:t>GLU and Random Forest serve different decision objectives. GLU achieved the highest reported fatal recall (approximately 66%), while Random Forest remained the principal explainable deployment artifact for SHAP and serialized inference. The original 92% fatal-recall target has not yet been achieved and must be reported as future work, not as a completed KPI.</w:t>
      </w:r>
    </w:p>
    <w:p>
      <w:pPr>
        <w:pStyle w:val="Heading1"/>
      </w:pPr>
      <w:r>
        <w:t>7. Environmental Index</w:t>
      </w:r>
    </w:p>
    <w:p>
      <w:pPr>
        <w:spacing w:after="100"/>
      </w:pPr>
      <w:r>
        <w:t>The environmental pillar combines normalized component risks:</w:t>
      </w:r>
    </w:p>
    <w:p>
      <w:pPr>
        <w:spacing w:before="60" w:after="140"/>
        <w:jc w:val="center"/>
      </w:pPr>
      <m:oMathPara>
        <m:oMath>
          <m:sSub>
            <m:e>
              <m:r>
                <m:rPr>
                  <m:sty m:val="p"/>
                </m:rPr>
                <m:t>E</m:t>
              </m:r>
            </m:e>
            <m:sub>
              <m:r>
                <m:rPr>
                  <m:sty m:val="p"/>
                </m:rPr>
                <m:t>index</m:t>
              </m:r>
            </m:sub>
          </m:sSub>
          <m:r>
            <m:rPr>
              <m:sty m:val="p"/>
            </m:rPr>
            <m:t> = 0.35</m:t>
          </m:r>
          <m:sSub>
            <m:e>
              <m:r>
                <m:rPr>
                  <m:sty m:val="p"/>
                </m:rPr>
                <m:t>R</m:t>
              </m:r>
            </m:e>
            <m:sub>
              <m:r>
                <m:rPr>
                  <m:sty m:val="p"/>
                </m:rPr>
                <m:t>surface</m:t>
              </m:r>
            </m:sub>
          </m:sSub>
          <m:r>
            <m:rPr>
              <m:sty m:val="p"/>
            </m:rPr>
            <m:t> + 0.30</m:t>
          </m:r>
          <m:sSub>
            <m:e>
              <m:r>
                <m:rPr>
                  <m:sty m:val="p"/>
                </m:rPr>
                <m:t>R</m:t>
              </m:r>
            </m:e>
            <m:sub>
              <m:r>
                <m:rPr>
                  <m:sty m:val="p"/>
                </m:rPr>
                <m:t>visibility</m:t>
              </m:r>
            </m:sub>
          </m:sSub>
          <m:r>
            <m:rPr>
              <m:sty m:val="p"/>
            </m:rPr>
            <m:t> + 0.20</m:t>
          </m:r>
          <m:sSub>
            <m:e>
              <m:r>
                <m:rPr>
                  <m:sty m:val="p"/>
                </m:rPr>
                <m:t>R</m:t>
              </m:r>
            </m:e>
            <m:sub>
              <m:r>
                <m:rPr>
                  <m:sty m:val="p"/>
                </m:rPr>
                <m:t>wind</m:t>
              </m:r>
            </m:sub>
          </m:sSub>
          <m:r>
            <m:rPr>
              <m:sty m:val="p"/>
            </m:rPr>
            <m:t> + 0.15</m:t>
          </m:r>
          <m:sSub>
            <m:e>
              <m:r>
                <m:rPr>
                  <m:sty m:val="p"/>
                </m:rPr>
                <m:t>R</m:t>
              </m:r>
            </m:e>
            <m:sub>
              <m:r>
                <m:rPr>
                  <m:sty m:val="p"/>
                </m:rPr>
                <m:t>temperature</m:t>
              </m:r>
            </m:sub>
          </m:sSub>
        </m:oMath>
      </m:oMathPara>
    </w:p>
    <w:p>
      <w:pPr>
        <w:spacing w:before="60" w:after="140"/>
        <w:jc w:val="center"/>
      </w:pPr>
      <m:oMathPara>
        <m:oMath>
          <m:r>
            <m:rPr>
              <m:sty m:val="p"/>
            </m:rPr>
            <m:t>0.35 + 0.30 + 0.20 + 0.15 = 1</m:t>
          </m:r>
        </m:oMath>
      </m:oMathPara>
    </w:p>
    <w:p>
      <w:pPr>
        <w:spacing w:after="100"/>
      </w:pPr>
      <w:r>
        <w:t>Surface and visibility receive the largest weights because the Paper 2 replication showed adverse-outcome patterns for wet, flooded and snow-covered surfaces and for poor lighting or visibility. These are literature-grounded design parameters, not learned model coefficients or causal-effect estimates.</w:t>
      </w:r>
    </w:p>
    <w:p>
      <w:pPr>
        <w:pStyle w:val="Heading1"/>
      </w:pPr>
      <w:r>
        <w:t>8. Safety Score and Paper 1 Connection</w:t>
      </w:r>
    </w:p>
    <w:p>
      <w:pPr>
        <w:pStyle w:val="Heading2"/>
        <w:spacing w:after="100"/>
      </w:pPr>
      <w:r>
        <w:t>Paper 1: what the SPI represents</w:t>
      </w:r>
    </w:p>
    <w:p>
      <w:pPr>
        <w:spacing w:after="100"/>
      </w:pPr>
      <w:r>
        <w:t>Pennino and D’Amato use a Seakeeping Performance Index (SPI) to combine several normalized vessel-safety criteria—such as pitch, roll, vertical acceleration, slamming probability, green-water probability and motion sickness—into one bounded measure for weather-aware route planning.</w:t>
      </w:r>
    </w:p>
    <w:p>
      <w:pPr>
        <w:spacing w:after="100"/>
      </w:pPr>
      <w:r>
        <w:t>In this report, the normalized-margin principle is summarized in generalized form as:</w:t>
      </w:r>
    </w:p>
    <w:p>
      <w:pPr>
        <w:spacing w:before="60" w:after="140"/>
        <w:jc w:val="center"/>
      </w:pPr>
      <w:r>
        <w:rPr>
          <w:rFonts w:ascii="Cambria Math" w:hAnsi="Cambria Math" w:eastAsia="Cambria Math"/>
          <w:i/>
          <w:sz w:val="22"/>
        </w:rPr>
        <w:t>SPI = max[0, ∏ₖ₌₁ᴷ (1 − xₖ/xₖ,lim)]</w:t>
      </w:r>
    </w:p>
    <w:p>
      <w:pPr>
        <w:spacing w:after="100"/>
      </w:pPr>
      <w:r>
        <w:t>The notation means:</w:t>
      </w:r>
    </w:p>
    <w:p>
      <w:pPr>
        <w:pStyle w:val="ListBullet"/>
        <w:spacing w:after="100"/>
      </w:pPr>
      <w:r>
        <w:t>xₖ is the observed value of safety criterion k.</w:t>
      </w:r>
    </w:p>
    <w:p>
      <w:pPr>
        <w:pStyle w:val="ListBullet"/>
        <w:spacing w:after="100"/>
      </w:pPr>
      <w:r>
        <w:t>xₖ,lim is the accepted operational limit for that criterion.</w:t>
      </w:r>
    </w:p>
    <w:p>
      <w:pPr>
        <w:pStyle w:val="ListBullet"/>
        <w:spacing w:after="100"/>
      </w:pPr>
      <w:r>
        <w:t>xₖ/xₖ,lim is the proportion of the limit already reached.</w:t>
      </w:r>
    </w:p>
    <w:p>
      <w:pPr>
        <w:pStyle w:val="ListBullet"/>
        <w:spacing w:after="100"/>
      </w:pPr>
      <w:r>
        <w:t>1 − xₖ/xₖ,lim is the remaining safety margin for that criterion.</w:t>
      </w:r>
    </w:p>
    <w:p>
      <w:pPr>
        <w:pStyle w:val="ListBullet"/>
        <w:spacing w:after="100"/>
      </w:pPr>
      <w:r>
        <w:t>The product combines the margins, so one severely degraded criterion can substantially reduce the complete index.</w:t>
      </w:r>
    </w:p>
    <w:p>
      <w:pPr>
        <w:pStyle w:val="ListBullet"/>
        <w:spacing w:after="100"/>
      </w:pPr>
      <w:r>
        <w:t>max(0, ·) prevents the reported index from falling below zero when a criterion reaches or exceeds its limit.</w:t>
      </w:r>
    </w:p>
    <w:p>
      <w:pPr>
        <w:spacing w:after="100"/>
      </w:pPr>
      <w:r>
        <w:rPr>
          <w:b/>
        </w:rPr>
        <w:t>Example:</w:t>
      </w:r>
      <w:r/>
    </w:p>
    <w:p>
      <w:pPr>
        <w:spacing w:after="100"/>
      </w:pPr>
      <w:r>
        <w:t>If measured roll reaches 80% of its permitted limit, its remaining safety margin is:</w:t>
      </w:r>
    </w:p>
    <w:p>
      <w:pPr>
        <w:spacing w:before="60" w:after="140"/>
        <w:jc w:val="center"/>
      </w:pPr>
      <w:r>
        <w:rPr>
          <w:rFonts w:ascii="Cambria Math" w:hAnsi="Cambria Math" w:eastAsia="Cambria Math"/>
          <w:i/>
          <w:sz w:val="22"/>
        </w:rPr>
        <w:t>1 − xroll/xroll,lim = 1 − 0.80 = 0.20</w:t>
      </w:r>
    </w:p>
    <w:p>
      <w:pPr>
        <w:spacing w:after="100"/>
      </w:pPr>
      <w:r>
        <w:t>A contribution of 0.20 is small and therefore lowers the combined SPI. In Paper 1’s interpretation, a high SPI represents more favourable seakeeping performance, while a low SPI represents a reduced safety margin.</w:t>
      </w:r>
    </w:p>
    <w:p>
      <w:pPr>
        <w:pStyle w:val="Heading2"/>
        <w:spacing w:after="100"/>
      </w:pPr>
      <w:r>
        <w:t>How Smart-Shield adapts the idea</w:t>
      </w:r>
    </w:p>
    <w:p>
      <w:pPr>
        <w:spacing w:after="100"/>
      </w:pPr>
      <w:r>
        <w:t>Smart-Shield does not reproduce the maritime equation directly. It borrows the multi-criteria architecture: normalize heterogeneous safety signals, combine them into one bounded index, and use that index when comparing routes. Smart-Shield uses an additive convex combination because each brain’s contribution remains visible and easier to explain.</w:t>
      </w:r>
    </w:p>
    <w:p>
      <w:pPr>
        <w:spacing w:before="60" w:after="140"/>
        <w:jc w:val="center"/>
      </w:pPr>
      <m:oMathPara>
        <m:oMath>
          <m:r>
            <m:rPr>
              <m:sty m:val="p"/>
            </m:rPr>
            <m:t>S = (</m:t>
          </m:r>
          <m:sSub>
            <m:e>
              <m:r>
                <m:rPr>
                  <m:sty m:val="p"/>
                </m:rPr>
                <m:t>w</m:t>
              </m:r>
            </m:e>
            <m:sub>
              <m:r>
                <m:rPr>
                  <m:sty m:val="p"/>
                </m:rPr>
                <m:t>T</m:t>
              </m:r>
            </m:sub>
          </m:sSub>
          <m:r>
            <m:rPr>
              <m:sty m:val="p"/>
            </m:rPr>
            <m:t>T + </m:t>
          </m:r>
          <m:sSub>
            <m:e>
              <m:r>
                <m:rPr>
                  <m:sty m:val="p"/>
                </m:rPr>
                <m:t>w</m:t>
              </m:r>
            </m:e>
            <m:sub>
              <m:r>
                <m:rPr>
                  <m:sty m:val="p"/>
                </m:rPr>
                <m:t>V</m:t>
              </m:r>
            </m:sub>
          </m:sSub>
          <m:r>
            <m:rPr>
              <m:sty m:val="p"/>
            </m:rPr>
            <m:t>V + </m:t>
          </m:r>
          <m:sSub>
            <m:e>
              <m:r>
                <m:rPr>
                  <m:sty m:val="p"/>
                </m:rPr>
                <m:t>w</m:t>
              </m:r>
            </m:e>
            <m:sub>
              <m:r>
                <m:rPr>
                  <m:sty m:val="p"/>
                </m:rPr>
                <m:t>E</m:t>
              </m:r>
            </m:sub>
          </m:sSub>
          <m:sSub>
            <m:e>
              <m:r>
                <m:rPr>
                  <m:sty m:val="p"/>
                </m:rPr>
                <m:t>E</m:t>
              </m:r>
            </m:e>
            <m:sub>
              <m:r>
                <m:rPr>
                  <m:sty m:val="p"/>
                </m:rPr>
                <m:t>index</m:t>
              </m:r>
            </m:sub>
          </m:sSub>
          <m:r>
            <m:rPr>
              <m:sty m:val="p"/>
            </m:rPr>
            <m:t>) × 100</m:t>
          </m:r>
        </m:oMath>
      </m:oMathPara>
    </w:p>
    <w:p>
      <w:pPr>
        <w:spacing w:before="60" w:after="140"/>
        <w:jc w:val="center"/>
      </w:pPr>
      <m:oMathPara>
        <m:oMath>
          <m:sSub>
            <m:e>
              <m:r>
                <m:rPr>
                  <m:sty m:val="p"/>
                </m:rPr>
                <m:t>w</m:t>
              </m:r>
            </m:e>
            <m:sub>
              <m:r>
                <m:rPr>
                  <m:sty m:val="p"/>
                </m:rPr>
                <m:t>T</m:t>
              </m:r>
            </m:sub>
          </m:sSub>
          <m:r>
            <m:rPr>
              <m:sty m:val="p"/>
            </m:rPr>
            <m:t> = 0.25,    </m:t>
          </m:r>
          <m:sSub>
            <m:e>
              <m:r>
                <m:rPr>
                  <m:sty m:val="p"/>
                </m:rPr>
                <m:t>w</m:t>
              </m:r>
            </m:e>
            <m:sub>
              <m:r>
                <m:rPr>
                  <m:sty m:val="p"/>
                </m:rPr>
                <m:t>V</m:t>
              </m:r>
            </m:sub>
          </m:sSub>
          <m:r>
            <m:rPr>
              <m:sty m:val="p"/>
            </m:rPr>
            <m:t> = 0.35,    </m:t>
          </m:r>
          <m:sSub>
            <m:e>
              <m:r>
                <m:rPr>
                  <m:sty m:val="p"/>
                </m:rPr>
                <m:t>w</m:t>
              </m:r>
            </m:e>
            <m:sub>
              <m:r>
                <m:rPr>
                  <m:sty m:val="p"/>
                </m:rPr>
                <m:t>E</m:t>
              </m:r>
            </m:sub>
          </m:sSub>
          <m:r>
            <m:rPr>
              <m:sty m:val="p"/>
            </m:rPr>
            <m:t> = 0.40</m:t>
          </m:r>
        </m:oMath>
      </m:oMathPara>
    </w:p>
    <w:p>
      <w:pPr>
        <w:spacing w:before="60" w:after="140"/>
        <w:jc w:val="center"/>
      </w:pPr>
      <m:oMathPara>
        <m:oMath>
          <m:sSub>
            <m:e>
              <m:r>
                <m:rPr>
                  <m:sty m:val="p"/>
                </m:rPr>
                <m:t>w</m:t>
              </m:r>
            </m:e>
            <m:sub>
              <m:r>
                <m:rPr>
                  <m:sty m:val="p"/>
                </m:rPr>
                <m:t>T</m:t>
              </m:r>
            </m:sub>
          </m:sSub>
          <m:r>
            <m:rPr>
              <m:sty m:val="p"/>
            </m:rPr>
            <m:t> + </m:t>
          </m:r>
          <m:sSub>
            <m:e>
              <m:r>
                <m:rPr>
                  <m:sty m:val="p"/>
                </m:rPr>
                <m:t>w</m:t>
              </m:r>
            </m:e>
            <m:sub>
              <m:r>
                <m:rPr>
                  <m:sty m:val="p"/>
                </m:rPr>
                <m:t>V</m:t>
              </m:r>
            </m:sub>
          </m:sSub>
          <m:r>
            <m:rPr>
              <m:sty m:val="p"/>
            </m:rPr>
            <m:t> + </m:t>
          </m:r>
          <m:sSub>
            <m:e>
              <m:r>
                <m:rPr>
                  <m:sty m:val="p"/>
                </m:rPr>
                <m:t>w</m:t>
              </m:r>
            </m:e>
            <m:sub>
              <m:r>
                <m:rPr>
                  <m:sty m:val="p"/>
                </m:rPr>
                <m:t>E</m:t>
              </m:r>
            </m:sub>
          </m:sSub>
          <m:r>
            <m:rPr>
              <m:sty m:val="p"/>
            </m:rPr>
            <m:t> = 1</m:t>
          </m:r>
        </m:oMath>
      </m:oMathPara>
    </w:p>
    <w:p>
      <w:pPr>
        <w:spacing w:before="60" w:after="140"/>
        <w:jc w:val="center"/>
      </w:pPr>
      <m:oMathPara>
        <m:oMath>
          <m:r>
            <m:rPr>
              <m:sty m:val="p"/>
            </m:rPr>
            <m:t>S = (0.25T + 0.35V + 0.40</m:t>
          </m:r>
          <m:sSub>
            <m:e>
              <m:r>
                <m:rPr>
                  <m:sty m:val="p"/>
                </m:rPr>
                <m:t>E</m:t>
              </m:r>
            </m:e>
            <m:sub>
              <m:r>
                <m:rPr>
                  <m:sty m:val="p"/>
                </m:rPr>
                <m:t>index</m:t>
              </m:r>
            </m:sub>
          </m:sSub>
          <m:r>
            <m:rPr>
              <m:sty m:val="p"/>
            </m:rPr>
            <m:t>) × 100</m:t>
          </m:r>
        </m:oMath>
      </m:oMathPara>
    </w:p>
    <w:p>
      <w:pPr>
        <w:spacing w:after="100"/>
      </w:pPr>
      <w:r>
        <w:t>Here, T is the Ontario 511-style text-alert hazard score, V is the selected visual road-surface hazard score, and E_index is the weighted environmental hazard score. Since all inputs and non-negative weights are bounded between zero and one and the weights sum to one, S is bounded between 0 and 100.</w:t>
      </w:r>
    </w:p>
    <w:p>
      <w:pPr>
        <w:pStyle w:val="Heading2"/>
        <w:spacing w:after="100"/>
      </w:pPr>
      <w:r>
        <w:t>Polarity and aggregation difference</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F4E78"/>
          </w:tcPr>
          <w:p>
            <w:r/>
            <w:r>
              <w:rPr>
                <w:b/>
                <w:color w:val="FFFFFF"/>
                <w:sz w:val="18"/>
              </w:rPr>
              <w:t>Property</w:t>
            </w:r>
          </w:p>
        </w:tc>
        <w:tc>
          <w:tcPr>
            <w:tcW w:type="dxa" w:w="3240"/>
            <w:vAlign w:val="center"/>
            <w:shd w:fill="1F4E78"/>
          </w:tcPr>
          <w:p>
            <w:r/>
            <w:r>
              <w:rPr>
                <w:b/>
                <w:color w:val="FFFFFF"/>
                <w:sz w:val="18"/>
              </w:rPr>
              <w:t>Paper 1 SPI</w:t>
            </w:r>
          </w:p>
        </w:tc>
        <w:tc>
          <w:tcPr>
            <w:tcW w:type="dxa" w:w="3672"/>
            <w:vAlign w:val="center"/>
            <w:shd w:fill="1F4E78"/>
          </w:tcPr>
          <w:p>
            <w:r/>
            <w:r>
              <w:rPr>
                <w:b/>
                <w:color w:val="FFFFFF"/>
                <w:sz w:val="18"/>
              </w:rPr>
              <w:t>Smart-Shield S</w:t>
            </w:r>
          </w:p>
        </w:tc>
      </w:tr>
      <w:tr>
        <w:tc>
          <w:tcPr>
            <w:tcW w:type="dxa" w:w="2160"/>
            <w:vAlign w:val="center"/>
          </w:tcPr>
          <w:p>
            <w:r/>
            <w:r>
              <w:rPr>
                <w:b w:val="0"/>
                <w:sz w:val="18"/>
              </w:rPr>
              <w:t>Meaning of a high value</w:t>
            </w:r>
          </w:p>
        </w:tc>
        <w:tc>
          <w:tcPr>
            <w:tcW w:type="dxa" w:w="3240"/>
            <w:vAlign w:val="center"/>
          </w:tcPr>
          <w:p>
            <w:r/>
            <w:r>
              <w:rPr>
                <w:b w:val="0"/>
                <w:sz w:val="18"/>
              </w:rPr>
              <w:t>More favourable performance</w:t>
            </w:r>
          </w:p>
        </w:tc>
        <w:tc>
          <w:tcPr>
            <w:tcW w:type="dxa" w:w="3672"/>
            <w:vAlign w:val="center"/>
          </w:tcPr>
          <w:p>
            <w:r/>
            <w:r>
              <w:rPr>
                <w:b w:val="0"/>
                <w:sz w:val="18"/>
              </w:rPr>
              <w:t>Greater highway risk</w:t>
            </w:r>
          </w:p>
        </w:tc>
      </w:tr>
      <w:tr>
        <w:tc>
          <w:tcPr>
            <w:tcW w:type="dxa" w:w="2160"/>
            <w:vAlign w:val="center"/>
            <w:shd w:fill="DCE6F1"/>
          </w:tcPr>
          <w:p>
            <w:r/>
            <w:r>
              <w:rPr>
                <w:b w:val="0"/>
                <w:sz w:val="18"/>
              </w:rPr>
              <w:t>Meaning of a low value</w:t>
            </w:r>
          </w:p>
        </w:tc>
        <w:tc>
          <w:tcPr>
            <w:tcW w:type="dxa" w:w="3240"/>
            <w:vAlign w:val="center"/>
            <w:shd w:fill="DCE6F1"/>
          </w:tcPr>
          <w:p>
            <w:r/>
            <w:r>
              <w:rPr>
                <w:b w:val="0"/>
                <w:sz w:val="18"/>
              </w:rPr>
              <w:t>Reduced safety margin</w:t>
            </w:r>
          </w:p>
        </w:tc>
        <w:tc>
          <w:tcPr>
            <w:tcW w:type="dxa" w:w="3672"/>
            <w:vAlign w:val="center"/>
            <w:shd w:fill="DCE6F1"/>
          </w:tcPr>
          <w:p>
            <w:r/>
            <w:r>
              <w:rPr>
                <w:b w:val="0"/>
                <w:sz w:val="18"/>
              </w:rPr>
              <w:t>Lower estimated highway risk</w:t>
            </w:r>
          </w:p>
        </w:tc>
      </w:tr>
      <w:tr>
        <w:tc>
          <w:tcPr>
            <w:tcW w:type="dxa" w:w="2160"/>
            <w:vAlign w:val="center"/>
          </w:tcPr>
          <w:p>
            <w:r/>
            <w:r>
              <w:rPr>
                <w:b w:val="0"/>
                <w:sz w:val="18"/>
              </w:rPr>
              <w:t>Aggregation</w:t>
            </w:r>
          </w:p>
        </w:tc>
        <w:tc>
          <w:tcPr>
            <w:tcW w:type="dxa" w:w="3240"/>
            <w:vAlign w:val="center"/>
          </w:tcPr>
          <w:p>
            <w:r/>
            <w:r>
              <w:rPr>
                <w:b w:val="0"/>
                <w:sz w:val="18"/>
              </w:rPr>
              <w:t>Multiplicative normalized margins</w:t>
            </w:r>
          </w:p>
        </w:tc>
        <w:tc>
          <w:tcPr>
            <w:tcW w:type="dxa" w:w="3672"/>
            <w:vAlign w:val="center"/>
          </w:tcPr>
          <w:p>
            <w:r/>
            <w:r>
              <w:rPr>
                <w:b w:val="0"/>
                <w:sz w:val="18"/>
              </w:rPr>
              <w:t>Additive weighted risk signals</w:t>
            </w:r>
          </w:p>
        </w:tc>
      </w:tr>
      <w:tr>
        <w:tc>
          <w:tcPr>
            <w:tcW w:type="dxa" w:w="2160"/>
            <w:vAlign w:val="center"/>
            <w:shd w:fill="DCE6F1"/>
          </w:tcPr>
          <w:p>
            <w:r/>
            <w:r>
              <w:rPr>
                <w:b w:val="0"/>
                <w:sz w:val="18"/>
              </w:rPr>
              <w:t>Effect of one extreme input</w:t>
            </w:r>
          </w:p>
        </w:tc>
        <w:tc>
          <w:tcPr>
            <w:tcW w:type="dxa" w:w="3240"/>
            <w:vAlign w:val="center"/>
            <w:shd w:fill="DCE6F1"/>
          </w:tcPr>
          <w:p>
            <w:r/>
            <w:r>
              <w:rPr>
                <w:b w:val="0"/>
                <w:sz w:val="18"/>
              </w:rPr>
              <w:t>Can sharply reduce the entire product</w:t>
            </w:r>
          </w:p>
        </w:tc>
        <w:tc>
          <w:tcPr>
            <w:tcW w:type="dxa" w:w="3672"/>
            <w:vAlign w:val="center"/>
            <w:shd w:fill="DCE6F1"/>
          </w:tcPr>
          <w:p>
            <w:r/>
            <w:r>
              <w:rPr>
                <w:b w:val="0"/>
                <w:sz w:val="18"/>
              </w:rPr>
              <w:t>Raises S according to its assigned weight</w:t>
            </w:r>
          </w:p>
        </w:tc>
      </w:tr>
      <w:tr>
        <w:tc>
          <w:tcPr>
            <w:tcW w:type="dxa" w:w="2160"/>
            <w:vAlign w:val="center"/>
          </w:tcPr>
          <w:p>
            <w:r/>
            <w:r>
              <w:rPr>
                <w:b w:val="0"/>
                <w:sz w:val="18"/>
              </w:rPr>
              <w:t>Primary purpose</w:t>
            </w:r>
          </w:p>
        </w:tc>
        <w:tc>
          <w:tcPr>
            <w:tcW w:type="dxa" w:w="3240"/>
            <w:vAlign w:val="center"/>
          </w:tcPr>
          <w:p>
            <w:r/>
            <w:r>
              <w:rPr>
                <w:b w:val="0"/>
                <w:sz w:val="18"/>
              </w:rPr>
              <w:t>Weather-aware maritime route planning</w:t>
            </w:r>
          </w:p>
        </w:tc>
        <w:tc>
          <w:tcPr>
            <w:tcW w:type="dxa" w:w="3672"/>
            <w:vAlign w:val="center"/>
          </w:tcPr>
          <w:p>
            <w:r/>
            <w:r>
              <w:rPr>
                <w:b w:val="0"/>
                <w:sz w:val="18"/>
              </w:rPr>
              <w:t>Explainable highway route-risk comparison</w:t>
            </w:r>
          </w:p>
        </w:tc>
      </w:tr>
    </w:tbl>
    <w:p>
      <w:pPr>
        <w:spacing w:after="20"/>
      </w:pPr>
    </w:p>
    <w:p>
      <w:pPr>
        <w:spacing w:after="100"/>
      </w:pPr>
      <w:r>
        <w:t>The opposite polarity is deliberate: SPI is expressed as remaining performance or safety margin, whereas Smart-Shield is expressed as accumulated risk. The additive formula also permits a direct contribution breakdown:</w:t>
      </w:r>
    </w:p>
    <w:p>
      <w:pPr>
        <w:spacing w:before="60" w:after="140"/>
        <w:jc w:val="center"/>
      </w:pPr>
      <m:oMathPara>
        <m:oMath>
          <m:sSub>
            <m:e>
              <m:r>
                <m:rPr>
                  <m:sty m:val="p"/>
                </m:rPr>
                <m:t>S</m:t>
              </m:r>
            </m:e>
            <m:sub>
              <m:r>
                <m:rPr>
                  <m:sty m:val="p"/>
                </m:rPr>
                <m:t>Text</m:t>
              </m:r>
            </m:sub>
          </m:sSub>
          <m:r>
            <m:rPr>
              <m:sty m:val="p"/>
            </m:rPr>
            <m:t> = 25T,    </m:t>
          </m:r>
          <m:sSub>
            <m:e>
              <m:r>
                <m:rPr>
                  <m:sty m:val="p"/>
                </m:rPr>
                <m:t>S</m:t>
              </m:r>
            </m:e>
            <m:sub>
              <m:r>
                <m:rPr>
                  <m:sty m:val="p"/>
                </m:rPr>
                <m:t>Vision</m:t>
              </m:r>
            </m:sub>
          </m:sSub>
          <m:r>
            <m:rPr>
              <m:sty m:val="p"/>
            </m:rPr>
            <m:t> = 35V,    </m:t>
          </m:r>
          <m:sSub>
            <m:e>
              <m:r>
                <m:rPr>
                  <m:sty m:val="p"/>
                </m:rPr>
                <m:t>S</m:t>
              </m:r>
            </m:e>
            <m:sub>
              <m:r>
                <m:rPr>
                  <m:sty m:val="p"/>
                </m:rPr>
                <m:t>Environment</m:t>
              </m:r>
            </m:sub>
          </m:sSub>
          <m:r>
            <m:rPr>
              <m:sty m:val="p"/>
            </m:rPr>
            <m:t> = 40</m:t>
          </m:r>
          <m:sSub>
            <m:e>
              <m:r>
                <m:rPr>
                  <m:sty m:val="p"/>
                </m:rPr>
                <m:t>E</m:t>
              </m:r>
            </m:e>
            <m:sub>
              <m:r>
                <m:rPr>
                  <m:sty m:val="p"/>
                </m:rPr>
                <m:t>index</m:t>
              </m:r>
            </m:sub>
          </m:sSub>
        </m:oMath>
      </m:oMathPara>
    </w:p>
    <w:p>
      <w:pPr>
        <w:spacing w:after="100"/>
      </w:pPr>
      <w:r>
        <w:t>This makes it possible to show whether an elevated route score is being driven mainly by an alert, the road image, or environmental conditions. These are design weights grounded in the project charter and literature; they were not learned from outcome data, and S is not a calibrated probability of collision.</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8"/>
              </w:rPr>
              <w:t>Safety Score</w:t>
            </w:r>
          </w:p>
        </w:tc>
        <w:tc>
          <w:tcPr>
            <w:tcW w:type="dxa" w:w="1728"/>
            <w:vAlign w:val="center"/>
            <w:shd w:fill="1F4E78"/>
          </w:tcPr>
          <w:p>
            <w:r/>
            <w:r>
              <w:rPr>
                <w:b/>
                <w:color w:val="FFFFFF"/>
                <w:sz w:val="18"/>
              </w:rPr>
              <w:t>Tier</w:t>
            </w:r>
          </w:p>
        </w:tc>
        <w:tc>
          <w:tcPr>
            <w:tcW w:type="dxa" w:w="5328"/>
            <w:vAlign w:val="center"/>
            <w:shd w:fill="1F4E78"/>
          </w:tcPr>
          <w:p>
            <w:r/>
            <w:r>
              <w:rPr>
                <w:b/>
                <w:color w:val="FFFFFF"/>
                <w:sz w:val="18"/>
              </w:rPr>
              <w:t>Interpretation</w:t>
            </w:r>
          </w:p>
        </w:tc>
      </w:tr>
      <w:tr>
        <w:tc>
          <w:tcPr>
            <w:tcW w:type="dxa" w:w="1872"/>
            <w:vAlign w:val="center"/>
          </w:tcPr>
          <w:p>
            <w:r/>
            <w:r>
              <w:rPr>
                <w:b w:val="0"/>
                <w:sz w:val="18"/>
              </w:rPr>
              <w:t>0–30</w:t>
            </w:r>
          </w:p>
        </w:tc>
        <w:tc>
          <w:tcPr>
            <w:tcW w:type="dxa" w:w="1728"/>
            <w:vAlign w:val="center"/>
          </w:tcPr>
          <w:p>
            <w:r/>
            <w:r>
              <w:rPr>
                <w:b w:val="0"/>
                <w:sz w:val="18"/>
              </w:rPr>
              <w:t>LOW</w:t>
            </w:r>
          </w:p>
        </w:tc>
        <w:tc>
          <w:tcPr>
            <w:tcW w:type="dxa" w:w="5328"/>
            <w:vAlign w:val="center"/>
          </w:tcPr>
          <w:p>
            <w:r/>
            <w:r>
              <w:rPr>
                <w:b w:val="0"/>
                <w:sz w:val="18"/>
              </w:rPr>
              <w:t>Conditions appear relatively favourable</w:t>
            </w:r>
          </w:p>
        </w:tc>
      </w:tr>
      <w:tr>
        <w:tc>
          <w:tcPr>
            <w:tcW w:type="dxa" w:w="1872"/>
            <w:vAlign w:val="center"/>
            <w:shd w:fill="DCE6F1"/>
          </w:tcPr>
          <w:p>
            <w:r/>
            <w:r>
              <w:rPr>
                <w:b w:val="0"/>
                <w:sz w:val="18"/>
              </w:rPr>
              <w:t>31–70</w:t>
            </w:r>
          </w:p>
        </w:tc>
        <w:tc>
          <w:tcPr>
            <w:tcW w:type="dxa" w:w="1728"/>
            <w:vAlign w:val="center"/>
            <w:shd w:fill="DCE6F1"/>
          </w:tcPr>
          <w:p>
            <w:r/>
            <w:r>
              <w:rPr>
                <w:b w:val="0"/>
                <w:sz w:val="18"/>
              </w:rPr>
              <w:t>MEDIUM</w:t>
            </w:r>
          </w:p>
        </w:tc>
        <w:tc>
          <w:tcPr>
            <w:tcW w:type="dxa" w:w="5328"/>
            <w:vAlign w:val="center"/>
            <w:shd w:fill="DCE6F1"/>
          </w:tcPr>
          <w:p>
            <w:r/>
            <w:r>
              <w:rPr>
                <w:b w:val="0"/>
                <w:sz w:val="18"/>
              </w:rPr>
              <w:t>Increased caution and route comparison</w:t>
            </w:r>
          </w:p>
        </w:tc>
      </w:tr>
      <w:tr>
        <w:tc>
          <w:tcPr>
            <w:tcW w:type="dxa" w:w="1872"/>
            <w:vAlign w:val="center"/>
          </w:tcPr>
          <w:p>
            <w:r/>
            <w:r>
              <w:rPr>
                <w:b w:val="0"/>
                <w:sz w:val="18"/>
              </w:rPr>
              <w:t>71–100</w:t>
            </w:r>
          </w:p>
        </w:tc>
        <w:tc>
          <w:tcPr>
            <w:tcW w:type="dxa" w:w="1728"/>
            <w:vAlign w:val="center"/>
          </w:tcPr>
          <w:p>
            <w:r/>
            <w:r>
              <w:rPr>
                <w:b w:val="0"/>
                <w:sz w:val="18"/>
              </w:rPr>
              <w:t>HIGH</w:t>
            </w:r>
          </w:p>
        </w:tc>
        <w:tc>
          <w:tcPr>
            <w:tcW w:type="dxa" w:w="5328"/>
            <w:vAlign w:val="center"/>
          </w:tcPr>
          <w:p>
            <w:r/>
            <w:r>
              <w:rPr>
                <w:b w:val="0"/>
                <w:sz w:val="18"/>
              </w:rPr>
              <w:t>Elevated risk; delay or a safer route should be considered</w:t>
            </w:r>
          </w:p>
        </w:tc>
      </w:tr>
    </w:tbl>
    <w:p>
      <w:pPr>
        <w:spacing w:after="20"/>
      </w:pPr>
    </w:p>
    <w:p>
      <w:pPr>
        <w:spacing w:after="100"/>
      </w:pPr>
      <w:r>
        <w:t>In summary, Paper 1 supplies the architectural precedent for a single multi-criteria route-safety index. Smart-Shield adapts that principle to highway conditions with an interpretable risk-oriented convex combination, rather than claiming that its formula is the same maritime SPI equation.</w:t>
      </w:r>
    </w:p>
    <w:p>
      <w:pPr>
        <w:pStyle w:val="Heading1"/>
      </w:pPr>
      <w:r>
        <w:t>9. Assumptions and Limitations</w:t>
      </w:r>
    </w:p>
    <w:p>
      <w:pPr>
        <w:pStyle w:val="ListBullet"/>
        <w:spacing w:after="40"/>
      </w:pPr>
      <w:r>
        <w:t>T, V and E are bounded on a common [0,1] risk scale.</w:t>
      </w:r>
    </w:p>
    <w:p>
      <w:pPr>
        <w:pStyle w:val="ListBullet"/>
        <w:spacing w:after="40"/>
      </w:pPr>
      <w:r>
        <w:t>Their combined effect can be approximated by an additive weighted formula.</w:t>
      </w:r>
    </w:p>
    <w:p>
      <w:pPr>
        <w:pStyle w:val="ListBullet"/>
        <w:spacing w:after="40"/>
      </w:pPr>
      <w:r>
        <w:t>The three brains provide complementary information, although they may not be statistically independent.</w:t>
      </w:r>
    </w:p>
    <w:p>
      <w:pPr>
        <w:pStyle w:val="ListBullet"/>
        <w:spacing w:after="40"/>
      </w:pPr>
      <w:r>
        <w:t>RSCD images and DfT/SDOT/Toronto records are useful proxies for Ontario highway conditions.</w:t>
      </w:r>
    </w:p>
    <w:p>
      <w:pPr>
        <w:pStyle w:val="ListBullet"/>
        <w:spacing w:after="40"/>
      </w:pPr>
      <w:r>
        <w:t>Historical associations remain informative for current conditions (a stationarity assumption).</w:t>
      </w:r>
    </w:p>
    <w:p>
      <w:pPr>
        <w:pStyle w:val="ListBullet"/>
        <w:spacing w:after="40"/>
      </w:pPr>
      <w:r>
        <w:t>The 30 and 70 tier boundaries are policy choices rather than statistically optimized decision thresholds.</w:t>
      </w:r>
    </w:p>
    <w:p>
      <w:pPr>
        <w:pStyle w:val="ListBullet"/>
        <w:spacing w:after="40"/>
      </w:pPr>
      <w:r>
        <w:t>Class balancing changes the training distribution; probability calibration should be checked on naturally distributed external data.</w:t>
      </w:r>
    </w:p>
    <w:p>
      <w:pPr>
        <w:pStyle w:val="Heading1"/>
      </w:pPr>
      <w:r>
        <w:t>10. End-to-End Fusion</w:t>
      </w:r>
    </w:p>
    <w:p>
      <w:pPr>
        <w:pStyle w:val="ListNumber"/>
        <w:spacing w:after="40"/>
      </w:pPr>
      <w:r>
        <w:t>Ontario 511-style alert text produces T.</w:t>
      </w:r>
    </w:p>
    <w:p>
      <w:pPr>
        <w:pStyle w:val="ListNumber"/>
        <w:spacing w:after="40"/>
      </w:pPr>
      <w:r>
        <w:t>A road image produces the ResNet class score and optional autoencoder anomaly score.</w:t>
      </w:r>
    </w:p>
    <w:p>
      <w:pPr>
        <w:pStyle w:val="ListNumber"/>
        <w:spacing w:after="40"/>
      </w:pPr>
      <w:r>
        <w:t>The selected vision backend produces V.</w:t>
      </w:r>
    </w:p>
    <w:p>
      <w:pPr>
        <w:pStyle w:val="ListNumber"/>
        <w:spacing w:after="40"/>
      </w:pPr>
      <w:r>
        <w:t>Weather and surface conditions produce E_index.</w:t>
      </w:r>
    </w:p>
    <w:p>
      <w:pPr>
        <w:pStyle w:val="ListNumber"/>
        <w:spacing w:after="40"/>
      </w:pPr>
      <w:r>
        <w:t>The fusion formula produces S.</w:t>
      </w:r>
    </w:p>
    <w:p>
      <w:pPr>
        <w:pStyle w:val="ListNumber"/>
        <w:spacing w:after="40"/>
      </w:pPr>
      <w:r>
        <w:t>S assigns LOW, MEDIUM or HIGH risk.</w:t>
      </w:r>
    </w:p>
    <w:p>
      <w:pPr>
        <w:pStyle w:val="ListNumber"/>
        <w:spacing w:after="40"/>
      </w:pPr>
      <w:r>
        <w:t>The application compares routes and generates separate operational guidance.</w:t>
      </w:r>
    </w:p>
    <w:p>
      <w:pPr>
        <w:spacing w:before="60" w:after="140"/>
        <w:jc w:val="center"/>
      </w:pPr>
      <m:oMathPara>
        <m:oMath>
          <m:r>
            <m:rPr>
              <m:sty m:val="p"/>
            </m:rPr>
            <m:t>Alert → T,     Image → V,     Weather → E</m:t>
          </m:r>
        </m:oMath>
      </m:oMathPara>
    </w:p>
    <w:p>
      <w:pPr>
        <w:spacing w:before="60" w:after="140"/>
        <w:jc w:val="center"/>
      </w:pPr>
      <m:oMathPara>
        <m:oMath>
          <m:r>
            <m:rPr>
              <m:sty m:val="p"/>
            </m:rPr>
            <m:t>(T, V, E) → S → Risk Tier → Route Guidance</m:t>
          </m:r>
        </m:oMath>
      </m:oMathPara>
    </w:p>
    <w:p>
      <w:pPr>
        <w:pStyle w:val="Heading1"/>
      </w:pPr>
      <w:r>
        <w:t>11. Decision Metrics for the Progress Report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vAlign w:val="center"/>
            <w:shd w:fill="1F4E78"/>
          </w:tcPr>
          <w:p>
            <w:r/>
            <w:r>
              <w:rPr>
                <w:b/>
                <w:color w:val="FFFFFF"/>
                <w:sz w:val="18"/>
              </w:rPr>
              <w:t>Area</w:t>
            </w:r>
          </w:p>
        </w:tc>
        <w:tc>
          <w:tcPr>
            <w:tcW w:type="dxa" w:w="2232"/>
            <w:vAlign w:val="center"/>
            <w:shd w:fill="1F4E78"/>
          </w:tcPr>
          <w:p>
            <w:r/>
            <w:r>
              <w:rPr>
                <w:b/>
                <w:color w:val="FFFFFF"/>
                <w:sz w:val="18"/>
              </w:rPr>
              <w:t>Metric / decision</w:t>
            </w:r>
          </w:p>
        </w:tc>
        <w:tc>
          <w:tcPr>
            <w:tcW w:type="dxa" w:w="3096"/>
            <w:vAlign w:val="center"/>
            <w:shd w:fill="1F4E78"/>
          </w:tcPr>
          <w:p>
            <w:r/>
            <w:r>
              <w:rPr>
                <w:b/>
                <w:color w:val="FFFFFF"/>
                <w:sz w:val="18"/>
              </w:rPr>
              <w:t>Current evidence</w:t>
            </w:r>
          </w:p>
        </w:tc>
        <w:tc>
          <w:tcPr>
            <w:tcW w:type="dxa" w:w="2376"/>
            <w:vAlign w:val="center"/>
            <w:shd w:fill="1F4E78"/>
          </w:tcPr>
          <w:p>
            <w:r/>
            <w:r>
              <w:rPr>
                <w:b/>
                <w:color w:val="FFFFFF"/>
                <w:sz w:val="18"/>
              </w:rPr>
              <w:t>Reporting status</w:t>
            </w:r>
          </w:p>
        </w:tc>
      </w:tr>
      <w:tr>
        <w:tc>
          <w:tcPr>
            <w:tcW w:type="dxa" w:w="1656"/>
            <w:vAlign w:val="center"/>
          </w:tcPr>
          <w:p>
            <w:r/>
            <w:r>
              <w:rPr>
                <w:b w:val="0"/>
                <w:sz w:val="18"/>
              </w:rPr>
              <w:t>Vision sample</w:t>
            </w:r>
          </w:p>
        </w:tc>
        <w:tc>
          <w:tcPr>
            <w:tcW w:type="dxa" w:w="2232"/>
            <w:vAlign w:val="center"/>
          </w:tcPr>
          <w:p>
            <w:r/>
            <w:r>
              <w:rPr>
                <w:b w:val="0"/>
                <w:sz w:val="18"/>
              </w:rPr>
              <w:t>Class balance</w:t>
            </w:r>
          </w:p>
        </w:tc>
        <w:tc>
          <w:tcPr>
            <w:tcW w:type="dxa" w:w="3096"/>
            <w:vAlign w:val="center"/>
          </w:tcPr>
          <w:p>
            <w:r/>
            <w:r>
              <w:rPr>
                <w:b w:val="0"/>
                <w:sz w:val="18"/>
              </w:rPr>
              <w:t>324 / 400 / 362; Snow = 33.3%</w:t>
            </w:r>
          </w:p>
        </w:tc>
        <w:tc>
          <w:tcPr>
            <w:tcW w:type="dxa" w:w="2376"/>
            <w:vAlign w:val="center"/>
          </w:tcPr>
          <w:p>
            <w:r/>
            <w:r>
              <w:rPr>
                <w:b w:val="0"/>
                <w:sz w:val="18"/>
              </w:rPr>
              <w:t>Balanced working sample</w:t>
            </w:r>
          </w:p>
        </w:tc>
      </w:tr>
      <w:tr>
        <w:tc>
          <w:tcPr>
            <w:tcW w:type="dxa" w:w="1656"/>
            <w:vAlign w:val="center"/>
            <w:shd w:fill="DCE6F1"/>
          </w:tcPr>
          <w:p>
            <w:r/>
            <w:r>
              <w:rPr>
                <w:b w:val="0"/>
                <w:sz w:val="18"/>
              </w:rPr>
              <w:t>Vision quality</w:t>
            </w:r>
          </w:p>
        </w:tc>
        <w:tc>
          <w:tcPr>
            <w:tcW w:type="dxa" w:w="2232"/>
            <w:vAlign w:val="center"/>
            <w:shd w:fill="DCE6F1"/>
          </w:tcPr>
          <w:p>
            <w:r/>
            <w:r>
              <w:rPr>
                <w:b w:val="0"/>
                <w:sz w:val="18"/>
              </w:rPr>
              <w:t>Validation accuracy</w:t>
            </w:r>
          </w:p>
        </w:tc>
        <w:tc>
          <w:tcPr>
            <w:tcW w:type="dxa" w:w="3096"/>
            <w:vAlign w:val="center"/>
            <w:shd w:fill="DCE6F1"/>
          </w:tcPr>
          <w:p>
            <w:r/>
            <w:r>
              <w:rPr>
                <w:b w:val="0"/>
                <w:sz w:val="18"/>
              </w:rPr>
              <w:t>Approximately 86%</w:t>
            </w:r>
          </w:p>
        </w:tc>
        <w:tc>
          <w:tcPr>
            <w:tcW w:type="dxa" w:w="2376"/>
            <w:vAlign w:val="center"/>
            <w:shd w:fill="DCE6F1"/>
          </w:tcPr>
          <w:p>
            <w:r/>
            <w:r>
              <w:rPr>
                <w:b w:val="0"/>
                <w:sz w:val="18"/>
              </w:rPr>
              <w:t>Report with holdout design</w:t>
            </w:r>
          </w:p>
        </w:tc>
      </w:tr>
      <w:tr>
        <w:tc>
          <w:tcPr>
            <w:tcW w:type="dxa" w:w="1656"/>
            <w:vAlign w:val="center"/>
          </w:tcPr>
          <w:p>
            <w:r/>
            <w:r>
              <w:rPr>
                <w:b w:val="0"/>
                <w:sz w:val="18"/>
              </w:rPr>
              <w:t>Risk ordering</w:t>
            </w:r>
          </w:p>
        </w:tc>
        <w:tc>
          <w:tcPr>
            <w:tcW w:type="dxa" w:w="2232"/>
            <w:vAlign w:val="center"/>
          </w:tcPr>
          <w:p>
            <w:r/>
            <w:r>
              <w:rPr>
                <w:b w:val="0"/>
                <w:sz w:val="18"/>
              </w:rPr>
              <w:t>Mean V by class</w:t>
            </w:r>
          </w:p>
        </w:tc>
        <w:tc>
          <w:tcPr>
            <w:tcW w:type="dxa" w:w="3096"/>
            <w:vAlign w:val="center"/>
          </w:tcPr>
          <w:p>
            <w:r/>
            <w:r>
              <w:rPr>
                <w:b w:val="0"/>
                <w:sz w:val="18"/>
              </w:rPr>
              <w:t>Clear &lt; Wet &lt; Snow</w:t>
            </w:r>
          </w:p>
        </w:tc>
        <w:tc>
          <w:tcPr>
            <w:tcW w:type="dxa" w:w="2376"/>
            <w:vAlign w:val="center"/>
          </w:tcPr>
          <w:p>
            <w:r/>
            <w:r>
              <w:rPr>
                <w:b w:val="0"/>
                <w:sz w:val="18"/>
              </w:rPr>
              <w:t>Passed</w:t>
            </w:r>
          </w:p>
        </w:tc>
      </w:tr>
      <w:tr>
        <w:tc>
          <w:tcPr>
            <w:tcW w:type="dxa" w:w="1656"/>
            <w:vAlign w:val="center"/>
            <w:shd w:fill="DCE6F1"/>
          </w:tcPr>
          <w:p>
            <w:r/>
            <w:r>
              <w:rPr>
                <w:b w:val="0"/>
                <w:sz w:val="18"/>
              </w:rPr>
              <w:t>Vision backend</w:t>
            </w:r>
          </w:p>
        </w:tc>
        <w:tc>
          <w:tcPr>
            <w:tcW w:type="dxa" w:w="2232"/>
            <w:vAlign w:val="center"/>
            <w:shd w:fill="DCE6F1"/>
          </w:tcPr>
          <w:p>
            <w:r/>
            <w:r>
              <w:rPr>
                <w:b w:val="0"/>
                <w:sz w:val="18"/>
              </w:rPr>
              <w:t>Backend selection score</w:t>
            </w:r>
          </w:p>
        </w:tc>
        <w:tc>
          <w:tcPr>
            <w:tcW w:type="dxa" w:w="3096"/>
            <w:vAlign w:val="center"/>
            <w:shd w:fill="DCE6F1"/>
          </w:tcPr>
          <w:p>
            <w:r/>
            <w:r>
              <w:rPr>
                <w:b w:val="0"/>
                <w:sz w:val="18"/>
              </w:rPr>
              <w:t>ResNet-only selected</w:t>
            </w:r>
          </w:p>
        </w:tc>
        <w:tc>
          <w:tcPr>
            <w:tcW w:type="dxa" w:w="2376"/>
            <w:vAlign w:val="center"/>
            <w:shd w:fill="DCE6F1"/>
          </w:tcPr>
          <w:p>
            <w:r/>
            <w:r>
              <w:rPr>
                <w:b w:val="0"/>
                <w:sz w:val="18"/>
              </w:rPr>
              <w:t>Autoencoder retained experimentally</w:t>
            </w:r>
          </w:p>
        </w:tc>
      </w:tr>
      <w:tr>
        <w:tc>
          <w:tcPr>
            <w:tcW w:type="dxa" w:w="1656"/>
            <w:vAlign w:val="center"/>
          </w:tcPr>
          <w:p>
            <w:r/>
            <w:r>
              <w:rPr>
                <w:b w:val="0"/>
                <w:sz w:val="18"/>
              </w:rPr>
              <w:t>Tabular safety</w:t>
            </w:r>
          </w:p>
        </w:tc>
        <w:tc>
          <w:tcPr>
            <w:tcW w:type="dxa" w:w="2232"/>
            <w:vAlign w:val="center"/>
          </w:tcPr>
          <w:p>
            <w:r/>
            <w:r>
              <w:rPr>
                <w:b w:val="0"/>
                <w:sz w:val="18"/>
              </w:rPr>
              <w:t>Fatal recall</w:t>
            </w:r>
          </w:p>
        </w:tc>
        <w:tc>
          <w:tcPr>
            <w:tcW w:type="dxa" w:w="3096"/>
            <w:vAlign w:val="center"/>
          </w:tcPr>
          <w:p>
            <w:r/>
            <w:r>
              <w:rPr>
                <w:b w:val="0"/>
                <w:sz w:val="18"/>
              </w:rPr>
              <w:t>Best reported ≈66%</w:t>
            </w:r>
          </w:p>
        </w:tc>
        <w:tc>
          <w:tcPr>
            <w:tcW w:type="dxa" w:w="2376"/>
            <w:vAlign w:val="center"/>
          </w:tcPr>
          <w:p>
            <w:r/>
            <w:r>
              <w:rPr>
                <w:b w:val="0"/>
                <w:sz w:val="18"/>
              </w:rPr>
              <w:t>Below 92% charter target</w:t>
            </w:r>
          </w:p>
        </w:tc>
      </w:tr>
      <w:tr>
        <w:tc>
          <w:tcPr>
            <w:tcW w:type="dxa" w:w="1656"/>
            <w:vAlign w:val="center"/>
            <w:shd w:fill="DCE6F1"/>
          </w:tcPr>
          <w:p>
            <w:r/>
            <w:r>
              <w:rPr>
                <w:b w:val="0"/>
                <w:sz w:val="18"/>
              </w:rPr>
              <w:t>Tabular imbalance</w:t>
            </w:r>
          </w:p>
        </w:tc>
        <w:tc>
          <w:tcPr>
            <w:tcW w:type="dxa" w:w="2232"/>
            <w:vAlign w:val="center"/>
            <w:shd w:fill="DCE6F1"/>
          </w:tcPr>
          <w:p>
            <w:r/>
            <w:r>
              <w:rPr>
                <w:b w:val="0"/>
                <w:sz w:val="18"/>
              </w:rPr>
              <w:t>MCC and Macro-F1</w:t>
            </w:r>
          </w:p>
        </w:tc>
        <w:tc>
          <w:tcPr>
            <w:tcW w:type="dxa" w:w="3096"/>
            <w:vAlign w:val="center"/>
            <w:shd w:fill="DCE6F1"/>
          </w:tcPr>
          <w:p>
            <w:r/>
            <w:r>
              <w:rPr>
                <w:b w:val="0"/>
                <w:sz w:val="18"/>
              </w:rPr>
              <w:t>Preferred over raw accuracy</w:t>
            </w:r>
          </w:p>
        </w:tc>
        <w:tc>
          <w:tcPr>
            <w:tcW w:type="dxa" w:w="2376"/>
            <w:vAlign w:val="center"/>
            <w:shd w:fill="DCE6F1"/>
          </w:tcPr>
          <w:p>
            <w:r/>
            <w:r>
              <w:rPr>
                <w:b w:val="0"/>
                <w:sz w:val="18"/>
              </w:rPr>
              <w:t>Include comparison table</w:t>
            </w:r>
          </w:p>
        </w:tc>
      </w:tr>
      <w:tr>
        <w:tc>
          <w:tcPr>
            <w:tcW w:type="dxa" w:w="1656"/>
            <w:vAlign w:val="center"/>
          </w:tcPr>
          <w:p>
            <w:r/>
            <w:r>
              <w:rPr>
                <w:b w:val="0"/>
                <w:sz w:val="18"/>
              </w:rPr>
              <w:t>Explainability</w:t>
            </w:r>
          </w:p>
        </w:tc>
        <w:tc>
          <w:tcPr>
            <w:tcW w:type="dxa" w:w="2232"/>
            <w:vAlign w:val="center"/>
          </w:tcPr>
          <w:p>
            <w:r/>
            <w:r>
              <w:rPr>
                <w:b w:val="0"/>
                <w:sz w:val="18"/>
              </w:rPr>
              <w:t>SHAP</w:t>
            </w:r>
          </w:p>
        </w:tc>
        <w:tc>
          <w:tcPr>
            <w:tcW w:type="dxa" w:w="3096"/>
            <w:vAlign w:val="center"/>
          </w:tcPr>
          <w:p>
            <w:r/>
            <w:r>
              <w:rPr>
                <w:b w:val="0"/>
                <w:sz w:val="18"/>
              </w:rPr>
              <w:t>Tuned RF artifact</w:t>
            </w:r>
          </w:p>
        </w:tc>
        <w:tc>
          <w:tcPr>
            <w:tcW w:type="dxa" w:w="2376"/>
            <w:vAlign w:val="center"/>
          </w:tcPr>
          <w:p>
            <w:r/>
            <w:r>
              <w:rPr>
                <w:b w:val="0"/>
                <w:sz w:val="18"/>
              </w:rPr>
              <w:t>Show top features</w:t>
            </w:r>
          </w:p>
        </w:tc>
      </w:tr>
      <w:tr>
        <w:tc>
          <w:tcPr>
            <w:tcW w:type="dxa" w:w="1656"/>
            <w:vAlign w:val="center"/>
            <w:shd w:fill="DCE6F1"/>
          </w:tcPr>
          <w:p>
            <w:r/>
            <w:r>
              <w:rPr>
                <w:b w:val="0"/>
                <w:sz w:val="18"/>
              </w:rPr>
              <w:t>Fusion</w:t>
            </w:r>
          </w:p>
        </w:tc>
        <w:tc>
          <w:tcPr>
            <w:tcW w:type="dxa" w:w="2232"/>
            <w:vAlign w:val="center"/>
            <w:shd w:fill="DCE6F1"/>
          </w:tcPr>
          <w:p>
            <w:r/>
            <w:r>
              <w:rPr>
                <w:b w:val="0"/>
                <w:sz w:val="18"/>
              </w:rPr>
              <w:t>T, V, E and S scenarios</w:t>
            </w:r>
          </w:p>
        </w:tc>
        <w:tc>
          <w:tcPr>
            <w:tcW w:type="dxa" w:w="3096"/>
            <w:vAlign w:val="center"/>
            <w:shd w:fill="DCE6F1"/>
          </w:tcPr>
          <w:p>
            <w:r/>
            <w:r>
              <w:rPr>
                <w:b w:val="0"/>
                <w:sz w:val="18"/>
              </w:rPr>
              <w:t>Clear vs storm test cases</w:t>
            </w:r>
          </w:p>
        </w:tc>
        <w:tc>
          <w:tcPr>
            <w:tcW w:type="dxa" w:w="2376"/>
            <w:vAlign w:val="center"/>
            <w:shd w:fill="DCE6F1"/>
          </w:tcPr>
          <w:p>
            <w:r/>
            <w:r>
              <w:rPr>
                <w:b w:val="0"/>
                <w:sz w:val="18"/>
              </w:rPr>
              <w:t>Show LOW/HIGH examples</w:t>
            </w:r>
          </w:p>
        </w:tc>
      </w:tr>
    </w:tbl>
    <w:p>
      <w:pPr>
        <w:spacing w:after="20"/>
      </w:pPr>
    </w:p>
    <w:p>
      <w:pPr>
        <w:pStyle w:val="Heading1"/>
      </w:pPr>
      <w:r>
        <w:t>References</w:t>
      </w:r>
    </w:p>
    <w:p>
      <w:pPr>
        <w:spacing w:after="100"/>
      </w:pPr>
      <w:r>
        <w:t>[1] F. Pennino and A. D’Amato, “Enhancing Safety in Autonomous Navigation: Weather-Aware Trajectory Planning,” IEEE MetroSea, 2024.</w:t>
      </w:r>
    </w:p>
    <w:p>
      <w:pPr>
        <w:spacing w:after="100"/>
      </w:pPr>
      <w:r>
        <w:t>[2] J. Jiang, Y. Miao and D. Wu, “Machine Learning based Prediction Analysis of Potential Factors in Traffic Accidents,” Applied and Computational Engineering, vol. 99, 2024.</w:t>
      </w:r>
    </w:p>
    <w:p>
      <w:pPr>
        <w:spacing w:after="100"/>
      </w:pPr>
      <w:r>
        <w:t>[3] Toronto Police Service, Traffic Collision Data, City of Toronto Open Data Portal.</w:t>
      </w:r>
    </w:p>
    <w:p>
      <w:pPr>
        <w:spacing w:after="100"/>
      </w:pPr>
      <w:r>
        <w:t>[4] UK Department for Transport, Road Safety Data, Collisions 2024.</w:t>
      </w:r>
    </w:p>
    <w:p>
      <w:pPr>
        <w:spacing w:after="100"/>
      </w:pPr>
      <w:r>
        <w:t>[5] RSCD-1million road-surface image dataset, Hugging Face dataset repository.</w:t>
      </w:r>
    </w:p>
    <w:p>
      <w:pPr>
        <w:spacing w:after="100"/>
      </w:pPr>
      <w:r>
        <w:t>[6] Smart-Shield AI, Team 2B project repository and capstone notebooks, 2026.</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Afolabi Adesina (991808102)  •  PR7 Technical Logic and Model Selection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INFO53883 AI/ML Capstone Project  |  Smart-Shield AI  |  Team 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Smart-Shield AI Technical Logic, Sample Design and Model Selection</dc:title>
  <dc:subject>INFO53883 PR7 technical report</dc:subject>
  <dc:creator>Afolabi Adesina</dc:creator>
  <cp:keywords>Smart-Shield, ResNet18, Autoencoder, Safety Score, RSCD</cp:keywords>
  <dc:description>generated by python-docx</dc:description>
  <cp:lastModifiedBy/>
  <cp:revision>1</cp:revision>
  <dcterms:created xsi:type="dcterms:W3CDTF">2013-12-23T23:15:00Z</dcterms:created>
  <dcterms:modified xsi:type="dcterms:W3CDTF">2013-12-23T23:15:00Z</dcterms:modified>
  <cp:category/>
</cp:coreProperties>
</file>