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4"/>
          <w:szCs w:val="44"/>
        </w:rPr>
        <w:t xml:space="preserve">BUSINESS REQUIREMENTS DOCUMENT</w:t>
      </w:r>
    </w:p>
    <w:p>
      <w:pPr>
        <w:spacing w:after="600" w:before="200"/>
        <w:jc w:val="center"/>
      </w:pPr>
      <w:r>
        <w:rPr>
          <w:color w:val="2E5C8A"/>
          <w:sz w:val="30"/>
          <w:szCs w:val="30"/>
        </w:rPr>
        <w:t xml:space="preserve">Multi-Tenant Property Asset Management Platform</w:t>
      </w:r>
    </w:p>
    <w:p>
      <w:pPr>
        <w:spacing w:before="1200"/>
        <w:jc w:val="center"/>
      </w:pPr>
      <w:r>
        <w:rPr>
          <w:sz w:val="22"/>
          <w:szCs w:val="22"/>
        </w:rPr>
        <w:t xml:space="preserve">Prepared for: FusionAxis Integrated Services</w:t>
      </w:r>
    </w:p>
    <w:p>
      <w:pPr>
        <w:spacing w:before="100"/>
        <w:jc w:val="center"/>
      </w:pPr>
      <w:r>
        <w:rPr>
          <w:sz w:val="22"/>
          <w:szCs w:val="22"/>
        </w:rPr>
        <w:t xml:space="preserve">Prepared by: Business Analysis &amp; Product Discovery</w:t>
      </w:r>
    </w:p>
    <w:p>
      <w:pPr>
        <w:spacing w:before="100"/>
        <w:jc w:val="center"/>
      </w:pPr>
      <w:r>
        <w:rPr>
          <w:sz w:val="22"/>
          <w:szCs w:val="22"/>
        </w:rPr>
        <w:t xml:space="preserve">Document Version: 0.1 (Draft for Review)</w:t>
      </w:r>
    </w:p>
    <w:p>
      <w:pPr>
        <w:spacing w:after="1200" w:before="100"/>
        <w:jc w:val="center"/>
      </w:pPr>
      <w:r>
        <w:rPr>
          <w:sz w:val="22"/>
          <w:szCs w:val="22"/>
        </w:rPr>
        <w:t xml:space="preserve">18 September 2026</w:t>
      </w:r>
    </w:p>
    <w:p>
      <w:r>
        <w:br w:type="page"/>
      </w:r>
    </w:p>
    <w:p>
      <w:pPr>
        <w:pStyle w:val="Heading1"/>
        <w:spacing w:after="160" w:before="360"/>
      </w:pPr>
      <w:r>
        <w:t xml:space="preserve">Document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65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Document Title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Requirements Document — Multi-Tenant Property Asset Management Platform</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Version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0.1 — Draft for stakeholder review</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Status</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Draft</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Date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Source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Product discovery / scoping session, 18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Classification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Internal — FusionAxis Integrated Services</w:t>
            </w:r>
          </w:p>
        </w:tc>
      </w:tr>
    </w:tbl>
    <w:p>
      <w:pPr>
        <w:spacing w:after="300"/>
      </w:pPr>
    </w:p>
    <w:p>
      <w:pPr>
        <w:pStyle w:val="Heading2"/>
        <w:spacing w:after="120" w:before="260"/>
      </w:pPr>
      <w: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62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Initial draft from product discovery session — core concept, tenancy model, and Phase 1 AI scope</w:t>
            </w:r>
          </w:p>
        </w:tc>
      </w:tr>
    </w:tbl>
    <w:p>
      <w:r>
        <w:br w:type="page"/>
      </w:r>
    </w:p>
    <w:p>
      <w:pPr>
        <w:pStyle w:val="Heading1"/>
        <w:spacing w:after="160" w:before="360"/>
      </w:pPr>
      <w:r>
        <w:t xml:space="preserve">1. Introduction</w:t>
      </w:r>
    </w:p>
    <w:p>
      <w:pPr>
        <w:pStyle w:val="Heading2"/>
        <w:spacing w:after="120" w:before="260"/>
      </w:pPr>
      <w:r>
        <w:t xml:space="preserve">1.1 Purpose</w:t>
      </w:r>
    </w:p>
    <w:p>
      <w:pPr>
        <w:spacing w:after="160" w:line="276"/>
      </w:pPr>
      <w:r>
        <w:t xml:space="preserve">This document defines the business requirements for a new multi-tenant property asset management platform. It captures what the system must do to support property management (PM) companies that manage portfolios on behalf of multiple property owners, and establishes a traceable set of requirements (BDR IDs) against which subsequent design, build, and QA activity can be measured.</w:t>
      </w:r>
    </w:p>
    <w:p>
      <w:pPr>
        <w:pStyle w:val="Heading2"/>
        <w:spacing w:after="120" w:before="260"/>
      </w:pPr>
      <w:r>
        <w:t xml:space="preserve">1.2 Scope</w:t>
      </w:r>
    </w:p>
    <w:p>
      <w:pPr>
        <w:spacing w:after="160" w:line="276"/>
      </w:pPr>
      <w:r>
        <w:t xml:space="preserve">This document covers the Phase 1 (MVP) business requirements: tenant onboarding, owner portfolio management and reporting, department-based access control, vendor/external collaborator management, asset and property records, a configurable workflow engine, document management, inspection management, and two initial AI capabilities (document intelligence and request triage). Requirements for later phases are listed for traceability in Section 9 (Roadmap) but are explicitly out of scope for Phase 1 (Section 8).</w:t>
      </w:r>
    </w:p>
    <w:p>
      <w:pPr>
        <w:pStyle w:val="Heading2"/>
        <w:spacing w:after="120" w:before="260"/>
      </w:pPr>
      <w:r>
        <w:t xml:space="preserve">1.3 Intended Audience</w:t>
      </w:r>
    </w:p>
    <w:p>
      <w:pPr>
        <w:spacing w:after="160" w:line="276"/>
      </w:pPr>
      <w:r>
        <w:t xml:space="preserve">This document is intended for product, engineering, design, and QA stakeholders involved in scoping, building, and validating the platform, and for FusionAxis leadership reviewing the product concept.</w:t>
      </w:r>
    </w:p>
    <w:p>
      <w:pPr>
        <w:pStyle w:val="Heading2"/>
        <w:spacing w:after="120" w:before="260"/>
      </w:pPr>
      <w:r>
        <w:t xml:space="preserve">1.4 Definitions &amp; Abbreviations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Term</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single Property Management (PM) company using the platform, with its own isolated data, users, and configuration.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property owner client of a PM company. Owners do not log into the system in Phase 1; they receive portfolio reports.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company or contractor (e.g., maintenance, legal, inspection) engaged by a PM company to carry out specific work items.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operating the platform across all tenants for provisioning, support, and billing purposes.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BDR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Design/Development Requirement — a uniquely numbered, traceable business requirement.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RBAC</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Role-Based Access Control — permissions granted based on a user’s assigned role and department.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MoSCoW</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Prioritisation scale used in this document: Must have, Should have, Could have.</w:t>
            </w:r>
          </w:p>
        </w:tc>
      </w:tr>
    </w:tbl>
    <w:p>
      <w:r>
        <w:br w:type="page"/>
      </w:r>
    </w:p>
    <w:p>
      <w:pPr>
        <w:pStyle w:val="Heading1"/>
        <w:spacing w:after="160" w:before="360"/>
      </w:pPr>
      <w:r>
        <w:t xml:space="preserve">2. Business Context</w:t>
      </w:r>
    </w:p>
    <w:p>
      <w:pPr>
        <w:pStyle w:val="Heading2"/>
        <w:spacing w:after="120" w:before="260"/>
      </w:pPr>
      <w:r>
        <w:t xml:space="preserve">2.1 Problem Statement</w:t>
      </w:r>
    </w:p>
    <w:p>
      <w:pPr>
        <w:spacing w:after="160" w:line="276"/>
      </w:pPr>
      <w:r>
        <w:t xml:space="preserve">Property management companies coordinate work across multiple internal departments (maintenance, legal, finance, compliance) and external vendors, while remaining accountable to property owners for the condition, compliance, and performance of assets they do not personally control. Existing property management and facilities/IWMS software generally does one part of this well — leasing and financials, or maintenance ticketing, or document storage — but rarely unifies workflow, document lifecycle, and inspection data against the same asset, and rarely gives external vendors anything more than contact-record status. The result is manual re-keying of information between systems, missed compliance deadlines, and a poor experience for both internal staff and external collaborators.</w:t>
      </w:r>
    </w:p>
    <w:p>
      <w:pPr>
        <w:pStyle w:val="Heading2"/>
        <w:spacing w:after="120" w:before="260"/>
      </w:pPr>
      <w:r>
        <w:t xml:space="preserve">2.2 Business Objectives</w:t>
      </w:r>
    </w:p>
    <w:p>
      <w:pPr>
        <w:pStyle w:val="ListParagraph"/>
        <w:numPr>
          <w:ilvl w:val="0"/>
          <w:numId w:val="2"/>
        </w:numPr>
        <w:spacing w:after="80"/>
      </w:pPr>
      <w:r>
        <w:t xml:space="preserve">Provide PM companies with a single system of record for properties, owners, documents, workflow, and inspections.</w:t>
      </w:r>
    </w:p>
    <w:p>
      <w:pPr>
        <w:pStyle w:val="ListParagraph"/>
        <w:numPr>
          <w:ilvl w:val="0"/>
          <w:numId w:val="2"/>
        </w:numPr>
        <w:spacing w:after="80"/>
      </w:pPr>
      <w:r>
        <w:t xml:space="preserve">Reduce manual coordination overhead between internal departments and external vendors.</w:t>
      </w:r>
    </w:p>
    <w:p>
      <w:pPr>
        <w:pStyle w:val="ListParagraph"/>
        <w:numPr>
          <w:ilvl w:val="0"/>
          <w:numId w:val="2"/>
        </w:numPr>
        <w:spacing w:after="80"/>
      </w:pPr>
      <w:r>
        <w:t xml:space="preserve">Differentiate through configurability (workflow builder), a first-class vendor experience, and targeted AI automation, rather than competing purely on feature breadth.</w:t>
      </w:r>
    </w:p>
    <w:p>
      <w:pPr>
        <w:pStyle w:val="ListParagraph"/>
        <w:numPr>
          <w:ilvl w:val="0"/>
          <w:numId w:val="2"/>
        </w:numPr>
        <w:spacing w:after="80"/>
      </w:pPr>
      <w:r>
        <w:t xml:space="preserve">Support a scalable, multi-tenant SaaS commercial model that can onboard additional PM companies without bespoke implementation work.</w:t>
      </w:r>
    </w:p>
    <w:p>
      <w:pPr>
        <w:pStyle w:val="Heading2"/>
        <w:spacing w:after="120" w:before="260"/>
      </w:pPr>
      <w:r>
        <w:t xml:space="preserve">2.3 Target Market</w:t>
      </w:r>
    </w:p>
    <w:p>
      <w:pPr>
        <w:spacing w:after="160" w:line="276"/>
      </w:pPr>
      <w:r>
        <w:t xml:space="preserve">Property management companies that manage portfolios on behalf of multiple property owners (residential, commercial, or mixed-use), ranging from small independent PM firms to larger regional operators, who need departmental workflow, document compliance tracking, and inspection management in one system, and who work with external vendors as part of routine operations.</w:t>
      </w:r>
    </w:p>
    <w:p>
      <w:r>
        <w:br w:type="page"/>
      </w:r>
    </w:p>
    <w:p>
      <w:pPr>
        <w:pStyle w:val="Heading1"/>
        <w:spacing w:after="160" w:before="360"/>
      </w:pPr>
      <w:r>
        <w:t xml:space="preserve">3. Stakeholders &amp; Actors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Actor</w:t>
            </w:r>
          </w:p>
        </w:tc>
        <w:tc>
          <w:tcPr>
            <w:tcW w:type="dxa" w:w="68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staff who provision tenants, manage subscriptions, and provide cross-tenant platform support.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PM company user who configures their tenant: departments, roles, workflow templates, and owner/vendor records.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PM company employees operating within one or more departments (maintenance, legal, finance, compliance) with role-scoped access.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client of the PM company who owns one or more properties. Receives portfolio reports; does not log in (Phase 1).</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contractor/company user with access limited to work items explicitly assigned to them, potentially across more than one PM company tenant.</w:t>
            </w:r>
          </w:p>
        </w:tc>
      </w:tr>
    </w:tbl>
    <w:p>
      <w:r>
        <w:br w:type="page"/>
      </w:r>
    </w:p>
    <w:p>
      <w:pPr>
        <w:pStyle w:val="Heading1"/>
        <w:spacing w:after="160" w:before="360"/>
      </w:pPr>
      <w:r>
        <w:t xml:space="preserve">4. System Overview &amp; Tenancy Model</w:t>
      </w:r>
    </w:p>
    <w:p>
      <w:pPr>
        <w:pStyle w:val="Heading2"/>
        <w:spacing w:after="120" w:before="260"/>
      </w:pPr>
      <w:r>
        <w:t xml:space="preserve">4.1 Hierarchy Model</w:t>
      </w:r>
    </w:p>
    <w:p>
      <w:pPr>
        <w:spacing w:after="160" w:line="276"/>
      </w:pPr>
      <w:r>
        <w:t xml:space="preserve">The platform is structured around the following hierarchy, which underpins access control, reporting scope, and data isolation throughout this document:</w:t>
      </w:r>
    </w:p>
    <w:p>
      <w:pPr>
        <w:pStyle w:val="ListParagraph"/>
        <w:numPr>
          <w:ilvl w:val="0"/>
          <w:numId w:val="2"/>
        </w:numPr>
        <w:spacing w:after="80"/>
      </w:pPr>
      <w:r>
        <w:t xml:space="preserve">Tenant (PM Company) — the paying customer and top-level data boundary.</w:t>
      </w:r>
    </w:p>
    <w:p>
      <w:pPr>
        <w:pStyle w:val="ListParagraph"/>
        <w:numPr>
          <w:ilvl w:val="0"/>
          <w:numId w:val="2"/>
        </w:numPr>
        <w:spacing w:after="80"/>
      </w:pPr>
      <w:r>
        <w:t xml:space="preserve">Owner — a client of the PM company, scoped within the tenant.</w:t>
      </w:r>
    </w:p>
    <w:p>
      <w:pPr>
        <w:pStyle w:val="ListParagraph"/>
        <w:numPr>
          <w:ilvl w:val="0"/>
          <w:numId w:val="2"/>
        </w:numPr>
        <w:spacing w:after="80"/>
      </w:pPr>
      <w:r>
        <w:t xml:space="preserve">Property — a physical property belonging to an Owner.</w:t>
      </w:r>
    </w:p>
    <w:p>
      <w:pPr>
        <w:pStyle w:val="ListParagraph"/>
        <w:numPr>
          <w:ilvl w:val="0"/>
          <w:numId w:val="2"/>
        </w:numPr>
        <w:spacing w:after="80"/>
      </w:pPr>
      <w:r>
        <w:t xml:space="preserve">Unit / Asset — an individual unit or asset within a Property (e.g., an apartment, a piece of equipment).</w:t>
      </w:r>
    </w:p>
    <w:p>
      <w:pPr>
        <w:spacing w:after="160" w:line="276"/>
      </w:pPr>
      <w:r>
        <w:t xml:space="preserve">Departments, workflows, documents, and inspections attach at the Property or Unit/Asset level, and roll up for reporting at the Owner and Tenant level. Vendors sit outside this hierarchy as a separate identity type that is linked to specific work items via assignment, potentially across multiple tenants (see Section 5.4).</w:t>
      </w:r>
    </w:p>
    <w:p>
      <w:pPr>
        <w:pStyle w:val="Heading2"/>
        <w:spacing w:after="120" w:before="260"/>
      </w:pPr>
      <w:r>
        <w:t xml:space="preserve">4.2 Data Isolation Principles</w:t>
      </w:r>
    </w:p>
    <w:p>
      <w:pPr>
        <w:pStyle w:val="ListParagraph"/>
        <w:numPr>
          <w:ilvl w:val="0"/>
          <w:numId w:val="2"/>
        </w:numPr>
        <w:spacing w:after="80"/>
      </w:pPr>
      <w:r>
        <w:t xml:space="preserve">No tenant may access another tenant’s data under any circumstance, including via API or reporting.</w:t>
      </w:r>
    </w:p>
    <w:p>
      <w:pPr>
        <w:pStyle w:val="ListParagraph"/>
        <w:numPr>
          <w:ilvl w:val="0"/>
          <w:numId w:val="2"/>
        </w:numPr>
        <w:spacing w:after="80"/>
      </w:pPr>
      <w:r>
        <w:t xml:space="preserve">An Owner’s visibility (via reports) is limited strictly to their own properties within their PM company’s tenant.</w:t>
      </w:r>
    </w:p>
    <w:p>
      <w:pPr>
        <w:pStyle w:val="ListParagraph"/>
        <w:numPr>
          <w:ilvl w:val="0"/>
          <w:numId w:val="2"/>
        </w:numPr>
        <w:spacing w:after="80"/>
      </w:pPr>
      <w:r>
        <w:t xml:space="preserve">A Vendor’s visibility is limited strictly to work items explicitly assigned to them, regardless of how many tenants they are linked to.</w:t>
      </w:r>
    </w:p>
    <w:p>
      <w:pPr>
        <w:pStyle w:val="ListParagraph"/>
        <w:numPr>
          <w:ilvl w:val="0"/>
          <w:numId w:val="2"/>
        </w:numPr>
        <w:spacing w:after="80"/>
      </w:pPr>
      <w:r>
        <w:t xml:space="preserve">The Platform Operator has cross-tenant access for provisioning and support purposes only, and this access is fully audited.</w:t>
      </w:r>
    </w:p>
    <w:p>
      <w:r>
        <w:br w:type="page"/>
      </w:r>
    </w:p>
    <w:p>
      <w:pPr>
        <w:pStyle w:val="Heading1"/>
        <w:spacing w:after="160" w:before="360"/>
      </w:pPr>
      <w:r>
        <w:t xml:space="preserve">5. Business Requirements</w:t>
      </w:r>
    </w:p>
    <w:p>
      <w:pPr>
        <w:spacing w:after="200"/>
      </w:pPr>
      <w:r>
        <w:rPr>
          <w:i/>
          <w:iCs/>
          <w:color w:val="595959"/>
          <w:sz w:val="20"/>
          <w:szCs w:val="20"/>
        </w:rPr>
        <w:t xml:space="preserve">Each requirement is uniquely identified for traceability into design, build, and test artefacts. Priority follows MoSCoW: Must have / Should have / Could have.</w:t>
      </w:r>
    </w:p>
    <w:p>
      <w:pPr>
        <w:pStyle w:val="Heading2"/>
        <w:spacing w:after="120" w:before="260"/>
      </w:pPr>
      <w:r>
        <w:t xml:space="preserve">5.1 Tenancy &amp; Onboarding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provision each PM company as an isolated tenant with its own configuration, branding, and user base.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the Platform Operator to onboard a new tenant via a guided setup process (company profile, admin user, subscription plan).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strict data isolation such that no tenant can access another tenant’s data, including via API.</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configure their own department structure, roles, and workflow templates independently of other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tenant-level subscription and billing management by the Platform Operator (plan tier, seat count, feature flags).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5.2 Owner Portfolio &amp; Reporting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create and manage multiple Owner records, each associated with one or more Properties.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require Owners to hold login credentials in Phase 1; Owners receive portfolio information via generated reports.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periodic (configurable: monthly/quarterly) portfolio reports per Owner covering financial summary, maintenance activity, and compliance status for their properties only.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user to deliver Owner reports via email (PDF attachment) or a secure, time-limited shareable link.</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should support an optional read-only Owner portal in a later phase without requiring architectural rework of the reporting data model.</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5.3 Department &amp; Role-Based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define internal departments (e.g., Maintenance, Legal, Finance, Compliance) as configurable entities, not hardcoded categories.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access control scoping a staff user’s visibility and actions to their assigned department(s) and property assignments.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staff user to be assigned to more than one department where applicable.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an auditable log of role and permission changes per tenant.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5.4 Vendor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onboard external Vendor organisations (e.g., maintenance contractors, legal firms, inspection companies) as first-class accounts, distinct from internal staff and distinct from full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 Vendor user’s visibility strictly to work items explicitly assigned to them, with no visibility into property financials, other tenants, or unrelated portfolio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Vendor user to update the status of an assigned work item, upload supporting evidence (photos, invoices, completion notes), and communicate with the assigning PM company user within the scope of that work item.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Vendor identity being associated with, and switching between, multiple independent PM company tenants that have each individually engaged that Vendor, without separate credentials per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define approval/sign-off requirements before a Vendor-submitted work item is considered closed.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5.5 Asset &amp; Property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structured asset registry with hierarchy: Tenant → Owner → Property → Unit/Asset.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each Property and Unit/Asset record to store core attributes (address, type, size, acquisition/valuation data, status).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inspection records, and workflow history to be attached directly to the relevant Property or Unit/Asset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bulk import of existing property/asset portfolios (CSV/Excel) during PM company onboarding.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5.6 Workflow Engine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configurable workflow builder allowing a Tenant Admin to define approval chains and process steps without code changes or vendor involvement.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conditional routing of workflow steps based on criteria such as department, property, cost threshold, or request type.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assigned users of pending workflow actions via in-app notification and email.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full audit trail of workflow state transitions, including who acted, when, and what decision was made.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workflow templates to be cloned and adapted per department or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5.7 Document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(leases, certificates, contracts, invoices, reports) to be uploaded and linked to a specific Property, Unit/Asset, Owner, or Vendor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version history for documents, showing prior versions and who uploaded each.</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document expiration/renewal dates (e.g., insurance certificates, licences, lease terms) and generate proactive alerts ahead of expiry.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configurable document categories and required-document checklists per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restrict document visibility according to the RBAC and Vendor scoping rules defined in Sections 5.3 and 5.4.</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5.8 Inspection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scheduling of property/asset inspections, assignable to internal staff or external Vendors.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mobile-friendly inspection interface supporting photo capture, checklists, and geolocation tagging.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inspection data entry to continue while offline, with automatic synchronisation once connectivity is restored.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a structured inspection report on completion, linked to the relevant Property/Unit/Asset record and available to authorised users.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comparison between successive inspections of the same asset (e.g., condition change over time).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5.9 AI Capabilities — Phase 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document extraction to automatically identify and populate key structured fields (parties, dates, financial terms, renewal/expiry dates) from uploaded lease, insurance, and compliance documents.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AI-extracted document data to a user for review and confirmation before it is saved as authoritative record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classification to automatically triage incoming maintenance/service requests to the appropriate internal department or Vendor category based on request description.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override an AI-suggested routing or extraction decision, and shall log the override for future model improvement.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display a confidence indicator alongside AI-generated suggestions (extraction or routing).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5.10 Reporting &amp; Analytics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dashboards for PM company staff summarising portfolio-wide status: open work orders, expiring documents, upcoming inspections, and workflow bottlenecks.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export of reports in common formats (PDF, Excel/CSV).</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all reporting and analytics to the requesting user’s tenant, department, and assigned properties per the RBAC model.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5.11 Security &amp; Compliance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tenant data isolation at the data storage layer, not solely at the application layer.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log all access to sensitive documents and financial data for audit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time-limited access links for external report sharing (e.g., Owner reports) that expire automatically.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comply with applicable data protection requirements for the markets in which each tenant operates (e.g., GDPR where applicable).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r>
        <w:br w:type="page"/>
      </w:r>
    </w:p>
    <w:p>
      <w:pPr>
        <w:pStyle w:val="Heading1"/>
        <w:spacing w:after="160" w:before="360"/>
      </w:pPr>
      <w:r>
        <w:t xml:space="preserve">6.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offline data capture for field inspections with sync-on-reconnect, tolerating intermittent connectivity typical of field environments.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usable by a new PM company staff member with minimal training (target: functional proficiency within one onboarding session).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scale to support a growing number of tenants without degradation of per-tenant performance.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99.5% uptime for core functions during business hours of operation.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accessible via web browser and a mobile application or responsive interface.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r>
        <w:br w:type="page"/>
      </w:r>
    </w:p>
    <w:p>
      <w:pPr>
        <w:pStyle w:val="Heading1"/>
        <w:spacing w:after="160" w:before="360"/>
      </w:pPr>
      <w:r>
        <w:t xml:space="preserve">7. Implementation Recommendations</w:t>
      </w:r>
    </w:p>
    <w:p>
      <w:pPr>
        <w:spacing w:after="200"/>
      </w:pPr>
      <w:r>
        <w:rPr>
          <w:i/>
          <w:iCs/>
          <w:color w:val="595959"/>
          <w:sz w:val="20"/>
          <w:szCs w:val="20"/>
        </w:rPr>
        <w:t xml:space="preserve">The items below are recommendations for how the requirements in Section 5 could be implemented. They are not business requirements in their own right and do not carry BDR IDs; the design and engineering team should validate and refine them during solution design.</w:t>
      </w:r>
    </w:p>
    <w:p>
      <w:pPr>
        <w:pStyle w:val="Heading2"/>
        <w:spacing w:after="120" w:before="260"/>
      </w:pPr>
      <w:r>
        <w:t xml:space="preserve">7.1 Multi-Tenancy Approach</w:t>
      </w:r>
    </w:p>
    <w:p>
      <w:pPr>
        <w:spacing w:after="160" w:line="276"/>
      </w:pPr>
      <w:r>
        <w:t xml:space="preserve">Consider a shared application layer with tenant-scoped data partitioning for cost efficiency in early stages, with a defined migration path to dedicated schemas or infrastructure for larger tenants that require stronger contractual isolation guarantees (supports BDR-TEN-003, BDR-SEC-001).</w:t>
      </w:r>
    </w:p>
    <w:p>
      <w:pPr>
        <w:pStyle w:val="Heading2"/>
        <w:spacing w:after="120" w:before="260"/>
      </w:pPr>
      <w:r>
        <w:t xml:space="preserve">7.2 Vendor Cross-Tenant Identity</w:t>
      </w:r>
    </w:p>
    <w:p>
      <w:pPr>
        <w:spacing w:after="160" w:line="276"/>
      </w:pPr>
      <w:r>
        <w:t xml:space="preserve">Model Vendor identity as a service independent of any single tenant’s schema, with an assignment/linking table connecting a Vendor identity to specific work items within each engaging tenant. This is the mechanism that enables one Vendor login across multiple PM companies (supports BDR-VEN-004).</w:t>
      </w:r>
    </w:p>
    <w:p>
      <w:pPr>
        <w:pStyle w:val="Heading2"/>
        <w:spacing w:after="120" w:before="260"/>
      </w:pPr>
      <w:r>
        <w:t xml:space="preserve">7.3 Workflow Engine</w:t>
      </w:r>
    </w:p>
    <w:p>
      <w:pPr>
        <w:spacing w:after="160" w:line="276"/>
      </w:pPr>
      <w:r>
        <w:t xml:space="preserve">A configuration-driven workflow engine (e.g., states and transitions defined as data rather than code) is recommended so Tenant Admins can adjust approval chains through the UI without engineering involvement (supports BDR-WF-001, BDR-WF-002).</w:t>
      </w:r>
    </w:p>
    <w:p>
      <w:pPr>
        <w:pStyle w:val="Heading2"/>
        <w:spacing w:after="120" w:before="260"/>
      </w:pPr>
      <w:r>
        <w:t xml:space="preserve">7.4 AI Document Intelligence</w:t>
      </w:r>
    </w:p>
    <w:p>
      <w:pPr>
        <w:spacing w:after="160" w:line="276"/>
      </w:pPr>
      <w:r>
        <w:t xml:space="preserve">Start with a structured-extraction approach against a defined schema, with a mandatory human review step before data is committed as authoritative (supports BDR-AI-001, BDR-AI-002). This builds user trust ahead of increasing automation in later phases.</w:t>
      </w:r>
    </w:p>
    <w:p>
      <w:pPr>
        <w:pStyle w:val="Heading2"/>
        <w:spacing w:after="120" w:before="260"/>
      </w:pPr>
      <w:r>
        <w:t xml:space="preserve">7.5 AI Request Triage</w:t>
      </w:r>
    </w:p>
    <w:p>
      <w:pPr>
        <w:spacing w:after="160" w:line="276"/>
      </w:pPr>
      <w:r>
        <w:t xml:space="preserve">Begin with prompt-based classification against your defined department and vendor-category taxonomy, which is fast to adjust as the taxonomy evolves. Override logs (BDR-AI-004) provide labelled data that can inform a fine-tuned or purpose-built classifier once sufficient volume has accumulated.</w:t>
      </w:r>
    </w:p>
    <w:p>
      <w:pPr>
        <w:pStyle w:val="Heading2"/>
        <w:spacing w:after="120" w:before="260"/>
      </w:pPr>
      <w:r>
        <w:t xml:space="preserve">7.6 Offline-First Inspections</w:t>
      </w:r>
    </w:p>
    <w:p>
      <w:pPr>
        <w:spacing w:after="160" w:line="276"/>
      </w:pPr>
      <w:r>
        <w:t xml:space="preserve">A local-first data model on the mobile client (local storage with queued background sync) is recommended for the inspection workflow, consistent with patterns commonly used for field data capture in low-connectivity environments (supports BDR-INSP-003, BDR-NFR-001).</w:t>
      </w:r>
    </w:p>
    <w:p>
      <w:pPr>
        <w:pStyle w:val="Heading2"/>
        <w:spacing w:after="120" w:before="260"/>
      </w:pPr>
      <w:r>
        <w:t xml:space="preserve">7.7 Owner Report Delivery</w:t>
      </w:r>
    </w:p>
    <w:p>
      <w:pPr>
        <w:spacing w:after="160" w:line="276"/>
      </w:pPr>
      <w:r>
        <w:t xml:space="preserve">Generate Owner reports as templated PDF exports delivered via email or a signed, expiring URL, rather than building a full Owner login in Phase 1. This keeps initial scope lean while leaving the data model ready for an Owner portal later (supports BDR-OWN-004, BDR-OWN-005, BDR-SEC-003).</w:t>
      </w:r>
    </w:p>
    <w:p>
      <w:r>
        <w:br w:type="page"/>
      </w:r>
    </w:p>
    <w:p>
      <w:pPr>
        <w:pStyle w:val="Heading1"/>
        <w:spacing w:after="160" w:before="360"/>
      </w:pPr>
      <w:r>
        <w:t xml:space="preserve">8. Assumptions &amp; Constraints</w:t>
      </w:r>
    </w:p>
    <w:p>
      <w:pPr>
        <w:pStyle w:val="ListParagraph"/>
        <w:numPr>
          <w:ilvl w:val="0"/>
          <w:numId w:val="2"/>
        </w:numPr>
        <w:spacing w:after="80"/>
      </w:pPr>
      <w:r>
        <w:t xml:space="preserve">PM companies onboarding to the platform have digitised or digitisable records for their existing portfolios (supports BDR-AST-004).</w:t>
      </w:r>
    </w:p>
    <w:p>
      <w:pPr>
        <w:pStyle w:val="ListParagraph"/>
        <w:numPr>
          <w:ilvl w:val="0"/>
          <w:numId w:val="2"/>
        </w:numPr>
        <w:spacing w:after="80"/>
      </w:pPr>
      <w:r>
        <w:t xml:space="preserve">Initial go-to-market focuses on a limited set of regulatory jurisdictions; multi-jurisdiction compliance rules (BDR-SEC-004) will expand in subsequent releases.</w:t>
      </w:r>
    </w:p>
    <w:p>
      <w:pPr>
        <w:pStyle w:val="ListParagraph"/>
        <w:numPr>
          <w:ilvl w:val="0"/>
          <w:numId w:val="2"/>
        </w:numPr>
        <w:spacing w:after="80"/>
      </w:pPr>
      <w:r>
        <w:t xml:space="preserve">Vendor organisations are willing to adopt a new tool for job status updates; incentive design (e.g., faster confirmation-linked payment processing) may be needed to drive adoption.</w:t>
      </w:r>
    </w:p>
    <w:p>
      <w:pPr>
        <w:pStyle w:val="ListParagraph"/>
        <w:numPr>
          <w:ilvl w:val="0"/>
          <w:numId w:val="2"/>
        </w:numPr>
        <w:spacing w:after="80"/>
      </w:pPr>
      <w:r>
        <w:t xml:space="preserve">Owners are assumed not to require system login in Phase 1 (BDR-OWN-002); this is a scope decision, not a technical limitation.</w:t>
      </w:r>
    </w:p>
    <w:p>
      <w:r>
        <w:br w:type="page"/>
      </w:r>
    </w:p>
    <w:p>
      <w:pPr>
        <w:pStyle w:val="Heading1"/>
        <w:spacing w:after="160" w:before="360"/>
      </w:pPr>
      <w:r>
        <w:t xml:space="preserve">9. Out of Scope (Phase 1) &amp; Roadmap</w:t>
      </w:r>
    </w:p>
    <w:p>
      <w:pPr>
        <w:pStyle w:val="Heading2"/>
        <w:spacing w:after="120" w:before="260"/>
      </w:pPr>
      <w:r>
        <w:t xml:space="preserve">9.1 Out of Scope for Phase 1</w:t>
      </w:r>
    </w:p>
    <w:p>
      <w:pPr>
        <w:pStyle w:val="ListParagraph"/>
        <w:numPr>
          <w:ilvl w:val="0"/>
          <w:numId w:val="2"/>
        </w:numPr>
        <w:spacing w:after="80"/>
      </w:pPr>
      <w:r>
        <w:t xml:space="preserve">Computer-vision-based automated defect detection from inspection photos.</w:t>
      </w:r>
    </w:p>
    <w:p>
      <w:pPr>
        <w:pStyle w:val="ListParagraph"/>
        <w:numPr>
          <w:ilvl w:val="0"/>
          <w:numId w:val="2"/>
        </w:numPr>
        <w:spacing w:after="80"/>
      </w:pPr>
      <w:r>
        <w:t xml:space="preserve">Natural-language conversational reporting interface.</w:t>
      </w:r>
    </w:p>
    <w:p>
      <w:pPr>
        <w:pStyle w:val="ListParagraph"/>
        <w:numPr>
          <w:ilvl w:val="0"/>
          <w:numId w:val="2"/>
        </w:numPr>
        <w:spacing w:after="80"/>
      </w:pPr>
      <w:r>
        <w:t xml:space="preserve">Automated financial anomaly/fraud detection across vendor invoices.</w:t>
      </w:r>
    </w:p>
    <w:p>
      <w:pPr>
        <w:pStyle w:val="ListParagraph"/>
        <w:numPr>
          <w:ilvl w:val="0"/>
          <w:numId w:val="2"/>
        </w:numPr>
        <w:spacing w:after="80"/>
      </w:pPr>
      <w:r>
        <w:t xml:space="preserve">Full read/write Owner self-service portal.</w:t>
      </w:r>
    </w:p>
    <w:p>
      <w:pPr>
        <w:pStyle w:val="ListParagraph"/>
        <w:numPr>
          <w:ilvl w:val="0"/>
          <w:numId w:val="2"/>
        </w:numPr>
        <w:spacing w:after="80"/>
      </w:pPr>
      <w:r>
        <w:t xml:space="preserve">Marketplace or payment-processing features between PM companies and Vendors.</w:t>
      </w:r>
    </w:p>
    <w:p>
      <w:pPr>
        <w:pStyle w:val="Heading2"/>
        <w:spacing w:after="120" w:before="260"/>
      </w:pPr>
      <w:r>
        <w:t xml:space="preserve">9.2 Roadmap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Phase</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Scope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1 (MVP)</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Tenancy, Owner reporting, Departments/RBAC, Vendor management, Asset registry, Workflow engine, Document management, Inspections, AI Document Intelligence, AI Request Triage.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2</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 read-only portal, computer-vision inspection analysis, workflow analytics and bottleneck detection.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3</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Natural-language reporting assistant, financial anomaly detection, Vendor marketplace features.</w:t>
            </w:r>
          </w:p>
        </w:tc>
      </w:tr>
    </w:tbl>
    <w:p>
      <w:r>
        <w:br w:type="page"/>
      </w:r>
    </w:p>
    <w:p>
      <w:pPr>
        <w:pStyle w:val="Heading1"/>
        <w:spacing w:after="160" w:before="360"/>
      </w:pPr>
      <w:r>
        <w:t xml:space="preserve">Appendix A: Role / Access Matrix</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710"/>
        <w:gridCol w:w="171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Properties &amp; Assets</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Documents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Financials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Vendor Work Orders</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 all tenants)</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properties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department scope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View only (if permitted)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 &amp; review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 no login)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work items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items only</w:t>
            </w:r>
          </w:p>
        </w:tc>
      </w:tr>
    </w:tbl>
    <w:p>
      <w:pPr>
        <w:spacing w:after="300"/>
      </w:pPr>
    </w:p>
    <w:p>
      <w:pPr>
        <w:pStyle w:val="Heading1"/>
        <w:spacing w:after="160" w:before="360"/>
      </w:pPr>
      <w:r>
        <w:t xml:space="preserve">Appendix B: Glossary</w:t>
      </w:r>
    </w:p>
    <w:p>
      <w:pPr>
        <w:spacing w:after="160" w:line="276"/>
      </w:pPr>
      <w:r>
        <w:t xml:space="preserve">See Section 1.4 for core definitions and abbreviations used throughout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Property Asset Management Platform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2026-09-18T18:25:50.928Z</dcterms:created>
  <dcterms:modified xsi:type="dcterms:W3CDTF">2026-09-18T18:25:50.938Z</dcterms:modified>
</cp:coreProperties>
</file>

<file path=docProps/custom.xml><?xml version="1.0" encoding="utf-8"?>
<Properties xmlns="http://schemas.openxmlformats.org/officeDocument/2006/custom-properties" xmlns:vt="http://schemas.openxmlformats.org/officeDocument/2006/docPropsVTypes"/>
</file>