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4"/>
          <w:szCs w:val="44"/>
        </w:rPr>
        <w:t xml:space="preserve">BUSINESS REQUIREMENTS DOCUMENT</w:t>
      </w:r>
    </w:p>
    <w:p>
      <w:pPr>
        <w:spacing w:after="600" w:before="200"/>
        <w:jc w:val="center"/>
      </w:pPr>
      <w:r>
        <w:rPr>
          <w:color w:val="2E5C8A"/>
          <w:sz w:val="30"/>
          <w:szCs w:val="30"/>
        </w:rPr>
        <w:t xml:space="preserve">Multi-Tenant Property Asset Management Platform</w:t>
      </w:r>
    </w:p>
    <w:p>
      <w:pPr>
        <w:spacing w:before="1200"/>
        <w:jc w:val="center"/>
      </w:pPr>
      <w:r>
        <w:rPr>
          <w:sz w:val="22"/>
          <w:szCs w:val="22"/>
        </w:rPr>
        <w:t xml:space="preserve">Prepared for: FusionAxis Integrated Services</w:t>
      </w:r>
    </w:p>
    <w:p>
      <w:pPr>
        <w:spacing w:before="100"/>
        <w:jc w:val="center"/>
      </w:pPr>
      <w:r>
        <w:rPr>
          <w:sz w:val="22"/>
          <w:szCs w:val="22"/>
        </w:rPr>
        <w:t xml:space="preserve">Prepared by: Business Analysis &amp; Product Discovery</w:t>
      </w:r>
    </w:p>
    <w:p>
      <w:pPr>
        <w:spacing w:before="100"/>
        <w:jc w:val="center"/>
      </w:pPr>
      <w:r>
        <w:rPr>
          <w:sz w:val="22"/>
          <w:szCs w:val="22"/>
        </w:rPr>
        <w:t xml:space="preserve">Document Version: 0.3 (Draft for Review)</w:t>
      </w:r>
    </w:p>
    <w:p>
      <w:pPr>
        <w:spacing w:after="1200" w:before="100"/>
        <w:jc w:val="center"/>
      </w:pPr>
      <w:r>
        <w:rPr>
          <w:sz w:val="22"/>
          <w:szCs w:val="22"/>
        </w:rPr>
        <w:t xml:space="preserve">18 September 2026</w:t>
      </w:r>
    </w:p>
    <w:p>
      <w:r>
        <w:br w:type="page"/>
      </w:r>
    </w:p>
    <w:p>
      <w:pPr>
        <w:pStyle w:val="Heading1"/>
        <w:spacing w:after="160" w:before="360"/>
      </w:pPr>
      <w:r>
        <w:t xml:space="preserve">Document Control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Field</w:t>
            </w:r>
          </w:p>
        </w:tc>
        <w:tc>
          <w:tcPr>
            <w:tcW w:type="dxa" w:w="65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Document Title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Business Requirements Document — Multi-Tenant Property Asset Management Platform</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Version</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0.3 — Draft for stakeholder review</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Status</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Draft</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Date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September 2026</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Source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Product discovery / scoping session, 18 September 2026; engineering handbook reconciliation, 18 September 2026; Leasing &amp; Rent Collection scoping session, 18 September 2026</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Classification</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Internal — FusionAxis Integrated Services</w:t>
            </w:r>
          </w:p>
        </w:tc>
      </w:tr>
    </w:tbl>
    <w:p>
      <w:pPr>
        <w:spacing w:after="300"/>
      </w:pPr>
    </w:p>
    <w:p>
      <w:pPr>
        <w:pStyle w:val="Heading2"/>
        <w:spacing w:after="120" w:before="260"/>
      </w:pPr>
      <w:r>
        <w:t xml:space="preserve">Revision History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Version</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Date</w:t>
            </w:r>
          </w:p>
        </w:tc>
        <w:tc>
          <w:tcPr>
            <w:tcW w:type="dxa" w:w="62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0.1</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Initial draft from product discovery session — core concept, tenancy model, and Phase 1 AI scope</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0.2</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Added Section 5.12 (Platform Billing &amp; Subscription Management, BDR-BIL-001–008) elaborating BDR-TEN-005; added on-premises/licensing as an explicit, triggered out-of-scope capability (BDR-LIC-001–007) in Section 9; updated the Roadmap table; corrected a section cross-reference in 1.2. Reconciled against the engineering handbook (Handbook/billing_design.md, Handbook/deployment_topologies.md, Handbook/roadmap.md).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0.3</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Added a new actor, Prospective Tenant (Section 3), accessing the system solely via a secure, time-limited application link. Added Section 5.13 (Leasing &amp; Vacancy Management, BDR-LSE-001–007) and Section 5.14 (Rent Collection — Tracking, BDR-RENT-001–006), both genuinely new business scope rather than elaboration of an existing domain. Updated the Section 9.2 Roadmap table. Reconciled against the engineering handbook (Handbook/leasing_design.md, Handbook/rent_collection_design.md, Handbook/operational_flows.md, Handbook/roadmap.md).</w:t>
            </w:r>
          </w:p>
        </w:tc>
      </w:tr>
    </w:tbl>
    <w:p>
      <w:r>
        <w:br w:type="page"/>
      </w:r>
    </w:p>
    <w:p>
      <w:pPr>
        <w:pStyle w:val="Heading1"/>
        <w:spacing w:after="160" w:before="360"/>
      </w:pPr>
      <w:r>
        <w:t xml:space="preserve">1. Introduction</w:t>
      </w:r>
    </w:p>
    <w:p>
      <w:pPr>
        <w:pStyle w:val="Heading2"/>
        <w:spacing w:after="120" w:before="260"/>
      </w:pPr>
      <w:r>
        <w:t xml:space="preserve">1.1 Purpose</w:t>
      </w:r>
    </w:p>
    <w:p>
      <w:pPr>
        <w:spacing w:after="160" w:line="276"/>
      </w:pPr>
      <w:r>
        <w:t xml:space="preserve">This document defines the business requirements for a new multi-tenant property asset management platform. It captures what the system must do to support property management (PM) companies that manage portfolios on behalf of multiple property owners, and establishes a traceable set of requirements (BDR IDs) against which subsequent design, build, and QA activity can be measured.</w:t>
      </w:r>
    </w:p>
    <w:p>
      <w:pPr>
        <w:pStyle w:val="Heading2"/>
        <w:spacing w:after="120" w:before="260"/>
      </w:pPr>
      <w:r>
        <w:t xml:space="preserve">1.2 Scope</w:t>
      </w:r>
    </w:p>
    <w:p>
      <w:pPr>
        <w:spacing w:after="160" w:line="276"/>
      </w:pPr>
      <w:r>
        <w:t xml:space="preserve">This document covers the Phase 1 (MVP) business requirements: tenant onboarding, owner portfolio management and reporting, department-based access control, vendor/external collaborator management, asset and property records, a configurable workflow engine, document management, inspection management, two initial AI capabilities (document intelligence and request triage), platform billing/subscription management (Section 5.12), leasing and vacancy management (Section 5.13), and rent collection tracking (Section 5.14). Requirements for later phases, and capabilities that are fully specified but deliberately deferred until a qualifying trigger occurs (such as on-premises deployment, Section 9.1), are listed for traceability in Section 9 (Out of Scope &amp; Roadmap) but are explicitly out of scope for Phase 1.</w:t>
      </w:r>
    </w:p>
    <w:p>
      <w:pPr>
        <w:pStyle w:val="Heading2"/>
        <w:spacing w:after="120" w:before="260"/>
      </w:pPr>
      <w:r>
        <w:t xml:space="preserve">1.3 Intended Audience</w:t>
      </w:r>
    </w:p>
    <w:p>
      <w:pPr>
        <w:spacing w:after="160" w:line="276"/>
      </w:pPr>
      <w:r>
        <w:t xml:space="preserve">This document is intended for product, engineering, design, and QA stakeholders involved in scoping, building, and validating the platform, and for FusionAxis leadership reviewing the product concept.</w:t>
      </w:r>
    </w:p>
    <w:p>
      <w:pPr>
        <w:pStyle w:val="Heading2"/>
        <w:spacing w:after="120" w:before="260"/>
      </w:pPr>
      <w:r>
        <w:t xml:space="preserve">1.4 Definitions &amp; Abbreviations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Term</w:t>
            </w:r>
          </w:p>
        </w:tc>
        <w:tc>
          <w:tcPr>
            <w:tcW w:type="dxa" w:w="70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single Property Management (PM) company using the platform, with its own isolated data, users, and configuration.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Owner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property owner client of a PM company. Owners do not log into the system in Phase 1; they receive portfolio reports.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external company or contractor (e.g., maintenance, legal, inspection) engaged by a PM company to carry out specific work items.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FusionAxis, operating the platform across all tenants for provisioning, support, and billing purposes.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BDR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Business Design/Development Requirement — a uniquely numbered, traceable business requirement.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RBAC</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Role-Based Access Control — permissions granted based on a user’s assigned role and department.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MoSCoW</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Prioritisation scale used in this document: Must have, Should have, Could have.</w:t>
            </w:r>
          </w:p>
        </w:tc>
      </w:tr>
    </w:tbl>
    <w:p>
      <w:r>
        <w:br w:type="page"/>
      </w:r>
    </w:p>
    <w:p>
      <w:pPr>
        <w:pStyle w:val="Heading1"/>
        <w:spacing w:after="160" w:before="360"/>
      </w:pPr>
      <w:r>
        <w:t xml:space="preserve">2. Business Context</w:t>
      </w:r>
    </w:p>
    <w:p>
      <w:pPr>
        <w:pStyle w:val="Heading2"/>
        <w:spacing w:after="120" w:before="260"/>
      </w:pPr>
      <w:r>
        <w:t xml:space="preserve">2.1 Problem Statement</w:t>
      </w:r>
    </w:p>
    <w:p>
      <w:pPr>
        <w:spacing w:after="160" w:line="276"/>
      </w:pPr>
      <w:r>
        <w:t xml:space="preserve">Property management companies coordinate work across multiple internal departments (maintenance, legal, finance, compliance) and external vendors, while remaining accountable to property owners for the condition, compliance, and performance of assets they do not personally control. Existing property management and facilities/IWMS software generally does one part of this well — leasing and financials, or maintenance ticketing, or document storage — but rarely unifies workflow, document lifecycle, and inspection data against the same asset, and rarely gives external vendors anything more than contact-record status. The result is manual re-keying of information between systems, missed compliance deadlines, and a poor experience for both internal staff and external collaborators.</w:t>
      </w:r>
    </w:p>
    <w:p>
      <w:pPr>
        <w:pStyle w:val="Heading2"/>
        <w:spacing w:after="120" w:before="260"/>
      </w:pPr>
      <w:r>
        <w:t xml:space="preserve">2.2 Business Objectives</w:t>
      </w:r>
    </w:p>
    <w:p>
      <w:pPr>
        <w:pStyle w:val="ListParagraph"/>
        <w:numPr>
          <w:ilvl w:val="0"/>
          <w:numId w:val="2"/>
        </w:numPr>
        <w:spacing w:after="80"/>
      </w:pPr>
      <w:r>
        <w:t xml:space="preserve">Provide PM companies with a single system of record for properties, owners, documents, workflow, and inspections.</w:t>
      </w:r>
    </w:p>
    <w:p>
      <w:pPr>
        <w:pStyle w:val="ListParagraph"/>
        <w:numPr>
          <w:ilvl w:val="0"/>
          <w:numId w:val="2"/>
        </w:numPr>
        <w:spacing w:after="80"/>
      </w:pPr>
      <w:r>
        <w:t xml:space="preserve">Reduce manual coordination overhead between internal departments and external vendors.</w:t>
      </w:r>
    </w:p>
    <w:p>
      <w:pPr>
        <w:pStyle w:val="ListParagraph"/>
        <w:numPr>
          <w:ilvl w:val="0"/>
          <w:numId w:val="2"/>
        </w:numPr>
        <w:spacing w:after="80"/>
      </w:pPr>
      <w:r>
        <w:t xml:space="preserve">Differentiate through configurability (workflow builder), a first-class vendor experience, and targeted AI automation, rather than competing purely on feature breadth.</w:t>
      </w:r>
    </w:p>
    <w:p>
      <w:pPr>
        <w:pStyle w:val="ListParagraph"/>
        <w:numPr>
          <w:ilvl w:val="0"/>
          <w:numId w:val="2"/>
        </w:numPr>
        <w:spacing w:after="80"/>
      </w:pPr>
      <w:r>
        <w:t xml:space="preserve">Support a scalable, multi-tenant SaaS commercial model that can onboard additional PM companies without bespoke implementation work.</w:t>
      </w:r>
    </w:p>
    <w:p>
      <w:pPr>
        <w:pStyle w:val="Heading2"/>
        <w:spacing w:after="120" w:before="260"/>
      </w:pPr>
      <w:r>
        <w:t xml:space="preserve">2.3 Target Market</w:t>
      </w:r>
    </w:p>
    <w:p>
      <w:pPr>
        <w:spacing w:after="160" w:line="276"/>
      </w:pPr>
      <w:r>
        <w:t xml:space="preserve">Property management companies that manage portfolios on behalf of multiple property owners (residential, commercial, or mixed-use), ranging from small independent PM firms to larger regional operators, who need departmental workflow, document compliance tracking, and inspection management in one system, and who work with external vendors as part of routine operations.</w:t>
      </w:r>
    </w:p>
    <w:p>
      <w:r>
        <w:br w:type="page"/>
      </w:r>
    </w:p>
    <w:p>
      <w:pPr>
        <w:pStyle w:val="Heading1"/>
        <w:spacing w:after="160" w:before="360"/>
      </w:pPr>
      <w:r>
        <w:t xml:space="preserve">3. Stakeholders &amp; Actors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Actor</w:t>
            </w:r>
          </w:p>
        </w:tc>
        <w:tc>
          <w:tcPr>
            <w:tcW w:type="dxa" w:w="68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FusionAxis staff who provision tenants, manage subscriptions, and provide cross-tenant platform support.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 Admin</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PM company user who configures their tenant: departments, roles, workflow templates, and owner/vendor records.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Department Staff</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PM company employees operating within one or more departments (maintenance, legal, finance, compliance) with role-scoped access.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Property Owner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client of the PM company who owns one or more properties. Receives portfolio reports; does not log in (Phase 1).</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 User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external contractor/company user with access limited to work items explicitly assigned to them, potentially across more than one PM company tenant.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Prospective Tenant</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individual applying to lease a vacant Unit/Asset. Not a platform user account — accesses the system solely via a secure, time-limited, single-use application link tied to one vacancy listing (see Section 5.13). No login, no persistent identity.</w:t>
            </w:r>
          </w:p>
        </w:tc>
      </w:tr>
    </w:tbl>
    <w:p>
      <w:r>
        <w:br w:type="page"/>
      </w:r>
    </w:p>
    <w:p>
      <w:pPr>
        <w:pStyle w:val="Heading1"/>
        <w:spacing w:after="160" w:before="360"/>
      </w:pPr>
      <w:r>
        <w:t xml:space="preserve">4. System Overview &amp; Tenancy Model</w:t>
      </w:r>
    </w:p>
    <w:p>
      <w:pPr>
        <w:pStyle w:val="Heading2"/>
        <w:spacing w:after="120" w:before="260"/>
      </w:pPr>
      <w:r>
        <w:t xml:space="preserve">4.1 Hierarchy Model</w:t>
      </w:r>
    </w:p>
    <w:p>
      <w:pPr>
        <w:spacing w:after="160" w:line="276"/>
      </w:pPr>
      <w:r>
        <w:t xml:space="preserve">The platform is structured around the following hierarchy, which underpins access control, reporting scope, and data isolation throughout this document:</w:t>
      </w:r>
    </w:p>
    <w:p>
      <w:pPr>
        <w:pStyle w:val="ListParagraph"/>
        <w:numPr>
          <w:ilvl w:val="0"/>
          <w:numId w:val="2"/>
        </w:numPr>
        <w:spacing w:after="80"/>
      </w:pPr>
      <w:r>
        <w:t xml:space="preserve">Tenant (PM Company) — the paying customer and top-level data boundary.</w:t>
      </w:r>
    </w:p>
    <w:p>
      <w:pPr>
        <w:pStyle w:val="ListParagraph"/>
        <w:numPr>
          <w:ilvl w:val="0"/>
          <w:numId w:val="2"/>
        </w:numPr>
        <w:spacing w:after="80"/>
      </w:pPr>
      <w:r>
        <w:t xml:space="preserve">Owner — a client of the PM company, scoped within the tenant.</w:t>
      </w:r>
    </w:p>
    <w:p>
      <w:pPr>
        <w:pStyle w:val="ListParagraph"/>
        <w:numPr>
          <w:ilvl w:val="0"/>
          <w:numId w:val="2"/>
        </w:numPr>
        <w:spacing w:after="80"/>
      </w:pPr>
      <w:r>
        <w:t xml:space="preserve">Property — a physical property belonging to an Owner.</w:t>
      </w:r>
    </w:p>
    <w:p>
      <w:pPr>
        <w:pStyle w:val="ListParagraph"/>
        <w:numPr>
          <w:ilvl w:val="0"/>
          <w:numId w:val="2"/>
        </w:numPr>
        <w:spacing w:after="80"/>
      </w:pPr>
      <w:r>
        <w:t xml:space="preserve">Unit / Asset — an individual unit or asset within a Property (e.g., an apartment, a piece of equipment).</w:t>
      </w:r>
    </w:p>
    <w:p>
      <w:pPr>
        <w:spacing w:after="160" w:line="276"/>
      </w:pPr>
      <w:r>
        <w:t xml:space="preserve">Departments, workflows, documents, and inspections attach at the Property or Unit/Asset level, and roll up for reporting at the Owner and Tenant level. Vendors sit outside this hierarchy as a separate identity type that is linked to specific work items via assignment, potentially across multiple tenants (see Section 5.4).</w:t>
      </w:r>
    </w:p>
    <w:p>
      <w:pPr>
        <w:pStyle w:val="Heading2"/>
        <w:spacing w:after="120" w:before="260"/>
      </w:pPr>
      <w:r>
        <w:t xml:space="preserve">4.2 Data Isolation Principles</w:t>
      </w:r>
    </w:p>
    <w:p>
      <w:pPr>
        <w:pStyle w:val="ListParagraph"/>
        <w:numPr>
          <w:ilvl w:val="0"/>
          <w:numId w:val="2"/>
        </w:numPr>
        <w:spacing w:after="80"/>
      </w:pPr>
      <w:r>
        <w:t xml:space="preserve">No tenant may access another tenant’s data under any circumstance, including via API or reporting.</w:t>
      </w:r>
    </w:p>
    <w:p>
      <w:pPr>
        <w:pStyle w:val="ListParagraph"/>
        <w:numPr>
          <w:ilvl w:val="0"/>
          <w:numId w:val="2"/>
        </w:numPr>
        <w:spacing w:after="80"/>
      </w:pPr>
      <w:r>
        <w:t xml:space="preserve">An Owner’s visibility (via reports) is limited strictly to their own properties within their PM company’s tenant.</w:t>
      </w:r>
    </w:p>
    <w:p>
      <w:pPr>
        <w:pStyle w:val="ListParagraph"/>
        <w:numPr>
          <w:ilvl w:val="0"/>
          <w:numId w:val="2"/>
        </w:numPr>
        <w:spacing w:after="80"/>
      </w:pPr>
      <w:r>
        <w:t xml:space="preserve">A Vendor’s visibility is limited strictly to work items explicitly assigned to them, regardless of how many tenants they are linked to.</w:t>
      </w:r>
    </w:p>
    <w:p>
      <w:pPr>
        <w:pStyle w:val="ListParagraph"/>
        <w:numPr>
          <w:ilvl w:val="0"/>
          <w:numId w:val="2"/>
        </w:numPr>
        <w:spacing w:after="80"/>
      </w:pPr>
      <w:r>
        <w:t xml:space="preserve">The Platform Operator has cross-tenant access for provisioning and support purposes only, and this access is fully audited.</w:t>
      </w:r>
    </w:p>
    <w:p>
      <w:r>
        <w:br w:type="page"/>
      </w:r>
    </w:p>
    <w:p>
      <w:pPr>
        <w:pStyle w:val="Heading1"/>
        <w:spacing w:after="160" w:before="360"/>
      </w:pPr>
      <w:r>
        <w:t xml:space="preserve">5. Business Requirements</w:t>
      </w:r>
    </w:p>
    <w:p>
      <w:pPr>
        <w:spacing w:after="200"/>
      </w:pPr>
      <w:r>
        <w:rPr>
          <w:i/>
          <w:iCs/>
          <w:color w:val="595959"/>
          <w:sz w:val="20"/>
          <w:szCs w:val="20"/>
        </w:rPr>
        <w:t xml:space="preserve">Each requirement is uniquely identified for traceability into design, build, and test artefacts. Priority follows MoSCoW: Must have / Should have / Could have.</w:t>
      </w:r>
    </w:p>
    <w:p>
      <w:pPr>
        <w:pStyle w:val="Heading2"/>
        <w:spacing w:after="120" w:before="260"/>
      </w:pPr>
      <w:r>
        <w:t xml:space="preserve">5.1 Tenancy &amp; Onboarding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provision each PM company as an isolated tenant with its own configuration, branding, and user base.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the Platform Operator to onboard a new tenant via a guided setup process (company profile, admin user, subscription plan).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enforce strict data isolation such that no tenant can access another tenant’s data, including via API.</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to configure their own department structure, roles, and workflow templates independently of other tenants.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tenant-level subscription and billing management by the Platform Operator (plan tier, seat count, feature flags).</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5.2 Owner Portfolio &amp; Reporting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create and manage multiple Owner records, each associated with one or more Properties.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 require Owners to hold login credentials in Phase 1; Owners receive portfolio information via generated reports.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periodic (configurable: monthly/quarterly) portfolio reports per Owner covering financial summary, maintenance activity, and compliance status for their properties only.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user to deliver Owner reports via email (PDF attachment) or a secure, time-limited shareable link.</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should support an optional read-only Owner portal in a later phase without requiring architectural rework of the reporting data model.</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pPr>
        <w:spacing w:after="200"/>
      </w:pPr>
    </w:p>
    <w:p>
      <w:pPr>
        <w:pStyle w:val="Heading2"/>
        <w:spacing w:after="120" w:before="260"/>
      </w:pPr>
      <w:r>
        <w:t xml:space="preserve">5.3 Department &amp; Role-Based Access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to define internal departments (e.g., Maintenance, Legal, Finance, Compliance) as configurable entities, not hardcoded categories.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role-based access control scoping a staff user’s visibility and actions to their assigned department(s) and property assignments.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staff user to be assigned to more than one department where applicable.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an auditable log of role and permission changes per tenant.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5.4 Vendor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onboard external Vendor organisations (e.g., maintenance contractors, legal firms, inspection companies) as first-class accounts, distinct from internal staff and distinct from full tenants.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scope a Vendor user’s visibility strictly to work items explicitly assigned to them, with no visibility into property financials, other tenants, or unrelated portfolio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Vendor user to update the status of an assigned work item, upload supporting evidence (photos, invoices, completion notes), and communicate with the assigning PM company user within the scope of that work item.</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single Vendor identity being associated with, and switching between, multiple independent PM company tenants that have each individually engaged that Vendor, without separate credentials per tenant.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define approval/sign-off requirements before a Vendor-submitted work item is considered closed.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5.5 Asset &amp; Property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 structured asset registry with hierarchy: Tenant → Owner → Property → Unit/Asset.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each Property and Unit/Asset record to store core attributes (address, type, size, acquisition/valuation data, status).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documents, inspection records, and workflow history to be attached directly to the relevant Property or Unit/Asset record.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bulk import of existing property/asset portfolios (CSV/Excel) during PM company onboarding.</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5.6 Workflow Engine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configurable workflow builder allowing a Tenant Admin to define approval chains and process steps without code changes or vendor involvement.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conditional routing of workflow steps based on criteria such as department, property, cost threshold, or request type.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assigned users of pending workflow actions via in-app notification and email.</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 full audit trail of workflow state transitions, including who acted, when, and what decision was made.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workflow templates to be cloned and adapted per department or property type.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5.7 Document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documents (leases, certificates, contracts, invoices, reports) to be uploaded and linked to a specific Property, Unit/Asset, Owner, or Vendor record.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version history for documents, showing prior versions and who uploaded each.</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track document expiration/renewal dates (e.g., insurance certificates, licences, lease terms) and generate proactive alerts ahead of expiry.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configurable document categories and required-document checklists per property type.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restrict document visibility according to the RBAC and Vendor scoping rules defined in Sections 5.3 and 5.4.</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5.8 Inspection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scheduling of property/asset inspections, assignable to internal staff or external Vendors.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mobile-friendly inspection interface supporting photo capture, checklists, and geolocation tagging.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inspection data entry to continue while offline, with automatic synchronisation once connectivity is restored.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a structured inspection report on completion, linked to the relevant Property/Unit/Asset record and available to authorised users.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comparison between successive inspections of the same asset (e.g., condition change over time).</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pPr>
        <w:spacing w:after="200"/>
      </w:pPr>
    </w:p>
    <w:p>
      <w:pPr>
        <w:pStyle w:val="Heading2"/>
        <w:spacing w:after="120" w:before="260"/>
      </w:pPr>
      <w:r>
        <w:t xml:space="preserve">5.9 AI Capabilities — Phase 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use AI-based document extraction to automatically identify and populate key structured fields (parties, dates, financial terms, renewal/expiry dates) from uploaded lease, insurance, and compliance documents.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present AI-extracted document data to a user for review and confirmation before it is saved as authoritative record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use AI-based classification to automatically triage incoming maintenance/service requests to the appropriate internal department or Vendor category based on request description.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to override an AI-suggested routing or extraction decision, and shall log the override for future model improvement.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display a confidence indicator alongside AI-generated suggestions (extraction or routing).</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5.10 Reporting &amp; Analytics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dashboards for PM company staff summarising portfolio-wide status: open work orders, expiring documents, upcoming inspections, and workflow bottlenecks.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export of reports in common formats (PDF, Excel/CSV).</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scope all reporting and analytics to the requesting user’s tenant, department, and assigned properties per the RBAC model.</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5.11 Security &amp; Compliance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enforce tenant data isolation at the data storage layer, not solely at the application layer.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log all access to sensitive documents and financial data for audit purposes.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role-based, time-limited access links for external report sharing (e.g., Owner reports) that expire automatically.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comply with applicable data protection requirements for the markets in which each tenant operates (e.g., GDPR where applicable).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5.12 Platform Billing &amp; Subscription Management</w:t>
      </w:r>
    </w:p>
    <w:p>
      <w:pPr>
        <w:spacing w:after="200"/>
      </w:pPr>
      <w:r>
        <w:rPr>
          <w:i/>
          <w:iCs/>
          <w:color w:val="595959"/>
          <w:sz w:val="20"/>
          <w:szCs w:val="20"/>
        </w:rPr>
        <w:t xml:space="preserve">This section elaborates BDR-TEN-005 (tenant-level subscription and billing management) into fully traceable requirements, added in v0.2 following technical design work in the engineering handbook (Handbook/billing_design.md). The platform bills tenants on a usage basis (per active unit/asset under management), integrated with Paystack for South Africa and Kenya market coverage.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track active unit/asset count per tenant, per billing period, as the basis for usage-based billing.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one invoice per tenant per billing cycle, itemised by metered usage.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single reusable, tokenised payment method per tenant for automatic recurring billing.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retry a failed automatic payment per a defined dunning schedule before suspending a tenant.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never store raw payment card data — payment credentials are represented only as gateway-issued tokens.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Tenant Admin shall be able to view their tenant’s invoice history and current payment method.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Super Admin shall be able to view platform-wide billing and revenue status across all tenants.</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process payment gateway webhook events idempotently, deduplicated by the gateway’s own event ID.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5.13 Leasing &amp; Vacancy Management</w:t>
      </w:r>
    </w:p>
    <w:p>
      <w:pPr>
        <w:spacing w:after="200"/>
      </w:pPr>
      <w:r>
        <w:rPr>
          <w:i/>
          <w:iCs/>
          <w:color w:val="595959"/>
          <w:sz w:val="20"/>
          <w:szCs w:val="20"/>
        </w:rPr>
        <w:t xml:space="preserve">This is new business scope, added in v0.3 following technical design work in the engineering handbook (Handbook/leasing_design.md), not an elaboration of an existing domain. It introduces the Prospective Tenant actor (Section 3), who interacts with the platform solely via a secure, time-limited application link — the same pattern already established for Owner report delivery (BDR-SEC-003) — rather than as a new authenticated role.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list a Unit/Asset as vacant and available for lease, with configurable listing details (rent amount, availability date, description, photos).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prospective tenant to submit a rental application against a listed vacancy via a secure, time-limited application link, without requiring a full platform user account.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automated tenant screening (credit and background check) against a configurable third-party provider, triggered from a submitted application.</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present screening results to authorised PM company staff for review, and shall never expose full screening report detail to any party other than the PM company.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digital lease execution via e-signature integration, with the signed lease automatically filed as a versioned Document against the Property/Unit/Asset.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transition a Unit/Asset from vacant to occupied status automatically upon lease execution completion.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retain a full audit trail of an application’s lifecycle (submitted, screened, approved/declined, leased).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5.14 Rent Collection (Tracking)</w:t>
      </w:r>
    </w:p>
    <w:p>
      <w:pPr>
        <w:spacing w:after="200"/>
      </w:pPr>
      <w:r>
        <w:rPr>
          <w:i/>
          <w:iCs/>
          <w:color w:val="595959"/>
          <w:sz w:val="20"/>
          <w:szCs w:val="20"/>
        </w:rPr>
        <w:t xml:space="preserve">This is new business scope, added in v0.3 alongside Section 5.13 (Handbook/rent_collection_design.md). It is deliberately scoped to tracking and recording only — the system does not process, hold, or move tenant funds. Full payment processing (with the associated trust/escrow accounting and licensing obligations this would introduce in some jurisdictions) is an explicit future option, not part of this scope, and is not scheduled to any phase.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recurring rent schedule (amount, currency, due day of month) to be defined for an occupied Unit/Asset, created automatically on lease execution (BDR-LSE-006).</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authorised staff to record a rent payment received against a schedule, capturing amount, date received, and method reference — a record of an external event, not a processed transaction.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automatically flag a schedule as in arrears when no matching payment is recorded within a configurable grace period after the due date.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configured staff when a new arrears flag is raised.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include rent collection status (current, overdue, arrears count) in the Owner portfolio report (BDR-OWN-003).</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 represent itself, in any user interface text, document, or API response, as processing, holding, or transferring tenant funds — every payment-related screen and record shall be worded as a record of a payment that occurred outside the platform.</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r>
        <w:br w:type="page"/>
      </w:r>
    </w:p>
    <w:p>
      <w:pPr>
        <w:pStyle w:val="Heading1"/>
        <w:spacing w:after="160" w:before="360"/>
      </w:pPr>
      <w:r>
        <w:t xml:space="preserve">6. Non-Functional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offline data capture for field inspections with sync-on-reconnect, tolerating intermittent connectivity typical of field environments.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be usable by a new PM company staff member with minimal training (target: functional proficiency within one onboarding session).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scale to support a growing number of tenants without degradation of per-tenant performance.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99.5% uptime for core functions during business hours of operation.</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be accessible via web browser and a mobile application or responsive interface.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r>
        <w:br w:type="page"/>
      </w:r>
    </w:p>
    <w:p>
      <w:pPr>
        <w:pStyle w:val="Heading1"/>
        <w:spacing w:after="160" w:before="360"/>
      </w:pPr>
      <w:r>
        <w:t xml:space="preserve">7. Implementation Recommendations</w:t>
      </w:r>
    </w:p>
    <w:p>
      <w:pPr>
        <w:spacing w:after="200"/>
      </w:pPr>
      <w:r>
        <w:rPr>
          <w:i/>
          <w:iCs/>
          <w:color w:val="595959"/>
          <w:sz w:val="20"/>
          <w:szCs w:val="20"/>
        </w:rPr>
        <w:t xml:space="preserve">The items below are recommendations for how the requirements in Section 5 could be implemented. They are not business requirements in their own right and do not carry BDR IDs; the design and engineering team should validate and refine them during solution design.</w:t>
      </w:r>
    </w:p>
    <w:p>
      <w:pPr>
        <w:pStyle w:val="Heading2"/>
        <w:spacing w:after="120" w:before="260"/>
      </w:pPr>
      <w:r>
        <w:t xml:space="preserve">7.1 Multi-Tenancy Approach</w:t>
      </w:r>
    </w:p>
    <w:p>
      <w:pPr>
        <w:spacing w:after="160" w:line="276"/>
      </w:pPr>
      <w:r>
        <w:t xml:space="preserve">Consider a shared application layer with tenant-scoped data partitioning for cost efficiency in early stages, with a defined migration path to dedicated schemas or infrastructure for larger tenants that require stronger contractual isolation guarantees (supports BDR-TEN-003, BDR-SEC-001).</w:t>
      </w:r>
    </w:p>
    <w:p>
      <w:pPr>
        <w:pStyle w:val="Heading2"/>
        <w:spacing w:after="120" w:before="260"/>
      </w:pPr>
      <w:r>
        <w:t xml:space="preserve">7.2 Vendor Cross-Tenant Identity</w:t>
      </w:r>
    </w:p>
    <w:p>
      <w:pPr>
        <w:spacing w:after="160" w:line="276"/>
      </w:pPr>
      <w:r>
        <w:t xml:space="preserve">Model Vendor identity as a service independent of any single tenant’s schema, with an assignment/linking table connecting a Vendor identity to specific work items within each engaging tenant. This is the mechanism that enables one Vendor login across multiple PM companies (supports BDR-VEN-004).</w:t>
      </w:r>
    </w:p>
    <w:p>
      <w:pPr>
        <w:pStyle w:val="Heading2"/>
        <w:spacing w:after="120" w:before="260"/>
      </w:pPr>
      <w:r>
        <w:t xml:space="preserve">7.3 Workflow Engine</w:t>
      </w:r>
    </w:p>
    <w:p>
      <w:pPr>
        <w:spacing w:after="160" w:line="276"/>
      </w:pPr>
      <w:r>
        <w:t xml:space="preserve">A configuration-driven workflow engine (e.g., states and transitions defined as data rather than code) is recommended so Tenant Admins can adjust approval chains through the UI without engineering involvement (supports BDR-WF-001, BDR-WF-002).</w:t>
      </w:r>
    </w:p>
    <w:p>
      <w:pPr>
        <w:pStyle w:val="Heading2"/>
        <w:spacing w:after="120" w:before="260"/>
      </w:pPr>
      <w:r>
        <w:t xml:space="preserve">7.4 AI Document Intelligence</w:t>
      </w:r>
    </w:p>
    <w:p>
      <w:pPr>
        <w:spacing w:after="160" w:line="276"/>
      </w:pPr>
      <w:r>
        <w:t xml:space="preserve">Start with a structured-extraction approach against a defined schema, with a mandatory human review step before data is committed as authoritative (supports BDR-AI-001, BDR-AI-002). This builds user trust ahead of increasing automation in later phases.</w:t>
      </w:r>
    </w:p>
    <w:p>
      <w:pPr>
        <w:pStyle w:val="Heading2"/>
        <w:spacing w:after="120" w:before="260"/>
      </w:pPr>
      <w:r>
        <w:t xml:space="preserve">7.5 AI Request Triage</w:t>
      </w:r>
    </w:p>
    <w:p>
      <w:pPr>
        <w:spacing w:after="160" w:line="276"/>
      </w:pPr>
      <w:r>
        <w:t xml:space="preserve">Begin with prompt-based classification against your defined department and vendor-category taxonomy, which is fast to adjust as the taxonomy evolves. Override logs (BDR-AI-004) provide labelled data that can inform a fine-tuned or purpose-built classifier once sufficient volume has accumulated.</w:t>
      </w:r>
    </w:p>
    <w:p>
      <w:pPr>
        <w:pStyle w:val="Heading2"/>
        <w:spacing w:after="120" w:before="260"/>
      </w:pPr>
      <w:r>
        <w:t xml:space="preserve">7.6 Offline-First Inspections</w:t>
      </w:r>
    </w:p>
    <w:p>
      <w:pPr>
        <w:spacing w:after="160" w:line="276"/>
      </w:pPr>
      <w:r>
        <w:t xml:space="preserve">A local-first data model on the mobile client (local storage with queued background sync) is recommended for the inspection workflow, consistent with patterns commonly used for field data capture in low-connectivity environments (supports BDR-INSP-003, BDR-NFR-001). As of v0.3, this has been implemented as a Progressive Web App — Service Worker app-shell caching, IndexedDB local-first storage, and queued sync on reconnect (see Handbook/frontend_architecture.md) — rather than a separate native application, since inspections are effectively single-writer records and do not need general multi-user conflict resolution.</w:t>
      </w:r>
    </w:p>
    <w:p>
      <w:pPr>
        <w:pStyle w:val="Heading2"/>
        <w:spacing w:after="120" w:before="260"/>
      </w:pPr>
      <w:r>
        <w:t xml:space="preserve">7.7 Owner Report Delivery</w:t>
      </w:r>
    </w:p>
    <w:p>
      <w:pPr>
        <w:spacing w:after="160" w:line="276"/>
      </w:pPr>
      <w:r>
        <w:t xml:space="preserve">Generate Owner reports as templated PDF exports delivered via email or a signed, expiring URL, rather than building a full Owner login in Phase 1. This keeps initial scope lean while leaving the data model ready for an Owner portal later (supports BDR-OWN-004, BDR-OWN-005, BDR-SEC-003).</w:t>
      </w:r>
    </w:p>
    <w:p>
      <w:r>
        <w:br w:type="page"/>
      </w:r>
    </w:p>
    <w:p>
      <w:pPr>
        <w:pStyle w:val="Heading1"/>
        <w:spacing w:after="160" w:before="360"/>
      </w:pPr>
      <w:r>
        <w:t xml:space="preserve">8. Assumptions &amp; Constraints</w:t>
      </w:r>
    </w:p>
    <w:p>
      <w:pPr>
        <w:pStyle w:val="ListParagraph"/>
        <w:numPr>
          <w:ilvl w:val="0"/>
          <w:numId w:val="2"/>
        </w:numPr>
        <w:spacing w:after="80"/>
      </w:pPr>
      <w:r>
        <w:t xml:space="preserve">PM companies onboarding to the platform have digitised or digitisable records for their existing portfolios (supports BDR-AST-004).</w:t>
      </w:r>
    </w:p>
    <w:p>
      <w:pPr>
        <w:pStyle w:val="ListParagraph"/>
        <w:numPr>
          <w:ilvl w:val="0"/>
          <w:numId w:val="2"/>
        </w:numPr>
        <w:spacing w:after="80"/>
      </w:pPr>
      <w:r>
        <w:t xml:space="preserve">Initial go-to-market focuses on a limited set of regulatory jurisdictions; multi-jurisdiction compliance rules (BDR-SEC-004) will expand in subsequent releases.</w:t>
      </w:r>
    </w:p>
    <w:p>
      <w:pPr>
        <w:pStyle w:val="ListParagraph"/>
        <w:numPr>
          <w:ilvl w:val="0"/>
          <w:numId w:val="2"/>
        </w:numPr>
        <w:spacing w:after="80"/>
      </w:pPr>
      <w:r>
        <w:t xml:space="preserve">Vendor organisations are willing to adopt a new tool for job status updates; incentive design (e.g., faster confirmation-linked payment processing) may be needed to drive adoption.</w:t>
      </w:r>
    </w:p>
    <w:p>
      <w:pPr>
        <w:pStyle w:val="ListParagraph"/>
        <w:numPr>
          <w:ilvl w:val="0"/>
          <w:numId w:val="2"/>
        </w:numPr>
        <w:spacing w:after="80"/>
      </w:pPr>
      <w:r>
        <w:t xml:space="preserve">Owners are assumed not to require system login in Phase 1 (BDR-OWN-002); this is a scope decision, not a technical limitation.</w:t>
      </w:r>
    </w:p>
    <w:p>
      <w:r>
        <w:br w:type="page"/>
      </w:r>
    </w:p>
    <w:p>
      <w:pPr>
        <w:pStyle w:val="Heading1"/>
        <w:spacing w:after="160" w:before="360"/>
      </w:pPr>
      <w:r>
        <w:t xml:space="preserve">9. Out of Scope (Phase 1) &amp; Roadmap</w:t>
      </w:r>
    </w:p>
    <w:p>
      <w:pPr>
        <w:pStyle w:val="Heading2"/>
        <w:spacing w:after="120" w:before="260"/>
      </w:pPr>
      <w:r>
        <w:t xml:space="preserve">9.1 Out of Scope for Phase 1</w:t>
      </w:r>
    </w:p>
    <w:p>
      <w:pPr>
        <w:pStyle w:val="ListParagraph"/>
        <w:numPr>
          <w:ilvl w:val="0"/>
          <w:numId w:val="2"/>
        </w:numPr>
        <w:spacing w:after="80"/>
      </w:pPr>
      <w:r>
        <w:t xml:space="preserve">Computer-vision-based automated defect detection from inspection photos.</w:t>
      </w:r>
    </w:p>
    <w:p>
      <w:pPr>
        <w:pStyle w:val="ListParagraph"/>
        <w:numPr>
          <w:ilvl w:val="0"/>
          <w:numId w:val="2"/>
        </w:numPr>
        <w:spacing w:after="80"/>
      </w:pPr>
      <w:r>
        <w:t xml:space="preserve">Natural-language conversational reporting interface.</w:t>
      </w:r>
    </w:p>
    <w:p>
      <w:pPr>
        <w:pStyle w:val="ListParagraph"/>
        <w:numPr>
          <w:ilvl w:val="0"/>
          <w:numId w:val="2"/>
        </w:numPr>
        <w:spacing w:after="80"/>
      </w:pPr>
      <w:r>
        <w:t xml:space="preserve">Automated financial anomaly/fraud detection across vendor invoices.</w:t>
      </w:r>
    </w:p>
    <w:p>
      <w:pPr>
        <w:pStyle w:val="ListParagraph"/>
        <w:numPr>
          <w:ilvl w:val="0"/>
          <w:numId w:val="2"/>
        </w:numPr>
        <w:spacing w:after="80"/>
      </w:pPr>
      <w:r>
        <w:t xml:space="preserve">Full read/write Owner self-service portal.</w:t>
      </w:r>
    </w:p>
    <w:p>
      <w:pPr>
        <w:pStyle w:val="ListParagraph"/>
        <w:numPr>
          <w:ilvl w:val="0"/>
          <w:numId w:val="2"/>
        </w:numPr>
        <w:spacing w:after="80"/>
      </w:pPr>
      <w:r>
        <w:t xml:space="preserve">Marketplace or payment-processing features between PM companies and Vendors.</w:t>
      </w:r>
    </w:p>
    <w:p>
      <w:pPr>
        <w:pStyle w:val="ListParagraph"/>
        <w:numPr>
          <w:ilvl w:val="0"/>
          <w:numId w:val="2"/>
        </w:numPr>
        <w:spacing w:after="80"/>
      </w:pPr>
      <w:r>
        <w:t xml:space="preserve">On-premises / self-hosted deployment for enterprise customers requiring data residency or an air-gapped environment. Fully specified as a triggered capability — built only when a qualifying enterprise deal makes it an explicit requirement, not scheduled to a phase (BDR-LIC-001–007, proposed; see Handbook/deployment_topologies.md for the full technical design, including signed-license access control in place of the standard subscription flow).</w:t>
      </w:r>
    </w:p>
    <w:p>
      <w:pPr>
        <w:pStyle w:val="Heading2"/>
        <w:spacing w:after="120" w:before="260"/>
      </w:pPr>
      <w:r>
        <w:t xml:space="preserve">9.2 Roadmap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Phase</w:t>
            </w:r>
          </w:p>
        </w:tc>
        <w:tc>
          <w:tcPr>
            <w:tcW w:type="dxa" w:w="70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Scope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1 (MVP)</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Tenancy, Owner reporting, Departments/RBAC, Vendor management, Asset registry, Workflow engine, Document management, Inspections, AI Document Intelligence, AI Request Triage, Platform billing &amp; subscription management (usage-based), Leasing &amp; vacancy management, Rent collection (tracking).</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2</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Owner read-only portal, computer-vision inspection analysis, workflow analytics and bottleneck detection.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3</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Natural-language reporting assistant, financial anomaly detection, Vendor marketplace features.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Enterprise / On-Premises (triggered, not phase-scheduled)</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On-premises deployment with signed-license access control, for a qualifying enterprise customer requiring data residency or an air-gapped environment (BDR-LIC-001–007, proposed).</w:t>
            </w:r>
          </w:p>
        </w:tc>
      </w:tr>
    </w:tbl>
    <w:p>
      <w:pPr>
        <w:spacing w:after="200"/>
      </w:pPr>
      <w:r>
        <w:rPr>
          <w:i/>
          <w:iCs/>
          <w:color w:val="595959"/>
          <w:sz w:val="20"/>
          <w:szCs w:val="20"/>
        </w:rPr>
        <w:t xml:space="preserve">The module-by-module engineering build sequence implementing this phase plan — including the order Section 5’s requirement domains are actually built in, and why (Leasing and Rent Collection, though part of this Phase 1 business scope, build last in engineering sequence, as Phases 9–10, since they depend on Property/Asset, Document, and Auth already existing) — is maintained separately in Handbook/roadmap.md.</w:t>
      </w:r>
    </w:p>
    <w:p>
      <w:r>
        <w:br w:type="page"/>
      </w:r>
    </w:p>
    <w:p>
      <w:pPr>
        <w:pStyle w:val="Heading1"/>
        <w:spacing w:after="160" w:before="360"/>
      </w:pPr>
      <w:r>
        <w:t xml:space="preserve">Appendix A: Role / Access Matrix</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710"/>
        <w:gridCol w:w="171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Role</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Properties &amp; Assets</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Documents</w:t>
            </w:r>
          </w:p>
        </w:tc>
        <w:tc>
          <w:tcPr>
            <w:tcW w:type="dxa" w:w="171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Financials</w:t>
            </w:r>
          </w:p>
        </w:tc>
        <w:tc>
          <w:tcPr>
            <w:tcW w:type="dxa" w:w="171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Vendor Work Orders</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 all tenants)</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 Admin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Department Staff</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properties only</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department scope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View only (if permitted)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 &amp; review only</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Property Owner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 no login)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 User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work items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items only</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Prospective Tenant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 (no login; single-purpose application link only)</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application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r>
    </w:tbl>
    <w:p>
      <w:pPr>
        <w:spacing w:after="300"/>
      </w:pPr>
    </w:p>
    <w:p>
      <w:pPr>
        <w:pStyle w:val="Heading1"/>
        <w:spacing w:after="160" w:before="360"/>
      </w:pPr>
      <w:r>
        <w:t xml:space="preserve">Appendix B: Glossary</w:t>
      </w:r>
    </w:p>
    <w:p>
      <w:pPr>
        <w:spacing w:after="160" w:line="276"/>
      </w:pPr>
      <w:r>
        <w:t xml:space="preserve">See Section 1.4 for core definitions and abbreviations used throughout this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Property Asset Management Platform —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2026-09-18T21:35:30.301Z</dcterms:created>
  <dcterms:modified xsi:type="dcterms:W3CDTF">2026-09-18T21:35:30.304Z</dcterms:modified>
</cp:coreProperties>
</file>

<file path=docProps/custom.xml><?xml version="1.0" encoding="utf-8"?>
<Properties xmlns="http://schemas.openxmlformats.org/officeDocument/2006/custom-properties" xmlns:vt="http://schemas.openxmlformats.org/officeDocument/2006/docPropsVTypes"/>
</file>