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1F3864"/>
          <w:sz w:val="44"/>
          <w:szCs w:val="44"/>
        </w:rPr>
        <w:t xml:space="preserve">BUSINESS REQUIREMENTS DOCUMENT</w:t>
      </w:r>
    </w:p>
    <w:p>
      <w:pPr>
        <w:spacing w:after="600" w:before="200"/>
        <w:jc w:val="center"/>
      </w:pPr>
      <w:r>
        <w:rPr>
          <w:color w:val="2E5C8A"/>
          <w:sz w:val="30"/>
          <w:szCs w:val="30"/>
        </w:rPr>
        <w:t xml:space="preserve">Multi-Tenant Property Asset Management Platform</w:t>
      </w:r>
    </w:p>
    <w:p>
      <w:pPr>
        <w:spacing w:before="1200"/>
        <w:jc w:val="center"/>
      </w:pPr>
      <w:r>
        <w:rPr>
          <w:sz w:val="22"/>
          <w:szCs w:val="22"/>
        </w:rPr>
        <w:t xml:space="preserve">Prepared for: FusionAxis Integrated Services</w:t>
      </w:r>
    </w:p>
    <w:p>
      <w:pPr>
        <w:spacing w:before="100"/>
        <w:jc w:val="center"/>
      </w:pPr>
      <w:r>
        <w:rPr>
          <w:sz w:val="22"/>
          <w:szCs w:val="22"/>
        </w:rPr>
        <w:t xml:space="preserve">Prepared by: Business Analysis &amp; Product Discovery</w:t>
      </w:r>
    </w:p>
    <w:p>
      <w:pPr>
        <w:spacing w:before="100"/>
        <w:jc w:val="center"/>
      </w:pPr>
      <w:r>
        <w:rPr>
          <w:sz w:val="22"/>
          <w:szCs w:val="22"/>
        </w:rPr>
        <w:t xml:space="preserve">Document Version: 0.5 (Draft for Review)</w:t>
      </w:r>
    </w:p>
    <w:p>
      <w:pPr>
        <w:spacing w:after="1200" w:before="100"/>
        <w:jc w:val="center"/>
      </w:pPr>
      <w:r>
        <w:rPr>
          <w:sz w:val="22"/>
          <w:szCs w:val="22"/>
        </w:rPr>
        <w:t xml:space="preserve">19 September 2026</w:t>
      </w:r>
    </w:p>
    <w:p>
      <w:r>
        <w:br w:type="page"/>
      </w:r>
    </w:p>
    <w:p>
      <w:pPr>
        <w:pStyle w:val="Heading1"/>
        <w:spacing w:after="160" w:before="360"/>
      </w:pPr>
      <w:r>
        <w:t xml:space="preserve">Document Control</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500"/>
        <w:gridCol w:w="6520"/>
      </w:tblGrid>
      <w:tr>
        <w:trPr>
          <w:tblHeader/>
        </w:trPr>
        <w:tc>
          <w:tcPr>
            <w:tcW w:type="dxa" w:w="25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Field</w:t>
            </w:r>
          </w:p>
        </w:tc>
        <w:tc>
          <w:tcPr>
            <w:tcW w:type="dxa" w:w="652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Value</w:t>
            </w:r>
          </w:p>
        </w:tc>
      </w:tr>
      <w:tr>
        <w:tc>
          <w:tcPr>
            <w:tcW w:type="dxa" w:w="25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Document Title</w:t>
            </w:r>
          </w:p>
        </w:tc>
        <w:tc>
          <w:tcPr>
            <w:tcW w:type="dxa" w:w="65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Business Requirements Document — Multi-Tenant Property Asset Management Platform</w:t>
            </w:r>
          </w:p>
        </w:tc>
      </w:tr>
      <w:tr>
        <w:tc>
          <w:tcPr>
            <w:tcW w:type="dxa" w:w="25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Version</w:t>
            </w:r>
          </w:p>
        </w:tc>
        <w:tc>
          <w:tcPr>
            <w:tcW w:type="dxa" w:w="65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0.5 — Draft for stakeholder review</w:t>
            </w:r>
          </w:p>
        </w:tc>
      </w:tr>
      <w:tr>
        <w:tc>
          <w:tcPr>
            <w:tcW w:type="dxa" w:w="25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Status</w:t>
            </w:r>
          </w:p>
        </w:tc>
        <w:tc>
          <w:tcPr>
            <w:tcW w:type="dxa" w:w="65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Draft</w:t>
            </w:r>
          </w:p>
        </w:tc>
      </w:tr>
      <w:tr>
        <w:tc>
          <w:tcPr>
            <w:tcW w:type="dxa" w:w="25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Date</w:t>
            </w:r>
          </w:p>
        </w:tc>
        <w:tc>
          <w:tcPr>
            <w:tcW w:type="dxa" w:w="65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19 September 2026</w:t>
            </w:r>
          </w:p>
        </w:tc>
      </w:tr>
      <w:tr>
        <w:tc>
          <w:tcPr>
            <w:tcW w:type="dxa" w:w="25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Source</w:t>
            </w:r>
          </w:p>
        </w:tc>
        <w:tc>
          <w:tcPr>
            <w:tcW w:type="dxa" w:w="65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Product discovery / scoping session, 18 September 2026; engineering handbook reconciliation, 18 September 2026; Leasing &amp; Rent Collection scoping session, 18 September 2026; four-round handbook gap review (security, notifications, support, multi-tenant lifecycle, NFRs), 18–19 September 2026; billing-by-module product direction and fifth handbook round, 19 September 2026</w:t>
            </w:r>
          </w:p>
        </w:tc>
      </w:tr>
      <w:tr>
        <w:tc>
          <w:tcPr>
            <w:tcW w:type="dxa" w:w="25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Classification</w:t>
            </w:r>
          </w:p>
        </w:tc>
        <w:tc>
          <w:tcPr>
            <w:tcW w:type="dxa" w:w="65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Internal — FusionAxis Integrated Services</w:t>
            </w:r>
          </w:p>
        </w:tc>
      </w:tr>
    </w:tbl>
    <w:p>
      <w:pPr>
        <w:spacing w:after="300"/>
      </w:pPr>
    </w:p>
    <w:p>
      <w:pPr>
        <w:pStyle w:val="Heading2"/>
        <w:spacing w:after="120" w:before="260"/>
      </w:pPr>
      <w:r>
        <w:t xml:space="preserve">Revision History</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6220"/>
      </w:tblGrid>
      <w:tr>
        <w:trPr>
          <w:tblHeader/>
        </w:trPr>
        <w:tc>
          <w:tcPr>
            <w:tcW w:type="dxa" w:w="12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Version</w:t>
            </w:r>
          </w:p>
        </w:tc>
        <w:tc>
          <w:tcPr>
            <w:tcW w:type="dxa" w:w="16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Date</w:t>
            </w:r>
          </w:p>
        </w:tc>
        <w:tc>
          <w:tcPr>
            <w:tcW w:type="dxa" w:w="622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Description</w:t>
            </w:r>
          </w:p>
        </w:tc>
      </w:tr>
      <w:tr>
        <w:tc>
          <w:tcPr>
            <w:tcW w:type="dxa" w:w="12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0.1</w:t>
            </w:r>
          </w:p>
        </w:tc>
        <w:tc>
          <w:tcPr>
            <w:tcW w:type="dxa" w:w="16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18 Sep 2026</w:t>
            </w:r>
          </w:p>
        </w:tc>
        <w:tc>
          <w:tcPr>
            <w:tcW w:type="dxa" w:w="62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Initial draft from product discovery session — core concept, tenancy model, and Phase 1 AI scope</w:t>
            </w:r>
          </w:p>
        </w:tc>
      </w:tr>
      <w:tr>
        <w:tc>
          <w:tcPr>
            <w:tcW w:type="dxa" w:w="12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0.2</w:t>
            </w:r>
          </w:p>
        </w:tc>
        <w:tc>
          <w:tcPr>
            <w:tcW w:type="dxa" w:w="16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18 Sep 2026</w:t>
            </w:r>
          </w:p>
        </w:tc>
        <w:tc>
          <w:tcPr>
            <w:tcW w:type="dxa" w:w="62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Added Section 5.12 (Platform Billing &amp; Subscription Management, BDR-BIL-001–008) elaborating BDR-TEN-005; added on-premises/licensing as an explicit, triggered out-of-scope capability (BDR-LIC-001–007) in Section 9; updated the Roadmap table; corrected a section cross-reference in 1.2. Reconciled against the engineering handbook (Handbook/billing_design.md, Handbook/deployment_topologies.md, Handbook/roadmap.md).</w:t>
            </w:r>
          </w:p>
        </w:tc>
      </w:tr>
      <w:tr>
        <w:tc>
          <w:tcPr>
            <w:tcW w:type="dxa" w:w="12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0.3</w:t>
            </w:r>
          </w:p>
        </w:tc>
        <w:tc>
          <w:tcPr>
            <w:tcW w:type="dxa" w:w="16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18 Sep 2026</w:t>
            </w:r>
          </w:p>
        </w:tc>
        <w:tc>
          <w:tcPr>
            <w:tcW w:type="dxa" w:w="62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Added a new actor, Prospective Tenant (Section 3), accessing the system solely via a secure, time-limited application link. Added Section 5.13 (Leasing &amp; Vacancy Management, BDR-LSE-001–007) and Section 5.14 (Rent Collection — Tracking, BDR-RENT-001–006), both genuinely new business scope rather than elaboration of an existing domain. Updated the Section 9.2 Roadmap table. Reconciled against the engineering handbook (Handbook/leasing_design.md, Handbook/rent_collection_design.md, Handbook/operational_flows.md, Handbook/roadmap.md).</w:t>
            </w:r>
          </w:p>
        </w:tc>
      </w:tr>
      <w:tr>
        <w:tc>
          <w:tcPr>
            <w:tcW w:type="dxa" w:w="12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0.4</w:t>
            </w:r>
          </w:p>
        </w:tc>
        <w:tc>
          <w:tcPr>
            <w:tcW w:type="dxa" w:w="16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19 Sep 2026</w:t>
            </w:r>
          </w:p>
        </w:tc>
        <w:tc>
          <w:tcPr>
            <w:tcW w:type="dxa" w:w="62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Folds in a four-round handbook gap review conducted after v0.3. Adds Section 5.15 (Platform Notifications, BDR-NOTIF-001–006) and Section 5.16 (Cross-Tenant Support Ticketing, BDR-SUP-001–004), both new business scope. Elaborates existing sections: 5.1 Tenancy &amp; Onboarding (BDR-TEN-006, tenant offboarding), 5.4 Vendor Management (BDR-VEN-006, relationship termination), 5.11 Security &amp; Compliance (BDR-SEC-005–010: password reset, session revocation, file-upload malware scanning, MFA recovery codes, auth-endpoint throttling, incident response &amp; breach notification), 5.13 Leasing &amp; Vacancy Management (BDR-LSE-008, applicant email verification), and Section 6 Non-Functional Requirements (BDR-NFR-006–011: optimistic concurrency, WCAG 2.1 AA accessibility, audit log retention/archival, cookie/CSRF hardening, security response headers, log PII redaction). Updates the Section 9.2 Roadmap table and Section 9.1 Out of Scope. Reconciled against the engineering handbook (Handbook/security_guide.md, Handbook/multi_tenant_design.md, Handbook/notifications_design.md, Handbook/support_design.md, Handbook/data_model.md, Handbook/coding_standards.md, Handbook/frontend_architecture.md, Handbook/devops_environments.md, Handbook/roadmap.md).</w:t>
            </w:r>
          </w:p>
        </w:tc>
      </w:tr>
      <w:tr>
        <w:tc>
          <w:tcPr>
            <w:tcW w:type="dxa" w:w="12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0.5</w:t>
            </w:r>
          </w:p>
        </w:tc>
        <w:tc>
          <w:tcPr>
            <w:tcW w:type="dxa" w:w="16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19 Sep 2026</w:t>
            </w:r>
          </w:p>
        </w:tc>
        <w:tc>
          <w:tcPr>
            <w:tcW w:type="dxa" w:w="62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Adds BDR-BIL-009 to Section 5.12 (Platform Billing &amp; Subscription Management), elaborating BDR-BIL-001–008 with per-module billing entitlements: a tenant may enable or disable individual modules independently of tier and usage-based unit charges, with each enabled paid module appearing as its own invoice line item. Prompted by a product-direction decision to bill by module rather than a handbook gap review. This is an elaboration of existing business scope (Section 5.12), not a new domain. Updates the Section 9.2 Roadmap table (Phase 1 MVP line). Reconciled against the engineering handbook (Handbook/billing_design.md, Handbook/project_architecture.md, Handbook/api_standards.md, Handbook/coding_standards.md, Handbook/frontend_architecture.md, Handbook/error_handling.md, Handbook/data_model.md, Handbook/roadmap.md).</w:t>
            </w:r>
          </w:p>
        </w:tc>
      </w:tr>
    </w:tbl>
    <w:p>
      <w:r>
        <w:br w:type="page"/>
      </w:r>
    </w:p>
    <w:p>
      <w:pPr>
        <w:pStyle w:val="Heading1"/>
        <w:spacing w:after="160" w:before="360"/>
      </w:pPr>
      <w:r>
        <w:t xml:space="preserve">1. Introduction</w:t>
      </w:r>
    </w:p>
    <w:p>
      <w:pPr>
        <w:pStyle w:val="Heading2"/>
        <w:spacing w:after="120" w:before="260"/>
      </w:pPr>
      <w:r>
        <w:t xml:space="preserve">1.1 Purpose</w:t>
      </w:r>
    </w:p>
    <w:p>
      <w:pPr>
        <w:spacing w:after="160" w:line="276"/>
      </w:pPr>
      <w:r>
        <w:t xml:space="preserve">This document defines the business requirements for a new multi-tenant property asset management platform. It captures what the system must do to support property management (PM) companies that manage portfolios on behalf of multiple property owners, and establishes a traceable set of requirements (BDR IDs) against which subsequent design, build, and QA activity can be measured.</w:t>
      </w:r>
    </w:p>
    <w:p>
      <w:pPr>
        <w:pStyle w:val="Heading2"/>
        <w:spacing w:after="120" w:before="260"/>
      </w:pPr>
      <w:r>
        <w:t xml:space="preserve">1.2 Scope</w:t>
      </w:r>
    </w:p>
    <w:p>
      <w:pPr>
        <w:spacing w:after="160" w:line="276"/>
      </w:pPr>
      <w:r>
        <w:t xml:space="preserve">This document covers the Phase 1 (MVP) business requirements: tenant onboarding (including offboarding, Section 5.1), owner portfolio management and reporting, department-based access control, vendor/external collaborator management (including relationship termination, Section 5.4), asset and property records, a configurable workflow engine, document management, inspection management, two initial AI capabilities (document intelligence and request triage), platform billing/subscription management (Section 5.12), leasing and vacancy management (Section 5.13), rent collection tracking (Section 5.14), platform notifications (Section 5.15), and cross-tenant support ticketing (Section 5.16). It also covers security and compliance requirements (Section 5.11) and non-functional requirements (Section 6), both substantially expanded in v0.4 to cover authentication lifecycle, hardening, and operational commitments that a platform at this level of detail should not leave unstated. Requirements for later phases, and capabilities that are fully specified but deliberately deferred until a qualifying trigger occurs (such as on-premises deployment, Section 9.1), are listed for traceability in Section 9 (Out of Scope &amp; Roadmap) but are explicitly out of scope for Phase 1.</w:t>
      </w:r>
    </w:p>
    <w:p>
      <w:pPr>
        <w:pStyle w:val="Heading2"/>
        <w:spacing w:after="120" w:before="260"/>
      </w:pPr>
      <w:r>
        <w:t xml:space="preserve">1.3 Intended Audience</w:t>
      </w:r>
    </w:p>
    <w:p>
      <w:pPr>
        <w:spacing w:after="160" w:line="276"/>
      </w:pPr>
      <w:r>
        <w:t xml:space="preserve">This document is intended for product, engineering, design, and QA stakeholders involved in scoping, building, and validating the platform, and for FusionAxis leadership reviewing the product concept.</w:t>
      </w:r>
    </w:p>
    <w:p>
      <w:pPr>
        <w:pStyle w:val="Heading2"/>
        <w:spacing w:after="120" w:before="260"/>
      </w:pPr>
      <w:r>
        <w:t xml:space="preserve">1.4 Definitions &amp; Abbreviations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000"/>
        <w:gridCol w:w="7020"/>
      </w:tblGrid>
      <w:tr>
        <w:trPr>
          <w:tblHeader/>
        </w:trPr>
        <w:tc>
          <w:tcPr>
            <w:tcW w:type="dxa" w:w="20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Term</w:t>
            </w:r>
          </w:p>
        </w:tc>
        <w:tc>
          <w:tcPr>
            <w:tcW w:type="dxa" w:w="702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Definition</w:t>
            </w:r>
          </w:p>
        </w:tc>
      </w:tr>
      <w:tr>
        <w:tc>
          <w:tcPr>
            <w:tcW w:type="dxa" w:w="2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Tenant</w:t>
            </w:r>
          </w:p>
        </w:tc>
        <w:tc>
          <w:tcPr>
            <w:tcW w:type="dxa" w:w="70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A single Property Management (PM) company using the platform, with its own isolated data, users, and configuration.</w:t>
            </w:r>
          </w:p>
        </w:tc>
      </w:tr>
      <w:tr>
        <w:tc>
          <w:tcPr>
            <w:tcW w:type="dxa" w:w="2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Owner</w:t>
            </w:r>
          </w:p>
        </w:tc>
        <w:tc>
          <w:tcPr>
            <w:tcW w:type="dxa" w:w="70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A property owner client of a PM company. Owners do not log into the system in Phase 1; they receive portfolio reports.</w:t>
            </w:r>
          </w:p>
        </w:tc>
      </w:tr>
      <w:tr>
        <w:tc>
          <w:tcPr>
            <w:tcW w:type="dxa" w:w="2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Vendor</w:t>
            </w:r>
          </w:p>
        </w:tc>
        <w:tc>
          <w:tcPr>
            <w:tcW w:type="dxa" w:w="70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An external company or contractor (e.g., maintenance, legal, inspection) engaged by a PM company to carry out specific work items.</w:t>
            </w:r>
          </w:p>
        </w:tc>
      </w:tr>
      <w:tr>
        <w:tc>
          <w:tcPr>
            <w:tcW w:type="dxa" w:w="2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Platform Operator</w:t>
            </w:r>
          </w:p>
        </w:tc>
        <w:tc>
          <w:tcPr>
            <w:tcW w:type="dxa" w:w="70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FusionAxis, operating the platform across all tenants for provisioning, support, and billing purposes.</w:t>
            </w:r>
          </w:p>
        </w:tc>
      </w:tr>
      <w:tr>
        <w:tc>
          <w:tcPr>
            <w:tcW w:type="dxa" w:w="2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BDR</w:t>
            </w:r>
          </w:p>
        </w:tc>
        <w:tc>
          <w:tcPr>
            <w:tcW w:type="dxa" w:w="70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Business Design/Development Requirement — a uniquely numbered, traceable business requirement.</w:t>
            </w:r>
          </w:p>
        </w:tc>
      </w:tr>
      <w:tr>
        <w:tc>
          <w:tcPr>
            <w:tcW w:type="dxa" w:w="2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RBAC</w:t>
            </w:r>
          </w:p>
        </w:tc>
        <w:tc>
          <w:tcPr>
            <w:tcW w:type="dxa" w:w="70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Role-Based Access Control — permissions granted based on a user’s assigned role and department.</w:t>
            </w:r>
          </w:p>
        </w:tc>
      </w:tr>
      <w:tr>
        <w:tc>
          <w:tcPr>
            <w:tcW w:type="dxa" w:w="2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MoSCoW</w:t>
            </w:r>
          </w:p>
        </w:tc>
        <w:tc>
          <w:tcPr>
            <w:tcW w:type="dxa" w:w="70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Prioritisation scale used in this document: Must have, Should have, Could have.</w:t>
            </w:r>
          </w:p>
        </w:tc>
      </w:tr>
    </w:tbl>
    <w:p>
      <w:r>
        <w:br w:type="page"/>
      </w:r>
    </w:p>
    <w:p>
      <w:pPr>
        <w:pStyle w:val="Heading1"/>
        <w:spacing w:after="160" w:before="360"/>
      </w:pPr>
      <w:r>
        <w:t xml:space="preserve">2. Business Context</w:t>
      </w:r>
    </w:p>
    <w:p>
      <w:pPr>
        <w:pStyle w:val="Heading2"/>
        <w:spacing w:after="120" w:before="260"/>
      </w:pPr>
      <w:r>
        <w:t xml:space="preserve">2.1 Problem Statement</w:t>
      </w:r>
    </w:p>
    <w:p>
      <w:pPr>
        <w:spacing w:after="160" w:line="276"/>
      </w:pPr>
      <w:r>
        <w:t xml:space="preserve">Property management companies coordinate work across multiple internal departments (maintenance, legal, finance, compliance) and external vendors, while remaining accountable to property owners for the condition, compliance, and performance of assets they do not personally control. Existing property management and facilities/IWMS software generally does one part of this well — leasing and financials, or maintenance ticketing, or document storage — but rarely unifies workflow, document lifecycle, and inspection data against the same asset, and rarely gives external vendors anything more than contact-record status. The result is manual re-keying of information between systems, missed compliance deadlines, and a poor experience for both internal staff and external collaborators.</w:t>
      </w:r>
    </w:p>
    <w:p>
      <w:pPr>
        <w:pStyle w:val="Heading2"/>
        <w:spacing w:after="120" w:before="260"/>
      </w:pPr>
      <w:r>
        <w:t xml:space="preserve">2.2 Business Objectives</w:t>
      </w:r>
    </w:p>
    <w:p>
      <w:pPr>
        <w:pStyle w:val="ListParagraph"/>
        <w:numPr>
          <w:ilvl w:val="0"/>
          <w:numId w:val="2"/>
        </w:numPr>
        <w:spacing w:after="80"/>
      </w:pPr>
      <w:r>
        <w:t xml:space="preserve">Provide PM companies with a single system of record for properties, owners, documents, workflow, and inspections.</w:t>
      </w:r>
    </w:p>
    <w:p>
      <w:pPr>
        <w:pStyle w:val="ListParagraph"/>
        <w:numPr>
          <w:ilvl w:val="0"/>
          <w:numId w:val="2"/>
        </w:numPr>
        <w:spacing w:after="80"/>
      </w:pPr>
      <w:r>
        <w:t xml:space="preserve">Reduce manual coordination overhead between internal departments and external vendors.</w:t>
      </w:r>
    </w:p>
    <w:p>
      <w:pPr>
        <w:pStyle w:val="ListParagraph"/>
        <w:numPr>
          <w:ilvl w:val="0"/>
          <w:numId w:val="2"/>
        </w:numPr>
        <w:spacing w:after="80"/>
      </w:pPr>
      <w:r>
        <w:t xml:space="preserve">Differentiate through configurability (workflow builder), a first-class vendor experience, and targeted AI automation, rather than competing purely on feature breadth.</w:t>
      </w:r>
    </w:p>
    <w:p>
      <w:pPr>
        <w:pStyle w:val="ListParagraph"/>
        <w:numPr>
          <w:ilvl w:val="0"/>
          <w:numId w:val="2"/>
        </w:numPr>
        <w:spacing w:after="80"/>
      </w:pPr>
      <w:r>
        <w:t xml:space="preserve">Support a scalable, multi-tenant SaaS commercial model that can onboard additional PM companies without bespoke implementation work.</w:t>
      </w:r>
    </w:p>
    <w:p>
      <w:pPr>
        <w:pStyle w:val="Heading2"/>
        <w:spacing w:after="120" w:before="260"/>
      </w:pPr>
      <w:r>
        <w:t xml:space="preserve">2.3 Target Market</w:t>
      </w:r>
    </w:p>
    <w:p>
      <w:pPr>
        <w:spacing w:after="160" w:line="276"/>
      </w:pPr>
      <w:r>
        <w:t xml:space="preserve">Property management companies that manage portfolios on behalf of multiple property owners (residential, commercial, or mixed-use), ranging from small independent PM firms to larger regional operators, who need departmental workflow, document compliance tracking, and inspection management in one system, and who work with external vendors as part of routine operations.</w:t>
      </w:r>
    </w:p>
    <w:p>
      <w:r>
        <w:br w:type="page"/>
      </w:r>
    </w:p>
    <w:p>
      <w:pPr>
        <w:pStyle w:val="Heading1"/>
        <w:spacing w:after="160" w:before="360"/>
      </w:pPr>
      <w:r>
        <w:t xml:space="preserve">3. Stakeholders &amp; Actors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200"/>
        <w:gridCol w:w="6820"/>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Actor</w:t>
            </w:r>
          </w:p>
        </w:tc>
        <w:tc>
          <w:tcPr>
            <w:tcW w:type="dxa" w:w="682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Description</w:t>
            </w:r>
          </w:p>
        </w:tc>
      </w:tr>
      <w:tr>
        <w:tc>
          <w:tcPr>
            <w:tcW w:type="dxa" w:w="22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Platform Operator</w:t>
            </w:r>
          </w:p>
        </w:tc>
        <w:tc>
          <w:tcPr>
            <w:tcW w:type="dxa" w:w="68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FusionAxis staff who provision tenants, manage subscriptions, and provide cross-tenant platform support.</w:t>
            </w:r>
          </w:p>
        </w:tc>
      </w:tr>
      <w:tr>
        <w:tc>
          <w:tcPr>
            <w:tcW w:type="dxa" w:w="22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Tenant Admin</w:t>
            </w:r>
          </w:p>
        </w:tc>
        <w:tc>
          <w:tcPr>
            <w:tcW w:type="dxa" w:w="68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A PM company user who configures their tenant: departments, roles, workflow templates, and owner/vendor records.</w:t>
            </w:r>
          </w:p>
        </w:tc>
      </w:tr>
      <w:tr>
        <w:tc>
          <w:tcPr>
            <w:tcW w:type="dxa" w:w="22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Department Staff</w:t>
            </w:r>
          </w:p>
        </w:tc>
        <w:tc>
          <w:tcPr>
            <w:tcW w:type="dxa" w:w="68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PM company employees operating within one or more departments (maintenance, legal, finance, compliance) with role-scoped access.</w:t>
            </w:r>
          </w:p>
        </w:tc>
      </w:tr>
      <w:tr>
        <w:tc>
          <w:tcPr>
            <w:tcW w:type="dxa" w:w="22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Property Owner</w:t>
            </w:r>
          </w:p>
        </w:tc>
        <w:tc>
          <w:tcPr>
            <w:tcW w:type="dxa" w:w="68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A client of the PM company who owns one or more properties. Receives portfolio reports; does not log in (Phase 1).</w:t>
            </w:r>
          </w:p>
        </w:tc>
      </w:tr>
      <w:tr>
        <w:tc>
          <w:tcPr>
            <w:tcW w:type="dxa" w:w="22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Vendor User</w:t>
            </w:r>
          </w:p>
        </w:tc>
        <w:tc>
          <w:tcPr>
            <w:tcW w:type="dxa" w:w="68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An external contractor/company user with access limited to work items explicitly assigned to them, potentially across more than one PM company tenant.</w:t>
            </w:r>
          </w:p>
        </w:tc>
      </w:tr>
      <w:tr>
        <w:tc>
          <w:tcPr>
            <w:tcW w:type="dxa" w:w="22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Prospective Tenant</w:t>
            </w:r>
          </w:p>
        </w:tc>
        <w:tc>
          <w:tcPr>
            <w:tcW w:type="dxa" w:w="68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An individual applying to lease a vacant Unit/Asset. Not a platform user account — accesses the system solely via a secure, time-limited, single-use application link tied to one vacancy listing (see Section 5.13). No login, no persistent identity.</w:t>
            </w:r>
          </w:p>
        </w:tc>
      </w:tr>
    </w:tbl>
    <w:p>
      <w:r>
        <w:br w:type="page"/>
      </w:r>
    </w:p>
    <w:p>
      <w:pPr>
        <w:pStyle w:val="Heading1"/>
        <w:spacing w:after="160" w:before="360"/>
      </w:pPr>
      <w:r>
        <w:t xml:space="preserve">4. System Overview &amp; Tenancy Model</w:t>
      </w:r>
    </w:p>
    <w:p>
      <w:pPr>
        <w:pStyle w:val="Heading2"/>
        <w:spacing w:after="120" w:before="260"/>
      </w:pPr>
      <w:r>
        <w:t xml:space="preserve">4.1 Hierarchy Model</w:t>
      </w:r>
    </w:p>
    <w:p>
      <w:pPr>
        <w:spacing w:after="160" w:line="276"/>
      </w:pPr>
      <w:r>
        <w:t xml:space="preserve">The platform is structured around the following hierarchy, which underpins access control, reporting scope, and data isolation throughout this document:</w:t>
      </w:r>
    </w:p>
    <w:p>
      <w:pPr>
        <w:pStyle w:val="ListParagraph"/>
        <w:numPr>
          <w:ilvl w:val="0"/>
          <w:numId w:val="2"/>
        </w:numPr>
        <w:spacing w:after="80"/>
      </w:pPr>
      <w:r>
        <w:t xml:space="preserve">Tenant (PM Company) — the paying customer and top-level data boundary.</w:t>
      </w:r>
    </w:p>
    <w:p>
      <w:pPr>
        <w:pStyle w:val="ListParagraph"/>
        <w:numPr>
          <w:ilvl w:val="0"/>
          <w:numId w:val="2"/>
        </w:numPr>
        <w:spacing w:after="80"/>
      </w:pPr>
      <w:r>
        <w:t xml:space="preserve">Owner — a client of the PM company, scoped within the tenant.</w:t>
      </w:r>
    </w:p>
    <w:p>
      <w:pPr>
        <w:pStyle w:val="ListParagraph"/>
        <w:numPr>
          <w:ilvl w:val="0"/>
          <w:numId w:val="2"/>
        </w:numPr>
        <w:spacing w:after="80"/>
      </w:pPr>
      <w:r>
        <w:t xml:space="preserve">Property — a physical property belonging to an Owner.</w:t>
      </w:r>
    </w:p>
    <w:p>
      <w:pPr>
        <w:pStyle w:val="ListParagraph"/>
        <w:numPr>
          <w:ilvl w:val="0"/>
          <w:numId w:val="2"/>
        </w:numPr>
        <w:spacing w:after="80"/>
      </w:pPr>
      <w:r>
        <w:t xml:space="preserve">Unit / Asset — an individual unit or asset within a Property (e.g., an apartment, a piece of equipment).</w:t>
      </w:r>
    </w:p>
    <w:p>
      <w:pPr>
        <w:spacing w:after="160" w:line="276"/>
      </w:pPr>
      <w:r>
        <w:t xml:space="preserve">Departments, workflows, documents, and inspections attach at the Property or Unit/Asset level, and roll up for reporting at the Owner and Tenant level. Vendors sit outside this hierarchy as a separate identity type that is linked to specific work items via assignment, potentially across multiple tenants (see Section 5.4).</w:t>
      </w:r>
    </w:p>
    <w:p>
      <w:pPr>
        <w:pStyle w:val="Heading2"/>
        <w:spacing w:after="120" w:before="260"/>
      </w:pPr>
      <w:r>
        <w:t xml:space="preserve">4.2 Data Isolation Principles</w:t>
      </w:r>
    </w:p>
    <w:p>
      <w:pPr>
        <w:pStyle w:val="ListParagraph"/>
        <w:numPr>
          <w:ilvl w:val="0"/>
          <w:numId w:val="2"/>
        </w:numPr>
        <w:spacing w:after="80"/>
      </w:pPr>
      <w:r>
        <w:t xml:space="preserve">No tenant may access another tenant’s data under any circumstance, including via API or reporting.</w:t>
      </w:r>
    </w:p>
    <w:p>
      <w:pPr>
        <w:pStyle w:val="ListParagraph"/>
        <w:numPr>
          <w:ilvl w:val="0"/>
          <w:numId w:val="2"/>
        </w:numPr>
        <w:spacing w:after="80"/>
      </w:pPr>
      <w:r>
        <w:t xml:space="preserve">An Owner’s visibility (via reports) is limited strictly to their own properties within their PM company’s tenant.</w:t>
      </w:r>
    </w:p>
    <w:p>
      <w:pPr>
        <w:pStyle w:val="ListParagraph"/>
        <w:numPr>
          <w:ilvl w:val="0"/>
          <w:numId w:val="2"/>
        </w:numPr>
        <w:spacing w:after="80"/>
      </w:pPr>
      <w:r>
        <w:t xml:space="preserve">A Vendor’s visibility is limited strictly to work items explicitly assigned to them, regardless of how many tenants they are linked to.</w:t>
      </w:r>
    </w:p>
    <w:p>
      <w:pPr>
        <w:pStyle w:val="ListParagraph"/>
        <w:numPr>
          <w:ilvl w:val="0"/>
          <w:numId w:val="2"/>
        </w:numPr>
        <w:spacing w:after="80"/>
      </w:pPr>
      <w:r>
        <w:t xml:space="preserve">The Platform Operator has cross-tenant access for provisioning and support purposes only, and this access is fully audited.</w:t>
      </w:r>
    </w:p>
    <w:p>
      <w:r>
        <w:br w:type="page"/>
      </w:r>
    </w:p>
    <w:p>
      <w:pPr>
        <w:pStyle w:val="Heading1"/>
        <w:spacing w:after="160" w:before="360"/>
      </w:pPr>
      <w:r>
        <w:t xml:space="preserve">5. Business Requirements</w:t>
      </w:r>
    </w:p>
    <w:p>
      <w:pPr>
        <w:spacing w:after="200"/>
      </w:pPr>
      <w:r>
        <w:rPr>
          <w:i/>
          <w:iCs/>
          <w:color w:val="595959"/>
          <w:sz w:val="20"/>
          <w:szCs w:val="20"/>
        </w:rPr>
        <w:t xml:space="preserve">Each requirement is uniquely identified for traceability into design, build, and test artefacts. Priority follows MoSCoW: Must have / Should have / Could have.</w:t>
      </w:r>
    </w:p>
    <w:p>
      <w:pPr>
        <w:pStyle w:val="Heading2"/>
        <w:spacing w:after="120" w:before="260"/>
      </w:pPr>
      <w:r>
        <w:t xml:space="preserve">5.1 Tenancy &amp; Onboarding</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300"/>
        <w:gridCol w:w="6320"/>
        <w:gridCol w:w="1400"/>
      </w:tblGrid>
      <w:tr>
        <w:trPr>
          <w:tblHeader/>
        </w:trPr>
        <w:tc>
          <w:tcPr>
            <w:tcW w:type="dxa" w:w="13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BDR ID</w:t>
            </w:r>
          </w:p>
        </w:tc>
        <w:tc>
          <w:tcPr>
            <w:tcW w:type="dxa" w:w="632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Requirement</w:t>
            </w:r>
          </w:p>
        </w:tc>
        <w:tc>
          <w:tcPr>
            <w:tcW w:type="dxa" w:w="14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Priority</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BDR-TEN-001</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provision each PM company as an isolated tenant with its own configuration, branding, and user base.</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BDR-TEN-002</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allow the Platform Operator to onboard a new tenant via a guided setup process (company profile, admin user, subscription plan).</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BDR-TEN-003</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enforce strict data isolation such that no tenant can access another tenant’s data, including via API.</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BDR-TEN-004</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allow a Tenant Admin to configure their own department structure, roles, and workflow templates independently of other tenants.</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BDR-TEN-005</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support tenant-level subscription and billing management by the Platform Operator (plan tier, seat count, feature flags).</w:t>
            </w:r>
          </w:p>
        </w:tc>
        <w:tc>
          <w:tcPr>
            <w:tcW w:type="dxa" w:w="1400"/>
            <w:tcBorders>
              <w:top w:val="single" w:color="BFBFBF" w:sz="4"/>
              <w:left w:val="single" w:color="BFBFBF" w:sz="4"/>
              <w:bottom w:val="single" w:color="BFBFBF" w:sz="4"/>
              <w:right w:val="single" w:color="BFBFBF" w:sz="4"/>
            </w:tcBorders>
            <w:shd w:fill="FFF3CD" w:color="auto" w:val="clear"/>
            <w:tcMar>
              <w:top w:type="dxa" w:w="80"/>
              <w:left w:type="dxa" w:w="100"/>
              <w:bottom w:type="dxa" w:w="80"/>
              <w:right w:type="dxa" w:w="100"/>
            </w:tcMar>
            <w:vAlign w:val="center"/>
          </w:tcPr>
          <w:p>
            <w:r>
              <w:rPr>
                <w:b w:val="false"/>
                <w:bCs w:val="false"/>
                <w:sz w:val="20"/>
                <w:szCs w:val="20"/>
              </w:rPr>
              <w:t xml:space="preserve">Should</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BDR-TEN-006</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support an explicit tenant offboarding process — revoking access, exporting the tenant’s data to a secure, time-limited link, and erasing personal data after a defined retention window — rather than an immediate hard delete.</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bl>
    <w:p>
      <w:pPr>
        <w:spacing w:after="200"/>
      </w:pPr>
      <w:r>
        <w:rPr>
          <w:i/>
          <w:iCs/>
          <w:color w:val="595959"/>
          <w:sz w:val="20"/>
          <w:szCs w:val="20"/>
        </w:rPr>
        <w:t xml:space="preserve">BDR-TEN-006 is added in v0.4, following a handbook gap review: tenant provisioning was fully specified but its inverse was not. Elaborates this section rather than introducing new business scope. See Handbook/multi_tenant_design.md.</w:t>
      </w:r>
    </w:p>
    <w:p>
      <w:pPr>
        <w:spacing w:after="200"/>
      </w:pPr>
    </w:p>
    <w:p>
      <w:pPr>
        <w:pStyle w:val="Heading2"/>
        <w:spacing w:after="120" w:before="260"/>
      </w:pPr>
      <w:r>
        <w:t xml:space="preserve">5.2 Owner Portfolio &amp; Reporting</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300"/>
        <w:gridCol w:w="6320"/>
        <w:gridCol w:w="1400"/>
      </w:tblGrid>
      <w:tr>
        <w:trPr>
          <w:tblHeader/>
        </w:trPr>
        <w:tc>
          <w:tcPr>
            <w:tcW w:type="dxa" w:w="13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BDR ID</w:t>
            </w:r>
          </w:p>
        </w:tc>
        <w:tc>
          <w:tcPr>
            <w:tcW w:type="dxa" w:w="632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Requirement</w:t>
            </w:r>
          </w:p>
        </w:tc>
        <w:tc>
          <w:tcPr>
            <w:tcW w:type="dxa" w:w="14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Priority</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BDR-OWN-001</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allow a PM company to create and manage multiple Owner records, each associated with one or more Properties.</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BDR-OWN-002</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not require Owners to hold login credentials in Phase 1; Owners receive portfolio information via generated reports.</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BDR-OWN-003</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generate periodic (configurable: monthly/quarterly) portfolio reports per Owner covering financial summary, maintenance activity, and compliance status for their properties only.</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BDR-OWN-004</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allow a PM company user to deliver Owner reports via email (PDF attachment) or a secure, time-limited shareable link.</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BDR-OWN-005</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should support an optional read-only Owner portal in a later phase without requiring architectural rework of the reporting data model.</w:t>
            </w:r>
          </w:p>
        </w:tc>
        <w:tc>
          <w:tcPr>
            <w:tcW w:type="dxa" w:w="1400"/>
            <w:tcBorders>
              <w:top w:val="single" w:color="BFBFBF" w:sz="4"/>
              <w:left w:val="single" w:color="BFBFBF" w:sz="4"/>
              <w:bottom w:val="single" w:color="BFBFBF" w:sz="4"/>
              <w:right w:val="single" w:color="BFBFBF" w:sz="4"/>
            </w:tcBorders>
            <w:shd w:fill="D4EDDA" w:color="auto" w:val="clear"/>
            <w:tcMar>
              <w:top w:type="dxa" w:w="80"/>
              <w:left w:type="dxa" w:w="100"/>
              <w:bottom w:type="dxa" w:w="80"/>
              <w:right w:type="dxa" w:w="100"/>
            </w:tcMar>
            <w:vAlign w:val="center"/>
          </w:tcPr>
          <w:p>
            <w:r>
              <w:rPr>
                <w:b w:val="false"/>
                <w:bCs w:val="false"/>
                <w:sz w:val="20"/>
                <w:szCs w:val="20"/>
              </w:rPr>
              <w:t xml:space="preserve">Could</w:t>
            </w:r>
          </w:p>
        </w:tc>
      </w:tr>
    </w:tbl>
    <w:p>
      <w:pPr>
        <w:spacing w:after="200"/>
      </w:pPr>
    </w:p>
    <w:p>
      <w:pPr>
        <w:pStyle w:val="Heading2"/>
        <w:spacing w:after="120" w:before="260"/>
      </w:pPr>
      <w:r>
        <w:t xml:space="preserve">5.3 Department &amp; Role-Based Access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300"/>
        <w:gridCol w:w="6320"/>
        <w:gridCol w:w="1400"/>
      </w:tblGrid>
      <w:tr>
        <w:trPr>
          <w:tblHeader/>
        </w:trPr>
        <w:tc>
          <w:tcPr>
            <w:tcW w:type="dxa" w:w="13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BDR ID</w:t>
            </w:r>
          </w:p>
        </w:tc>
        <w:tc>
          <w:tcPr>
            <w:tcW w:type="dxa" w:w="632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Requirement</w:t>
            </w:r>
          </w:p>
        </w:tc>
        <w:tc>
          <w:tcPr>
            <w:tcW w:type="dxa" w:w="14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Priority</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BDR-DEPT-001</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allow a Tenant Admin to define internal departments (e.g., Maintenance, Legal, Finance, Compliance) as configurable entities, not hardcoded categories.</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BDR-DEPT-002</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support role-based access control scoping a staff user’s visibility and actions to their assigned department(s) and property assignments.</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BDR-DEPT-003</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allow a staff user to be assigned to more than one department where applicable.</w:t>
            </w:r>
          </w:p>
        </w:tc>
        <w:tc>
          <w:tcPr>
            <w:tcW w:type="dxa" w:w="1400"/>
            <w:tcBorders>
              <w:top w:val="single" w:color="BFBFBF" w:sz="4"/>
              <w:left w:val="single" w:color="BFBFBF" w:sz="4"/>
              <w:bottom w:val="single" w:color="BFBFBF" w:sz="4"/>
              <w:right w:val="single" w:color="BFBFBF" w:sz="4"/>
            </w:tcBorders>
            <w:shd w:fill="FFF3CD" w:color="auto" w:val="clear"/>
            <w:tcMar>
              <w:top w:type="dxa" w:w="80"/>
              <w:left w:type="dxa" w:w="100"/>
              <w:bottom w:type="dxa" w:w="80"/>
              <w:right w:type="dxa" w:w="100"/>
            </w:tcMar>
            <w:vAlign w:val="center"/>
          </w:tcPr>
          <w:p>
            <w:r>
              <w:rPr>
                <w:b w:val="false"/>
                <w:bCs w:val="false"/>
                <w:sz w:val="20"/>
                <w:szCs w:val="20"/>
              </w:rPr>
              <w:t xml:space="preserve">Should</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BDR-DEPT-004</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maintain an auditable log of role and permission changes per tenant.</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bl>
    <w:p>
      <w:pPr>
        <w:spacing w:after="200"/>
      </w:pPr>
    </w:p>
    <w:p>
      <w:pPr>
        <w:pStyle w:val="Heading2"/>
        <w:spacing w:after="120" w:before="260"/>
      </w:pPr>
      <w:r>
        <w:t xml:space="preserve">5.4 Vendor Management</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300"/>
        <w:gridCol w:w="6320"/>
        <w:gridCol w:w="1400"/>
      </w:tblGrid>
      <w:tr>
        <w:trPr>
          <w:tblHeader/>
        </w:trPr>
        <w:tc>
          <w:tcPr>
            <w:tcW w:type="dxa" w:w="13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BDR ID</w:t>
            </w:r>
          </w:p>
        </w:tc>
        <w:tc>
          <w:tcPr>
            <w:tcW w:type="dxa" w:w="632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Requirement</w:t>
            </w:r>
          </w:p>
        </w:tc>
        <w:tc>
          <w:tcPr>
            <w:tcW w:type="dxa" w:w="14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Priority</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BDR-VEN-001</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allow a PM company to onboard external Vendor organisations (e.g., maintenance contractors, legal firms, inspection companies) as first-class accounts, distinct from internal staff and distinct from full tenants.</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BDR-VEN-002</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scope a Vendor user’s visibility strictly to work items explicitly assigned to them, with no visibility into property financials, other tenants, or unrelated portfolio data.</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BDR-VEN-003</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allow a Vendor user to update the status of an assigned work item, upload supporting evidence (photos, invoices, completion notes), and communicate with the assigning PM company user within the scope of that work item.</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BDR-VEN-004</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support a single Vendor identity being associated with, and switching between, multiple independent PM company tenants that have each individually engaged that Vendor, without separate credentials per tenant.</w:t>
            </w:r>
          </w:p>
        </w:tc>
        <w:tc>
          <w:tcPr>
            <w:tcW w:type="dxa" w:w="1400"/>
            <w:tcBorders>
              <w:top w:val="single" w:color="BFBFBF" w:sz="4"/>
              <w:left w:val="single" w:color="BFBFBF" w:sz="4"/>
              <w:bottom w:val="single" w:color="BFBFBF" w:sz="4"/>
              <w:right w:val="single" w:color="BFBFBF" w:sz="4"/>
            </w:tcBorders>
            <w:shd w:fill="FFF3CD" w:color="auto" w:val="clear"/>
            <w:tcMar>
              <w:top w:type="dxa" w:w="80"/>
              <w:left w:type="dxa" w:w="100"/>
              <w:bottom w:type="dxa" w:w="80"/>
              <w:right w:type="dxa" w:w="100"/>
            </w:tcMar>
            <w:vAlign w:val="center"/>
          </w:tcPr>
          <w:p>
            <w:r>
              <w:rPr>
                <w:b w:val="false"/>
                <w:bCs w:val="false"/>
                <w:sz w:val="20"/>
                <w:szCs w:val="20"/>
              </w:rPr>
              <w:t xml:space="preserve">Should</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BDR-VEN-005</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allow a PM company to define approval/sign-off requirements before a Vendor-submitted work item is considered closed.</w:t>
            </w:r>
          </w:p>
        </w:tc>
        <w:tc>
          <w:tcPr>
            <w:tcW w:type="dxa" w:w="1400"/>
            <w:tcBorders>
              <w:top w:val="single" w:color="BFBFBF" w:sz="4"/>
              <w:left w:val="single" w:color="BFBFBF" w:sz="4"/>
              <w:bottom w:val="single" w:color="BFBFBF" w:sz="4"/>
              <w:right w:val="single" w:color="BFBFBF" w:sz="4"/>
            </w:tcBorders>
            <w:shd w:fill="FFF3CD" w:color="auto" w:val="clear"/>
            <w:tcMar>
              <w:top w:type="dxa" w:w="80"/>
              <w:left w:type="dxa" w:w="100"/>
              <w:bottom w:type="dxa" w:w="80"/>
              <w:right w:type="dxa" w:w="100"/>
            </w:tcMar>
            <w:vAlign w:val="center"/>
          </w:tcPr>
          <w:p>
            <w:r>
              <w:rPr>
                <w:b w:val="false"/>
                <w:bCs w:val="false"/>
                <w:sz w:val="20"/>
                <w:szCs w:val="20"/>
              </w:rPr>
              <w:t xml:space="preserve">Should</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BDR-VEN-006</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allow a PM company to terminate its relationship with a Vendor, preventing new work-item assignments to that Vendor for that tenant without disturbing the Vendor’s existing, already-assigned work items.</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bl>
    <w:p>
      <w:pPr>
        <w:spacing w:after="200"/>
      </w:pPr>
      <w:r>
        <w:rPr>
          <w:i/>
          <w:iCs/>
          <w:color w:val="595959"/>
          <w:sz w:val="20"/>
          <w:szCs w:val="20"/>
        </w:rPr>
        <w:t xml:space="preserve">BDR-VEN-006 is added in v0.4, following the same handbook gap review as BDR-TEN-006 above: termination is scoped per tenant–Vendor pair, never to the Vendor identity platform-wide, consistent with the cross-tenant identity model in Section 7.2. See Handbook/multi_tenant_design.md.</w:t>
      </w:r>
    </w:p>
    <w:p>
      <w:pPr>
        <w:spacing w:after="200"/>
      </w:pPr>
    </w:p>
    <w:p>
      <w:pPr>
        <w:pStyle w:val="Heading2"/>
        <w:spacing w:after="120" w:before="260"/>
      </w:pPr>
      <w:r>
        <w:t xml:space="preserve">5.5 Asset &amp; Property Management</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300"/>
        <w:gridCol w:w="6320"/>
        <w:gridCol w:w="1400"/>
      </w:tblGrid>
      <w:tr>
        <w:trPr>
          <w:tblHeader/>
        </w:trPr>
        <w:tc>
          <w:tcPr>
            <w:tcW w:type="dxa" w:w="13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BDR ID</w:t>
            </w:r>
          </w:p>
        </w:tc>
        <w:tc>
          <w:tcPr>
            <w:tcW w:type="dxa" w:w="632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Requirement</w:t>
            </w:r>
          </w:p>
        </w:tc>
        <w:tc>
          <w:tcPr>
            <w:tcW w:type="dxa" w:w="14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Priority</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BDR-AST-001</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maintain a structured asset registry with hierarchy: Tenant → Owner → Property → Unit/Asset.</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BDR-AST-002</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allow each Property and Unit/Asset record to store core attributes (address, type, size, acquisition/valuation data, status).</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BDR-AST-003</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allow documents, inspection records, and workflow history to be attached directly to the relevant Property or Unit/Asset record.</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BDR-AST-004</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support bulk import of existing property/asset portfolios (CSV/Excel) during PM company onboarding.</w:t>
            </w:r>
          </w:p>
        </w:tc>
        <w:tc>
          <w:tcPr>
            <w:tcW w:type="dxa" w:w="1400"/>
            <w:tcBorders>
              <w:top w:val="single" w:color="BFBFBF" w:sz="4"/>
              <w:left w:val="single" w:color="BFBFBF" w:sz="4"/>
              <w:bottom w:val="single" w:color="BFBFBF" w:sz="4"/>
              <w:right w:val="single" w:color="BFBFBF" w:sz="4"/>
            </w:tcBorders>
            <w:shd w:fill="FFF3CD" w:color="auto" w:val="clear"/>
            <w:tcMar>
              <w:top w:type="dxa" w:w="80"/>
              <w:left w:type="dxa" w:w="100"/>
              <w:bottom w:type="dxa" w:w="80"/>
              <w:right w:type="dxa" w:w="100"/>
            </w:tcMar>
            <w:vAlign w:val="center"/>
          </w:tcPr>
          <w:p>
            <w:r>
              <w:rPr>
                <w:b w:val="false"/>
                <w:bCs w:val="false"/>
                <w:sz w:val="20"/>
                <w:szCs w:val="20"/>
              </w:rPr>
              <w:t xml:space="preserve">Should</w:t>
            </w:r>
          </w:p>
        </w:tc>
      </w:tr>
    </w:tbl>
    <w:p>
      <w:pPr>
        <w:spacing w:after="200"/>
      </w:pPr>
    </w:p>
    <w:p>
      <w:pPr>
        <w:pStyle w:val="Heading2"/>
        <w:spacing w:after="120" w:before="260"/>
      </w:pPr>
      <w:r>
        <w:t xml:space="preserve">5.6 Workflow Engine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300"/>
        <w:gridCol w:w="6320"/>
        <w:gridCol w:w="1400"/>
      </w:tblGrid>
      <w:tr>
        <w:trPr>
          <w:tblHeader/>
        </w:trPr>
        <w:tc>
          <w:tcPr>
            <w:tcW w:type="dxa" w:w="13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BDR ID</w:t>
            </w:r>
          </w:p>
        </w:tc>
        <w:tc>
          <w:tcPr>
            <w:tcW w:type="dxa" w:w="632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Requirement</w:t>
            </w:r>
          </w:p>
        </w:tc>
        <w:tc>
          <w:tcPr>
            <w:tcW w:type="dxa" w:w="14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Priority</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BDR-WF-001</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provide a configurable workflow builder allowing a Tenant Admin to define approval chains and process steps without code changes or vendor involvement.</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BDR-WF-002</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support conditional routing of workflow steps based on criteria such as department, property, cost threshold, or request type.</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BDR-WF-003</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notify assigned users of pending workflow actions via in-app notification and email.</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BDR-WF-004</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maintain a full audit trail of workflow state transitions, including who acted, when, and what decision was made.</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BDR-WF-005</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allow workflow templates to be cloned and adapted per department or property type.</w:t>
            </w:r>
          </w:p>
        </w:tc>
        <w:tc>
          <w:tcPr>
            <w:tcW w:type="dxa" w:w="1400"/>
            <w:tcBorders>
              <w:top w:val="single" w:color="BFBFBF" w:sz="4"/>
              <w:left w:val="single" w:color="BFBFBF" w:sz="4"/>
              <w:bottom w:val="single" w:color="BFBFBF" w:sz="4"/>
              <w:right w:val="single" w:color="BFBFBF" w:sz="4"/>
            </w:tcBorders>
            <w:shd w:fill="FFF3CD" w:color="auto" w:val="clear"/>
            <w:tcMar>
              <w:top w:type="dxa" w:w="80"/>
              <w:left w:type="dxa" w:w="100"/>
              <w:bottom w:type="dxa" w:w="80"/>
              <w:right w:type="dxa" w:w="100"/>
            </w:tcMar>
            <w:vAlign w:val="center"/>
          </w:tcPr>
          <w:p>
            <w:r>
              <w:rPr>
                <w:b w:val="false"/>
                <w:bCs w:val="false"/>
                <w:sz w:val="20"/>
                <w:szCs w:val="20"/>
              </w:rPr>
              <w:t xml:space="preserve">Should</w:t>
            </w:r>
          </w:p>
        </w:tc>
      </w:tr>
    </w:tbl>
    <w:p>
      <w:pPr>
        <w:spacing w:after="200"/>
      </w:pPr>
    </w:p>
    <w:p>
      <w:pPr>
        <w:pStyle w:val="Heading2"/>
        <w:spacing w:after="120" w:before="260"/>
      </w:pPr>
      <w:r>
        <w:t xml:space="preserve">5.7 Document Management</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300"/>
        <w:gridCol w:w="6320"/>
        <w:gridCol w:w="1400"/>
      </w:tblGrid>
      <w:tr>
        <w:trPr>
          <w:tblHeader/>
        </w:trPr>
        <w:tc>
          <w:tcPr>
            <w:tcW w:type="dxa" w:w="13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BDR ID</w:t>
            </w:r>
          </w:p>
        </w:tc>
        <w:tc>
          <w:tcPr>
            <w:tcW w:type="dxa" w:w="632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Requirement</w:t>
            </w:r>
          </w:p>
        </w:tc>
        <w:tc>
          <w:tcPr>
            <w:tcW w:type="dxa" w:w="14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Priority</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BDR-DOC-001</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allow documents (leases, certificates, contracts, invoices, reports) to be uploaded and linked to a specific Property, Unit/Asset, Owner, or Vendor record.</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BDR-DOC-002</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maintain version history for documents, showing prior versions and who uploaded each.</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BDR-DOC-003</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track document expiration/renewal dates (e.g., insurance certificates, licences, lease terms) and generate proactive alerts ahead of expiry.</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BDR-DOC-004</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support configurable document categories and required-document checklists per property type.</w:t>
            </w:r>
          </w:p>
        </w:tc>
        <w:tc>
          <w:tcPr>
            <w:tcW w:type="dxa" w:w="1400"/>
            <w:tcBorders>
              <w:top w:val="single" w:color="BFBFBF" w:sz="4"/>
              <w:left w:val="single" w:color="BFBFBF" w:sz="4"/>
              <w:bottom w:val="single" w:color="BFBFBF" w:sz="4"/>
              <w:right w:val="single" w:color="BFBFBF" w:sz="4"/>
            </w:tcBorders>
            <w:shd w:fill="FFF3CD" w:color="auto" w:val="clear"/>
            <w:tcMar>
              <w:top w:type="dxa" w:w="80"/>
              <w:left w:type="dxa" w:w="100"/>
              <w:bottom w:type="dxa" w:w="80"/>
              <w:right w:type="dxa" w:w="100"/>
            </w:tcMar>
            <w:vAlign w:val="center"/>
          </w:tcPr>
          <w:p>
            <w:r>
              <w:rPr>
                <w:b w:val="false"/>
                <w:bCs w:val="false"/>
                <w:sz w:val="20"/>
                <w:szCs w:val="20"/>
              </w:rPr>
              <w:t xml:space="preserve">Should</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BDR-DOC-005</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restrict document visibility according to the RBAC and Vendor scoping rules defined in Sections 5.3 and 5.4.</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bl>
    <w:p>
      <w:pPr>
        <w:spacing w:after="200"/>
      </w:pPr>
    </w:p>
    <w:p>
      <w:pPr>
        <w:pStyle w:val="Heading2"/>
        <w:spacing w:after="120" w:before="260"/>
      </w:pPr>
      <w:r>
        <w:t xml:space="preserve">5.8 Inspection Management</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300"/>
        <w:gridCol w:w="6320"/>
        <w:gridCol w:w="1400"/>
      </w:tblGrid>
      <w:tr>
        <w:trPr>
          <w:tblHeader/>
        </w:trPr>
        <w:tc>
          <w:tcPr>
            <w:tcW w:type="dxa" w:w="13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BDR ID</w:t>
            </w:r>
          </w:p>
        </w:tc>
        <w:tc>
          <w:tcPr>
            <w:tcW w:type="dxa" w:w="632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Requirement</w:t>
            </w:r>
          </w:p>
        </w:tc>
        <w:tc>
          <w:tcPr>
            <w:tcW w:type="dxa" w:w="14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Priority</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BDR-INSP-001</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allow scheduling of property/asset inspections, assignable to internal staff or external Vendors.</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BDR-INSP-002</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provide a mobile-friendly inspection interface supporting photo capture, checklists, and geolocation tagging.</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BDR-INSP-003</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allow inspection data entry to continue while offline, with automatic synchronisation once connectivity is restored.</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BDR-INSP-004</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generate a structured inspection report on completion, linked to the relevant Property/Unit/Asset record and available to authorised users.</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BDR-INSP-005</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support comparison between successive inspections of the same asset (e.g., condition change over time).</w:t>
            </w:r>
          </w:p>
        </w:tc>
        <w:tc>
          <w:tcPr>
            <w:tcW w:type="dxa" w:w="1400"/>
            <w:tcBorders>
              <w:top w:val="single" w:color="BFBFBF" w:sz="4"/>
              <w:left w:val="single" w:color="BFBFBF" w:sz="4"/>
              <w:bottom w:val="single" w:color="BFBFBF" w:sz="4"/>
              <w:right w:val="single" w:color="BFBFBF" w:sz="4"/>
            </w:tcBorders>
            <w:shd w:fill="D4EDDA" w:color="auto" w:val="clear"/>
            <w:tcMar>
              <w:top w:type="dxa" w:w="80"/>
              <w:left w:type="dxa" w:w="100"/>
              <w:bottom w:type="dxa" w:w="80"/>
              <w:right w:type="dxa" w:w="100"/>
            </w:tcMar>
            <w:vAlign w:val="center"/>
          </w:tcPr>
          <w:p>
            <w:r>
              <w:rPr>
                <w:b w:val="false"/>
                <w:bCs w:val="false"/>
                <w:sz w:val="20"/>
                <w:szCs w:val="20"/>
              </w:rPr>
              <w:t xml:space="preserve">Could</w:t>
            </w:r>
          </w:p>
        </w:tc>
      </w:tr>
    </w:tbl>
    <w:p>
      <w:pPr>
        <w:spacing w:after="200"/>
      </w:pPr>
    </w:p>
    <w:p>
      <w:pPr>
        <w:pStyle w:val="Heading2"/>
        <w:spacing w:after="120" w:before="260"/>
      </w:pPr>
      <w:r>
        <w:t xml:space="preserve">5.9 AI Capabilities — Phase 1</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300"/>
        <w:gridCol w:w="6320"/>
        <w:gridCol w:w="1400"/>
      </w:tblGrid>
      <w:tr>
        <w:trPr>
          <w:tblHeader/>
        </w:trPr>
        <w:tc>
          <w:tcPr>
            <w:tcW w:type="dxa" w:w="13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BDR ID</w:t>
            </w:r>
          </w:p>
        </w:tc>
        <w:tc>
          <w:tcPr>
            <w:tcW w:type="dxa" w:w="632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Requirement</w:t>
            </w:r>
          </w:p>
        </w:tc>
        <w:tc>
          <w:tcPr>
            <w:tcW w:type="dxa" w:w="14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Priority</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BDR-AI-001</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use AI-based document extraction to automatically identify and populate key structured fields (parties, dates, financial terms, renewal/expiry dates) from uploaded lease, insurance, and compliance documents.</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BDR-AI-002</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present AI-extracted document data to a user for review and confirmation before it is saved as authoritative record data.</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BDR-AI-003</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use AI-based classification to automatically triage incoming maintenance/service requests to the appropriate internal department or Vendor category based on request description.</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BDR-AI-004</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allow a user to override an AI-suggested routing or extraction decision, and shall log the override for future model improvement.</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BDR-AI-005</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display a confidence indicator alongside AI-generated suggestions (extraction or routing).</w:t>
            </w:r>
          </w:p>
        </w:tc>
        <w:tc>
          <w:tcPr>
            <w:tcW w:type="dxa" w:w="1400"/>
            <w:tcBorders>
              <w:top w:val="single" w:color="BFBFBF" w:sz="4"/>
              <w:left w:val="single" w:color="BFBFBF" w:sz="4"/>
              <w:bottom w:val="single" w:color="BFBFBF" w:sz="4"/>
              <w:right w:val="single" w:color="BFBFBF" w:sz="4"/>
            </w:tcBorders>
            <w:shd w:fill="FFF3CD" w:color="auto" w:val="clear"/>
            <w:tcMar>
              <w:top w:type="dxa" w:w="80"/>
              <w:left w:type="dxa" w:w="100"/>
              <w:bottom w:type="dxa" w:w="80"/>
              <w:right w:type="dxa" w:w="100"/>
            </w:tcMar>
            <w:vAlign w:val="center"/>
          </w:tcPr>
          <w:p>
            <w:r>
              <w:rPr>
                <w:b w:val="false"/>
                <w:bCs w:val="false"/>
                <w:sz w:val="20"/>
                <w:szCs w:val="20"/>
              </w:rPr>
              <w:t xml:space="preserve">Should</w:t>
            </w:r>
          </w:p>
        </w:tc>
      </w:tr>
    </w:tbl>
    <w:p>
      <w:pPr>
        <w:spacing w:after="200"/>
      </w:pPr>
    </w:p>
    <w:p>
      <w:pPr>
        <w:pStyle w:val="Heading2"/>
        <w:spacing w:after="120" w:before="260"/>
      </w:pPr>
      <w:r>
        <w:t xml:space="preserve">5.10 Reporting &amp; Analytics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300"/>
        <w:gridCol w:w="6320"/>
        <w:gridCol w:w="1400"/>
      </w:tblGrid>
      <w:tr>
        <w:trPr>
          <w:tblHeader/>
        </w:trPr>
        <w:tc>
          <w:tcPr>
            <w:tcW w:type="dxa" w:w="13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BDR ID</w:t>
            </w:r>
          </w:p>
        </w:tc>
        <w:tc>
          <w:tcPr>
            <w:tcW w:type="dxa" w:w="632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Requirement</w:t>
            </w:r>
          </w:p>
        </w:tc>
        <w:tc>
          <w:tcPr>
            <w:tcW w:type="dxa" w:w="14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Priority</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BDR-RPT-001</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provide dashboards for PM company staff summarising portfolio-wide status: open work orders, expiring documents, upcoming inspections, and workflow bottlenecks.</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BDR-RPT-002</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allow export of reports in common formats (PDF, Excel/CSV).</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BDR-RPT-003</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scope all reporting and analytics to the requesting user’s tenant, department, and assigned properties per the RBAC model.</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bl>
    <w:p>
      <w:pPr>
        <w:spacing w:after="200"/>
      </w:pPr>
    </w:p>
    <w:p>
      <w:pPr>
        <w:pStyle w:val="Heading2"/>
        <w:spacing w:after="120" w:before="260"/>
      </w:pPr>
      <w:r>
        <w:t xml:space="preserve">5.11 Security &amp; Compliance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300"/>
        <w:gridCol w:w="6320"/>
        <w:gridCol w:w="1400"/>
      </w:tblGrid>
      <w:tr>
        <w:trPr>
          <w:tblHeader/>
        </w:trPr>
        <w:tc>
          <w:tcPr>
            <w:tcW w:type="dxa" w:w="13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BDR ID</w:t>
            </w:r>
          </w:p>
        </w:tc>
        <w:tc>
          <w:tcPr>
            <w:tcW w:type="dxa" w:w="632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Requirement</w:t>
            </w:r>
          </w:p>
        </w:tc>
        <w:tc>
          <w:tcPr>
            <w:tcW w:type="dxa" w:w="14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Priority</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BDR-SEC-001</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enforce tenant data isolation at the data storage layer, not solely at the application layer.</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BDR-SEC-002</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log all access to sensitive documents and financial data for audit purposes.</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BDR-SEC-003</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support role-based, time-limited access links for external report sharing (e.g., Owner reports) that expire automatically.</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BDR-SEC-004</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comply with applicable data protection requirements for the markets in which each tenant operates (e.g., GDPR where applicable).</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BDR-SEC-005</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allow a user to reset a forgotten password via a single-use, time-limited link sent to their registered email address, without revealing whether that email address has an account.</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BDR-SEC-006</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allow a user to explicitly end their own session (logout) and to revoke all of their other active sessions, and shall automatically revoke all sessions on a password reset.</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BDR-SEC-007</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validate the type and scan for malware every file uploaded to the platform, regardless of uploader identity, before that file is visible to any user other than its uploader.</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BDR-SEC-008</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allow a user with MFA enabled to generate a set of single-use recovery codes at enrollment, usable as an alternate second factor if their authenticator device is unavailable, and to regenerate that set on demand, invalidating all previously issued codes.</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BDR-SEC-009</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rate-limit authentication-related endpoints (login, password-reset request, MFA verification) per source IP, to slow credential-stuffing and brute-force attempts without requiring a separate infrastructure component.</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BDR-SEC-010</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operator shall follow a stated incident-detection, containment, and notification procedure — including notifying the relevant supervisory authority and affected data subjects within the timeframe the applicable regulation requires — in the event of a confirmed security incident involving tenant or platform data.</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bl>
    <w:p>
      <w:pPr>
        <w:spacing w:after="200"/>
      </w:pPr>
      <w:r>
        <w:rPr>
          <w:i/>
          <w:iCs/>
          <w:color w:val="595959"/>
          <w:sz w:val="20"/>
          <w:szCs w:val="20"/>
        </w:rPr>
        <w:t xml:space="preserve">BDR-SEC-005 through BDR-SEC-010 are added in v0.4, elaborating this section following a four-round handbook gap review: authentication lifecycle gaps (password reset, session revocation, MFA recovery, auth throttling) that a security-conscious platform should not have left unspecified, file-upload malware scanning, and — the one item this review found genuinely missing rather than merely under-specified — a stated incident response and breach notification commitment, since this section named GDPR/POPIA/NDPR without ever saying what the operator does if the platform itself is breached. See Handbook/security_guide.md.</w:t>
      </w:r>
    </w:p>
    <w:p>
      <w:pPr>
        <w:spacing w:after="200"/>
      </w:pPr>
    </w:p>
    <w:p>
      <w:pPr>
        <w:pStyle w:val="Heading2"/>
        <w:spacing w:after="120" w:before="260"/>
      </w:pPr>
      <w:r>
        <w:t xml:space="preserve">5.12 Platform Billing &amp; Subscription Management</w:t>
      </w:r>
    </w:p>
    <w:p>
      <w:pPr>
        <w:spacing w:after="200"/>
      </w:pPr>
      <w:r>
        <w:rPr>
          <w:i/>
          <w:iCs/>
          <w:color w:val="595959"/>
          <w:sz w:val="20"/>
          <w:szCs w:val="20"/>
        </w:rPr>
        <w:t xml:space="preserve">This section elaborates BDR-TEN-005 (tenant-level subscription and billing management) into fully traceable requirements, added in v0.2 following technical design work in the engineering handbook (Handbook/billing_design.md). The platform bills tenants on a usage basis (per active unit/asset under management), integrated with Paystack for South Africa and Kenya market coverage.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300"/>
        <w:gridCol w:w="6320"/>
        <w:gridCol w:w="1400"/>
      </w:tblGrid>
      <w:tr>
        <w:trPr>
          <w:tblHeader/>
        </w:trPr>
        <w:tc>
          <w:tcPr>
            <w:tcW w:type="dxa" w:w="13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BDR ID</w:t>
            </w:r>
          </w:p>
        </w:tc>
        <w:tc>
          <w:tcPr>
            <w:tcW w:type="dxa" w:w="632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Requirement</w:t>
            </w:r>
          </w:p>
        </w:tc>
        <w:tc>
          <w:tcPr>
            <w:tcW w:type="dxa" w:w="14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Priority</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BDR-BIL-001</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track active unit/asset count per tenant, per billing period, as the basis for usage-based billing.</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BDR-BIL-002</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generate one invoice per tenant per billing cycle, itemised by metered usage.</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BDR-BIL-003</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support a single reusable, tokenised payment method per tenant for automatic recurring billing.</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BDR-BIL-004</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retry a failed automatic payment per a defined dunning schedule before suspending a tenant.</w:t>
            </w:r>
          </w:p>
        </w:tc>
        <w:tc>
          <w:tcPr>
            <w:tcW w:type="dxa" w:w="1400"/>
            <w:tcBorders>
              <w:top w:val="single" w:color="BFBFBF" w:sz="4"/>
              <w:left w:val="single" w:color="BFBFBF" w:sz="4"/>
              <w:bottom w:val="single" w:color="BFBFBF" w:sz="4"/>
              <w:right w:val="single" w:color="BFBFBF" w:sz="4"/>
            </w:tcBorders>
            <w:shd w:fill="FFF3CD" w:color="auto" w:val="clear"/>
            <w:tcMar>
              <w:top w:type="dxa" w:w="80"/>
              <w:left w:type="dxa" w:w="100"/>
              <w:bottom w:type="dxa" w:w="80"/>
              <w:right w:type="dxa" w:w="100"/>
            </w:tcMar>
            <w:vAlign w:val="center"/>
          </w:tcPr>
          <w:p>
            <w:r>
              <w:rPr>
                <w:b w:val="false"/>
                <w:bCs w:val="false"/>
                <w:sz w:val="20"/>
                <w:szCs w:val="20"/>
              </w:rPr>
              <w:t xml:space="preserve">Should</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BDR-BIL-005</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never store raw payment card data — payment credentials are represented only as gateway-issued tokens.</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BDR-BIL-006</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A Tenant Admin shall be able to view their tenant’s invoice history and current payment method.</w:t>
            </w:r>
          </w:p>
        </w:tc>
        <w:tc>
          <w:tcPr>
            <w:tcW w:type="dxa" w:w="1400"/>
            <w:tcBorders>
              <w:top w:val="single" w:color="BFBFBF" w:sz="4"/>
              <w:left w:val="single" w:color="BFBFBF" w:sz="4"/>
              <w:bottom w:val="single" w:color="BFBFBF" w:sz="4"/>
              <w:right w:val="single" w:color="BFBFBF" w:sz="4"/>
            </w:tcBorders>
            <w:shd w:fill="FFF3CD" w:color="auto" w:val="clear"/>
            <w:tcMar>
              <w:top w:type="dxa" w:w="80"/>
              <w:left w:type="dxa" w:w="100"/>
              <w:bottom w:type="dxa" w:w="80"/>
              <w:right w:type="dxa" w:w="100"/>
            </w:tcMar>
            <w:vAlign w:val="center"/>
          </w:tcPr>
          <w:p>
            <w:r>
              <w:rPr>
                <w:b w:val="false"/>
                <w:bCs w:val="false"/>
                <w:sz w:val="20"/>
                <w:szCs w:val="20"/>
              </w:rPr>
              <w:t xml:space="preserve">Should</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BDR-BIL-007</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A Super Admin shall be able to view platform-wide billing and revenue status across all tenants.</w:t>
            </w:r>
          </w:p>
        </w:tc>
        <w:tc>
          <w:tcPr>
            <w:tcW w:type="dxa" w:w="1400"/>
            <w:tcBorders>
              <w:top w:val="single" w:color="BFBFBF" w:sz="4"/>
              <w:left w:val="single" w:color="BFBFBF" w:sz="4"/>
              <w:bottom w:val="single" w:color="BFBFBF" w:sz="4"/>
              <w:right w:val="single" w:color="BFBFBF" w:sz="4"/>
            </w:tcBorders>
            <w:shd w:fill="D4EDDA" w:color="auto" w:val="clear"/>
            <w:tcMar>
              <w:top w:type="dxa" w:w="80"/>
              <w:left w:type="dxa" w:w="100"/>
              <w:bottom w:type="dxa" w:w="80"/>
              <w:right w:type="dxa" w:w="100"/>
            </w:tcMar>
            <w:vAlign w:val="center"/>
          </w:tcPr>
          <w:p>
            <w:r>
              <w:rPr>
                <w:b w:val="false"/>
                <w:bCs w:val="false"/>
                <w:sz w:val="20"/>
                <w:szCs w:val="20"/>
              </w:rPr>
              <w:t xml:space="preserve">Could</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BDR-BIL-008</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process payment gateway webhook events idempotently, deduplicated by the gateway’s own event ID.</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BDR-BIL-009</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support enabling or disabling individual modules per tenant, and reflect each enabled paid module as its own invoice line item, independent of usage-based unit metering.</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bl>
    <w:p>
      <w:pPr>
        <w:spacing w:after="200"/>
      </w:pPr>
      <w:r>
        <w:rPr>
          <w:i/>
          <w:iCs/>
          <w:color w:val="595959"/>
          <w:sz w:val="20"/>
          <w:szCs w:val="20"/>
        </w:rPr>
        <w:t xml:space="preserve">BDR-BIL-009 is added in v0.5, following a product-direction decision to bill tenants by module rather than a handbook gap review: a module can be enabled or disabled per tenant independently of subscription tier and active-unit usage, invoiced as its own line item. Elaborates this section rather than introducing new business scope. See Handbook/billing_design.md.</w:t>
      </w:r>
    </w:p>
    <w:p>
      <w:pPr>
        <w:spacing w:after="200"/>
      </w:pPr>
    </w:p>
    <w:p>
      <w:pPr>
        <w:pStyle w:val="Heading2"/>
        <w:spacing w:after="120" w:before="260"/>
      </w:pPr>
      <w:r>
        <w:t xml:space="preserve">5.13 Leasing &amp; Vacancy Management</w:t>
      </w:r>
    </w:p>
    <w:p>
      <w:pPr>
        <w:spacing w:after="200"/>
      </w:pPr>
      <w:r>
        <w:rPr>
          <w:i/>
          <w:iCs/>
          <w:color w:val="595959"/>
          <w:sz w:val="20"/>
          <w:szCs w:val="20"/>
        </w:rPr>
        <w:t xml:space="preserve">This is new business scope, added in v0.3 following technical design work in the engineering handbook (Handbook/leasing_design.md), not an elaboration of an existing domain. It introduces the Prospective Tenant actor (Section 3), who interacts with the platform solely via a secure, time-limited application link — the same pattern already established for Owner report delivery (BDR-SEC-003) — rather than as a new authenticated role.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300"/>
        <w:gridCol w:w="6320"/>
        <w:gridCol w:w="1400"/>
      </w:tblGrid>
      <w:tr>
        <w:trPr>
          <w:tblHeader/>
        </w:trPr>
        <w:tc>
          <w:tcPr>
            <w:tcW w:type="dxa" w:w="13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BDR ID</w:t>
            </w:r>
          </w:p>
        </w:tc>
        <w:tc>
          <w:tcPr>
            <w:tcW w:type="dxa" w:w="632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Requirement</w:t>
            </w:r>
          </w:p>
        </w:tc>
        <w:tc>
          <w:tcPr>
            <w:tcW w:type="dxa" w:w="14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Priority</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BDR-LSE-001</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allow a PM company to list a Unit/Asset as vacant and available for lease, with configurable listing details (rent amount, availability date, description, photos).</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BDR-LSE-002</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allow a prospective tenant to submit a rental application against a listed vacancy via a secure, time-limited application link, without requiring a full platform user account.</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BDR-LSE-003</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support automated tenant screening (credit and background check) against a configurable third-party provider, triggered from a submitted application.</w:t>
            </w:r>
          </w:p>
        </w:tc>
        <w:tc>
          <w:tcPr>
            <w:tcW w:type="dxa" w:w="1400"/>
            <w:tcBorders>
              <w:top w:val="single" w:color="BFBFBF" w:sz="4"/>
              <w:left w:val="single" w:color="BFBFBF" w:sz="4"/>
              <w:bottom w:val="single" w:color="BFBFBF" w:sz="4"/>
              <w:right w:val="single" w:color="BFBFBF" w:sz="4"/>
            </w:tcBorders>
            <w:shd w:fill="FFF3CD" w:color="auto" w:val="clear"/>
            <w:tcMar>
              <w:top w:type="dxa" w:w="80"/>
              <w:left w:type="dxa" w:w="100"/>
              <w:bottom w:type="dxa" w:w="80"/>
              <w:right w:type="dxa" w:w="100"/>
            </w:tcMar>
            <w:vAlign w:val="center"/>
          </w:tcPr>
          <w:p>
            <w:r>
              <w:rPr>
                <w:b w:val="false"/>
                <w:bCs w:val="false"/>
                <w:sz w:val="20"/>
                <w:szCs w:val="20"/>
              </w:rPr>
              <w:t xml:space="preserve">Should</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BDR-LSE-004</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present screening results to authorised PM company staff for review, and shall never expose full screening report detail to any party other than the PM company.</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BDR-LSE-005</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support digital lease execution via e-signature integration, with the signed lease automatically filed as a versioned Document against the Property/Unit/Asset.</w:t>
            </w:r>
          </w:p>
        </w:tc>
        <w:tc>
          <w:tcPr>
            <w:tcW w:type="dxa" w:w="1400"/>
            <w:tcBorders>
              <w:top w:val="single" w:color="BFBFBF" w:sz="4"/>
              <w:left w:val="single" w:color="BFBFBF" w:sz="4"/>
              <w:bottom w:val="single" w:color="BFBFBF" w:sz="4"/>
              <w:right w:val="single" w:color="BFBFBF" w:sz="4"/>
            </w:tcBorders>
            <w:shd w:fill="FFF3CD" w:color="auto" w:val="clear"/>
            <w:tcMar>
              <w:top w:type="dxa" w:w="80"/>
              <w:left w:type="dxa" w:w="100"/>
              <w:bottom w:type="dxa" w:w="80"/>
              <w:right w:type="dxa" w:w="100"/>
            </w:tcMar>
            <w:vAlign w:val="center"/>
          </w:tcPr>
          <w:p>
            <w:r>
              <w:rPr>
                <w:b w:val="false"/>
                <w:bCs w:val="false"/>
                <w:sz w:val="20"/>
                <w:szCs w:val="20"/>
              </w:rPr>
              <w:t xml:space="preserve">Should</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BDR-LSE-006</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transition a Unit/Asset from vacant to occupied status automatically upon lease execution completion.</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BDR-LSE-007</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retain a full audit trail of an application’s lifecycle (submitted, screened, approved/declined, leased).</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BDR-LSE-008</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verify a prospective tenant’s control of the email address used to apply, before any screening request is triggered against that application.</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bl>
    <w:p>
      <w:pPr>
        <w:spacing w:after="200"/>
      </w:pPr>
      <w:r>
        <w:rPr>
          <w:i/>
          <w:iCs/>
          <w:color w:val="595959"/>
          <w:sz w:val="20"/>
          <w:szCs w:val="20"/>
        </w:rPr>
        <w:t xml:space="preserve">BDR-LSE-008 is added in v0.4: a handbook gap review found the two-phase application-link flow already verified email ownership implicitly (an application cannot be created until the emailed link is clicked); this makes that guarantee an explicit, testable requirement rather than an assumption a future change could quietly break. Elaborates this section rather than introducing new business scope. See Handbook/leasing_design.md.</w:t>
      </w:r>
    </w:p>
    <w:p>
      <w:pPr>
        <w:spacing w:after="200"/>
      </w:pPr>
    </w:p>
    <w:p>
      <w:pPr>
        <w:pStyle w:val="Heading2"/>
        <w:spacing w:after="120" w:before="260"/>
      </w:pPr>
      <w:r>
        <w:t xml:space="preserve">5.14 Rent Collection (Tracking)</w:t>
      </w:r>
    </w:p>
    <w:p>
      <w:pPr>
        <w:spacing w:after="200"/>
      </w:pPr>
      <w:r>
        <w:rPr>
          <w:i/>
          <w:iCs/>
          <w:color w:val="595959"/>
          <w:sz w:val="20"/>
          <w:szCs w:val="20"/>
        </w:rPr>
        <w:t xml:space="preserve">This is new business scope, added in v0.3 alongside Section 5.13 (Handbook/rent_collection_design.md). It is deliberately scoped to tracking and recording only — the system does not process, hold, or move tenant funds. Full payment processing (with the associated trust/escrow accounting and licensing obligations this would introduce in some jurisdictions) is an explicit future option, not part of this scope, and is not scheduled to any phase.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300"/>
        <w:gridCol w:w="6320"/>
        <w:gridCol w:w="1400"/>
      </w:tblGrid>
      <w:tr>
        <w:trPr>
          <w:tblHeader/>
        </w:trPr>
        <w:tc>
          <w:tcPr>
            <w:tcW w:type="dxa" w:w="13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BDR ID</w:t>
            </w:r>
          </w:p>
        </w:tc>
        <w:tc>
          <w:tcPr>
            <w:tcW w:type="dxa" w:w="632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Requirement</w:t>
            </w:r>
          </w:p>
        </w:tc>
        <w:tc>
          <w:tcPr>
            <w:tcW w:type="dxa" w:w="14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Priority</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BDR-RENT-001</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allow a recurring rent schedule (amount, currency, due day of month) to be defined for an occupied Unit/Asset, created automatically on lease execution (BDR-LSE-006).</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BDR-RENT-002</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allow authorised staff to record a rent payment received against a schedule, capturing amount, date received, and method reference — a record of an external event, not a processed transaction.</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BDR-RENT-003</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automatically flag a schedule as in arrears when no matching payment is recorded within a configurable grace period after the due date.</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BDR-RENT-004</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notify configured staff when a new arrears flag is raised.</w:t>
            </w:r>
          </w:p>
        </w:tc>
        <w:tc>
          <w:tcPr>
            <w:tcW w:type="dxa" w:w="1400"/>
            <w:tcBorders>
              <w:top w:val="single" w:color="BFBFBF" w:sz="4"/>
              <w:left w:val="single" w:color="BFBFBF" w:sz="4"/>
              <w:bottom w:val="single" w:color="BFBFBF" w:sz="4"/>
              <w:right w:val="single" w:color="BFBFBF" w:sz="4"/>
            </w:tcBorders>
            <w:shd w:fill="FFF3CD" w:color="auto" w:val="clear"/>
            <w:tcMar>
              <w:top w:type="dxa" w:w="80"/>
              <w:left w:type="dxa" w:w="100"/>
              <w:bottom w:type="dxa" w:w="80"/>
              <w:right w:type="dxa" w:w="100"/>
            </w:tcMar>
            <w:vAlign w:val="center"/>
          </w:tcPr>
          <w:p>
            <w:r>
              <w:rPr>
                <w:b w:val="false"/>
                <w:bCs w:val="false"/>
                <w:sz w:val="20"/>
                <w:szCs w:val="20"/>
              </w:rPr>
              <w:t xml:space="preserve">Should</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BDR-RENT-005</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include rent collection status (current, overdue, arrears count) in the Owner portfolio report (BDR-OWN-003).</w:t>
            </w:r>
          </w:p>
        </w:tc>
        <w:tc>
          <w:tcPr>
            <w:tcW w:type="dxa" w:w="1400"/>
            <w:tcBorders>
              <w:top w:val="single" w:color="BFBFBF" w:sz="4"/>
              <w:left w:val="single" w:color="BFBFBF" w:sz="4"/>
              <w:bottom w:val="single" w:color="BFBFBF" w:sz="4"/>
              <w:right w:val="single" w:color="BFBFBF" w:sz="4"/>
            </w:tcBorders>
            <w:shd w:fill="FFF3CD" w:color="auto" w:val="clear"/>
            <w:tcMar>
              <w:top w:type="dxa" w:w="80"/>
              <w:left w:type="dxa" w:w="100"/>
              <w:bottom w:type="dxa" w:w="80"/>
              <w:right w:type="dxa" w:w="100"/>
            </w:tcMar>
            <w:vAlign w:val="center"/>
          </w:tcPr>
          <w:p>
            <w:r>
              <w:rPr>
                <w:b w:val="false"/>
                <w:bCs w:val="false"/>
                <w:sz w:val="20"/>
                <w:szCs w:val="20"/>
              </w:rPr>
              <w:t xml:space="preserve">Should</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BDR-RENT-006</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not represent itself, in any user interface text, document, or API response, as processing, holding, or transferring tenant funds — every payment-related screen and record shall be worded as a record of a payment that occurred outside the platform.</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bl>
    <w:p>
      <w:pPr>
        <w:spacing w:after="200"/>
      </w:pPr>
    </w:p>
    <w:p>
      <w:pPr>
        <w:pStyle w:val="Heading2"/>
        <w:spacing w:after="120" w:before="260"/>
      </w:pPr>
      <w:r>
        <w:t xml:space="preserve">5.15 Platform Notifications</w:t>
      </w:r>
    </w:p>
    <w:p>
      <w:pPr>
        <w:spacing w:after="200"/>
      </w:pPr>
      <w:r>
        <w:rPr>
          <w:i/>
          <w:iCs/>
          <w:color w:val="595959"/>
          <w:sz w:val="20"/>
          <w:szCs w:val="20"/>
        </w:rPr>
        <w:t xml:space="preserve">This is new business scope, added in v0.4 following a handbook gap review. It is a shared foundation rather than a late addition: five-plus requirements elsewhere in this document (BDR-SEC-005 password reset, BDR-OWN-004 report delivery, BDR-WF-003 workflow notices, BDR-LSE-002/003 application and screening emails, BDR-RENT-004 arrears flags, BDR-DOC-003 expiry alerts) already assumed an email/SMS delivery mechanism existed without this document ever specifying one. See Handbook/notifications_design.md.</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300"/>
        <w:gridCol w:w="6320"/>
        <w:gridCol w:w="1400"/>
      </w:tblGrid>
      <w:tr>
        <w:trPr>
          <w:tblHeader/>
        </w:trPr>
        <w:tc>
          <w:tcPr>
            <w:tcW w:type="dxa" w:w="13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BDR ID</w:t>
            </w:r>
          </w:p>
        </w:tc>
        <w:tc>
          <w:tcPr>
            <w:tcW w:type="dxa" w:w="632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Requirement</w:t>
            </w:r>
          </w:p>
        </w:tc>
        <w:tc>
          <w:tcPr>
            <w:tcW w:type="dxa" w:w="14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Priority</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BDR-NOTIF-001</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platform shall provide a single, shared mechanism for delivering an email or SMS notification to any recipient (staff, Owner, Vendor, or Prospective Tenant) on behalf of any other module, rather than each module integrating its own delivery.</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BDR-NOTIF-002</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support a platform-default template per notification type, overridable per tenant (subject, body, sender display name), so a Tenant Admin can present notifications under their own brand.</w:t>
            </w:r>
          </w:p>
        </w:tc>
        <w:tc>
          <w:tcPr>
            <w:tcW w:type="dxa" w:w="1400"/>
            <w:tcBorders>
              <w:top w:val="single" w:color="BFBFBF" w:sz="4"/>
              <w:left w:val="single" w:color="BFBFBF" w:sz="4"/>
              <w:bottom w:val="single" w:color="BFBFBF" w:sz="4"/>
              <w:right w:val="single" w:color="BFBFBF" w:sz="4"/>
            </w:tcBorders>
            <w:shd w:fill="FFF3CD" w:color="auto" w:val="clear"/>
            <w:tcMar>
              <w:top w:type="dxa" w:w="80"/>
              <w:left w:type="dxa" w:w="100"/>
              <w:bottom w:type="dxa" w:w="80"/>
              <w:right w:type="dxa" w:w="100"/>
            </w:tcMar>
            <w:vAlign w:val="center"/>
          </w:tcPr>
          <w:p>
            <w:r>
              <w:rPr>
                <w:b w:val="false"/>
                <w:bCs w:val="false"/>
                <w:sz w:val="20"/>
                <w:szCs w:val="20"/>
              </w:rPr>
              <w:t xml:space="preserve">Should</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BDR-NOTIF-003</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record every notification attempt — recipient, template, channel, status — for audit and delivery-troubleshooting purposes.</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BDR-NOTIF-004</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retry a failed delivery per a defined backoff policy before marking it permanently failed, and shall never silently drop a notification.</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BDR-NOTIF-005</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A Tenant Admin shall be able to configure which channel (email/SMS) a notification type is delivered on, wherever the underlying requirement allows a choice.</w:t>
            </w:r>
          </w:p>
        </w:tc>
        <w:tc>
          <w:tcPr>
            <w:tcW w:type="dxa" w:w="1400"/>
            <w:tcBorders>
              <w:top w:val="single" w:color="BFBFBF" w:sz="4"/>
              <w:left w:val="single" w:color="BFBFBF" w:sz="4"/>
              <w:bottom w:val="single" w:color="BFBFBF" w:sz="4"/>
              <w:right w:val="single" w:color="BFBFBF" w:sz="4"/>
            </w:tcBorders>
            <w:shd w:fill="D4EDDA" w:color="auto" w:val="clear"/>
            <w:tcMar>
              <w:top w:type="dxa" w:w="80"/>
              <w:left w:type="dxa" w:w="100"/>
              <w:bottom w:type="dxa" w:w="80"/>
              <w:right w:type="dxa" w:w="100"/>
            </w:tcMar>
            <w:vAlign w:val="center"/>
          </w:tcPr>
          <w:p>
            <w:r>
              <w:rPr>
                <w:b w:val="false"/>
                <w:bCs w:val="false"/>
                <w:sz w:val="20"/>
                <w:szCs w:val="20"/>
              </w:rPr>
              <w:t xml:space="preserve">Could</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BDR-NOTIF-006</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never block the triggering business operation on notification delivery succeeding — a notification failure is logged, never surfaced as an error on the underlying action.</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bl>
    <w:p>
      <w:pPr>
        <w:spacing w:after="200"/>
      </w:pPr>
    </w:p>
    <w:p>
      <w:pPr>
        <w:pStyle w:val="Heading2"/>
        <w:spacing w:after="120" w:before="260"/>
      </w:pPr>
      <w:r>
        <w:t xml:space="preserve">5.16 Cross-Tenant Support Ticketing</w:t>
      </w:r>
    </w:p>
    <w:p>
      <w:pPr>
        <w:spacing w:after="200"/>
      </w:pPr>
      <w:r>
        <w:rPr>
          <w:i/>
          <w:iCs/>
          <w:color w:val="595959"/>
          <w:sz w:val="20"/>
          <w:szCs w:val="20"/>
        </w:rPr>
        <w:t xml:space="preserve">This is new business scope, added in v0.4 following the same handbook gap review. It is deliberately the smallest module in this document: a minimal support channel to the Platform Operator, without SLA timers, routing automation, or a knowledge base — those remain explicitly out of scope until email-based support becomes operationally unmanageable (Section 9.1). See Handbook/support_design.md.</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300"/>
        <w:gridCol w:w="6320"/>
        <w:gridCol w:w="1400"/>
      </w:tblGrid>
      <w:tr>
        <w:trPr>
          <w:tblHeader/>
        </w:trPr>
        <w:tc>
          <w:tcPr>
            <w:tcW w:type="dxa" w:w="13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BDR ID</w:t>
            </w:r>
          </w:p>
        </w:tc>
        <w:tc>
          <w:tcPr>
            <w:tcW w:type="dxa" w:w="632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Requirement</w:t>
            </w:r>
          </w:p>
        </w:tc>
        <w:tc>
          <w:tcPr>
            <w:tcW w:type="dxa" w:w="14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Priority</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BDR-SUP-001</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allow a Tenant Admin or Department Staff user to submit a support ticket to the Platform Operator, categorised by type (billing, technical, licensing, other).</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BDR-SUP-002</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Platform Operator (Super Admin) shall have visibility into support tickets across all tenants, from a single view.</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BDR-SUP-003</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notify the submitting user when their ticket’s status changes.</w:t>
            </w:r>
          </w:p>
        </w:tc>
        <w:tc>
          <w:tcPr>
            <w:tcW w:type="dxa" w:w="1400"/>
            <w:tcBorders>
              <w:top w:val="single" w:color="BFBFBF" w:sz="4"/>
              <w:left w:val="single" w:color="BFBFBF" w:sz="4"/>
              <w:bottom w:val="single" w:color="BFBFBF" w:sz="4"/>
              <w:right w:val="single" w:color="BFBFBF" w:sz="4"/>
            </w:tcBorders>
            <w:shd w:fill="FFF3CD" w:color="auto" w:val="clear"/>
            <w:tcMar>
              <w:top w:type="dxa" w:w="80"/>
              <w:left w:type="dxa" w:w="100"/>
              <w:bottom w:type="dxa" w:w="80"/>
              <w:right w:type="dxa" w:w="100"/>
            </w:tcMar>
            <w:vAlign w:val="center"/>
          </w:tcPr>
          <w:p>
            <w:r>
              <w:rPr>
                <w:b w:val="false"/>
                <w:bCs w:val="false"/>
                <w:sz w:val="20"/>
                <w:szCs w:val="20"/>
              </w:rPr>
              <w:t xml:space="preserve">Should</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BDR-SUP-004</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A ticket may optionally be linked to a specific related record (e.g. an invoice, a license) for context, but such linkage shall never be required to submit a ticket.</w:t>
            </w:r>
          </w:p>
        </w:tc>
        <w:tc>
          <w:tcPr>
            <w:tcW w:type="dxa" w:w="1400"/>
            <w:tcBorders>
              <w:top w:val="single" w:color="BFBFBF" w:sz="4"/>
              <w:left w:val="single" w:color="BFBFBF" w:sz="4"/>
              <w:bottom w:val="single" w:color="BFBFBF" w:sz="4"/>
              <w:right w:val="single" w:color="BFBFBF" w:sz="4"/>
            </w:tcBorders>
            <w:shd w:fill="D4EDDA" w:color="auto" w:val="clear"/>
            <w:tcMar>
              <w:top w:type="dxa" w:w="80"/>
              <w:left w:type="dxa" w:w="100"/>
              <w:bottom w:type="dxa" w:w="80"/>
              <w:right w:type="dxa" w:w="100"/>
            </w:tcMar>
            <w:vAlign w:val="center"/>
          </w:tcPr>
          <w:p>
            <w:r>
              <w:rPr>
                <w:b w:val="false"/>
                <w:bCs w:val="false"/>
                <w:sz w:val="20"/>
                <w:szCs w:val="20"/>
              </w:rPr>
              <w:t xml:space="preserve">Could</w:t>
            </w:r>
          </w:p>
        </w:tc>
      </w:tr>
    </w:tbl>
    <w:p>
      <w:r>
        <w:br w:type="page"/>
      </w:r>
    </w:p>
    <w:p>
      <w:pPr>
        <w:pStyle w:val="Heading1"/>
        <w:spacing w:after="160" w:before="360"/>
      </w:pPr>
      <w:r>
        <w:t xml:space="preserve">6. Non-Functional Requirements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300"/>
        <w:gridCol w:w="6320"/>
        <w:gridCol w:w="1400"/>
      </w:tblGrid>
      <w:tr>
        <w:trPr>
          <w:tblHeader/>
        </w:trPr>
        <w:tc>
          <w:tcPr>
            <w:tcW w:type="dxa" w:w="13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BDR ID</w:t>
            </w:r>
          </w:p>
        </w:tc>
        <w:tc>
          <w:tcPr>
            <w:tcW w:type="dxa" w:w="632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Requirement</w:t>
            </w:r>
          </w:p>
        </w:tc>
        <w:tc>
          <w:tcPr>
            <w:tcW w:type="dxa" w:w="14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Priority</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BDR-NFR-001</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support offline data capture for field inspections with sync-on-reconnect, tolerating intermittent connectivity typical of field environments.</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BDR-NFR-002</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be usable by a new PM company staff member with minimal training (target: functional proficiency within one onboarding session).</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BDR-NFR-003</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scale to support a growing number of tenants without degradation of per-tenant performance.</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BDR-NFR-004</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maintain 99.5% uptime for core functions during business hours of operation.</w:t>
            </w:r>
          </w:p>
        </w:tc>
        <w:tc>
          <w:tcPr>
            <w:tcW w:type="dxa" w:w="1400"/>
            <w:tcBorders>
              <w:top w:val="single" w:color="BFBFBF" w:sz="4"/>
              <w:left w:val="single" w:color="BFBFBF" w:sz="4"/>
              <w:bottom w:val="single" w:color="BFBFBF" w:sz="4"/>
              <w:right w:val="single" w:color="BFBFBF" w:sz="4"/>
            </w:tcBorders>
            <w:shd w:fill="FFF3CD" w:color="auto" w:val="clear"/>
            <w:tcMar>
              <w:top w:type="dxa" w:w="80"/>
              <w:left w:type="dxa" w:w="100"/>
              <w:bottom w:type="dxa" w:w="80"/>
              <w:right w:type="dxa" w:w="100"/>
            </w:tcMar>
            <w:vAlign w:val="center"/>
          </w:tcPr>
          <w:p>
            <w:r>
              <w:rPr>
                <w:b w:val="false"/>
                <w:bCs w:val="false"/>
                <w:sz w:val="20"/>
                <w:szCs w:val="20"/>
              </w:rPr>
              <w:t xml:space="preserve">Should</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BDR-NFR-005</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be accessible via web browser and a mobile application or responsive interface.</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BDR-NFR-006</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detect a concurrent update to a stale version of a record and reject it, rather than silently overwriting a change made by another user.</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BDR-NFR-007</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system’s web interface shall conform to WCAG 2.1 Level AA across the Tenant Admin, Department Staff, and Vendor experiences.</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BDR-NFR-008</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support archiving audit log records older than a configured retention period to lower-cost storage, without weakening the append-only guarantee on records within that period.</w:t>
            </w:r>
          </w:p>
        </w:tc>
        <w:tc>
          <w:tcPr>
            <w:tcW w:type="dxa" w:w="1400"/>
            <w:tcBorders>
              <w:top w:val="single" w:color="BFBFBF" w:sz="4"/>
              <w:left w:val="single" w:color="BFBFBF" w:sz="4"/>
              <w:bottom w:val="single" w:color="BFBFBF" w:sz="4"/>
              <w:right w:val="single" w:color="BFBFBF" w:sz="4"/>
            </w:tcBorders>
            <w:shd w:fill="FFF3CD" w:color="auto" w:val="clear"/>
            <w:tcMar>
              <w:top w:type="dxa" w:w="80"/>
              <w:left w:type="dxa" w:w="100"/>
              <w:bottom w:type="dxa" w:w="80"/>
              <w:right w:type="dxa" w:w="100"/>
            </w:tcMar>
            <w:vAlign w:val="center"/>
          </w:tcPr>
          <w:p>
            <w:r>
              <w:rPr>
                <w:b w:val="false"/>
                <w:bCs w:val="false"/>
                <w:sz w:val="20"/>
                <w:szCs w:val="20"/>
              </w:rPr>
              <w:t xml:space="preserve">Should</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BDR-NFR-009</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apply cookie- and header-level hardening (SameSite, Secure, narrow Path, and equivalent CSRF mitigations) to any cookie-based credential, even where the primary access token is not itself cookie-based.</w:t>
            </w:r>
          </w:p>
        </w:tc>
        <w:tc>
          <w:tcPr>
            <w:tcW w:type="dxa" w:w="1400"/>
            <w:tcBorders>
              <w:top w:val="single" w:color="BFBFBF" w:sz="4"/>
              <w:left w:val="single" w:color="BFBFBF" w:sz="4"/>
              <w:bottom w:val="single" w:color="BFBFBF" w:sz="4"/>
              <w:right w:val="single" w:color="BFBFBF" w:sz="4"/>
            </w:tcBorders>
            <w:shd w:fill="FFF3CD" w:color="auto" w:val="clear"/>
            <w:tcMar>
              <w:top w:type="dxa" w:w="80"/>
              <w:left w:type="dxa" w:w="100"/>
              <w:bottom w:type="dxa" w:w="80"/>
              <w:right w:type="dxa" w:w="100"/>
            </w:tcMar>
            <w:vAlign w:val="center"/>
          </w:tcPr>
          <w:p>
            <w:r>
              <w:rPr>
                <w:b w:val="false"/>
                <w:bCs w:val="false"/>
                <w:sz w:val="20"/>
                <w:szCs w:val="20"/>
              </w:rPr>
              <w:t xml:space="preserve">Should</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BDR-NFR-010</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apply standard security response headers (CSP, HSTS, X-Frame-Options, X-Content-Type-Options, Referrer-Policy) to every response served to a browser.</w:t>
            </w:r>
          </w:p>
        </w:tc>
        <w:tc>
          <w:tcPr>
            <w:tcW w:type="dxa" w:w="1400"/>
            <w:tcBorders>
              <w:top w:val="single" w:color="BFBFBF" w:sz="4"/>
              <w:left w:val="single" w:color="BFBFBF" w:sz="4"/>
              <w:bottom w:val="single" w:color="BFBFBF" w:sz="4"/>
              <w:right w:val="single" w:color="BFBFBF" w:sz="4"/>
            </w:tcBorders>
            <w:shd w:fill="FFF3CD" w:color="auto" w:val="clear"/>
            <w:tcMar>
              <w:top w:type="dxa" w:w="80"/>
              <w:left w:type="dxa" w:w="100"/>
              <w:bottom w:type="dxa" w:w="80"/>
              <w:right w:type="dxa" w:w="100"/>
            </w:tcMar>
            <w:vAlign w:val="center"/>
          </w:tcPr>
          <w:p>
            <w:r>
              <w:rPr>
                <w:b w:val="false"/>
                <w:bCs w:val="false"/>
                <w:sz w:val="20"/>
                <w:szCs w:val="20"/>
              </w:rPr>
              <w:t xml:space="preserve">Should</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BDR-NFR-011</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never write a raw secret, credential, or authentication-token value to application logs, enforced by a shared mechanism rather than left to individual call sites.</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bl>
    <w:p>
      <w:pPr>
        <w:spacing w:after="200"/>
      </w:pPr>
      <w:r>
        <w:rPr>
          <w:i/>
          <w:iCs/>
          <w:color w:val="595959"/>
          <w:sz w:val="20"/>
          <w:szCs w:val="20"/>
        </w:rPr>
        <w:t xml:space="preserve">BDR-NFR-006 through BDR-NFR-011 are added in v0.4, following the same handbook gap review as Section 5.11: two structural gaps (concurrency, accessibility), two lower-urgency but real ones (audit retention, a general log-redaction rule), and two hardening measures in the same belt-and-braces spirit as BDR-SEC-005–010 (cookie/CSRF hardening, security response headers). The specific audit retention period (BDR-NFR-008) is explicitly a legal/contractual decision, not one this document makes — see Handbook/data_model.md.</w:t>
      </w:r>
    </w:p>
    <w:p>
      <w:r>
        <w:br w:type="page"/>
      </w:r>
    </w:p>
    <w:p>
      <w:pPr>
        <w:pStyle w:val="Heading1"/>
        <w:spacing w:after="160" w:before="360"/>
      </w:pPr>
      <w:r>
        <w:t xml:space="preserve">7. Implementation Recommendations</w:t>
      </w:r>
    </w:p>
    <w:p>
      <w:pPr>
        <w:spacing w:after="200"/>
      </w:pPr>
      <w:r>
        <w:rPr>
          <w:i/>
          <w:iCs/>
          <w:color w:val="595959"/>
          <w:sz w:val="20"/>
          <w:szCs w:val="20"/>
        </w:rPr>
        <w:t xml:space="preserve">The items below are recommendations for how the requirements in Section 5 could be implemented. They are not business requirements in their own right and do not carry BDR IDs; the design and engineering team should validate and refine them during solution design.</w:t>
      </w:r>
    </w:p>
    <w:p>
      <w:pPr>
        <w:pStyle w:val="Heading2"/>
        <w:spacing w:after="120" w:before="260"/>
      </w:pPr>
      <w:r>
        <w:t xml:space="preserve">7.1 Multi-Tenancy Approach</w:t>
      </w:r>
    </w:p>
    <w:p>
      <w:pPr>
        <w:spacing w:after="160" w:line="276"/>
      </w:pPr>
      <w:r>
        <w:t xml:space="preserve">Consider a shared application layer with tenant-scoped data partitioning for cost efficiency in early stages, with a defined migration path to dedicated schemas or infrastructure for larger tenants that require stronger contractual isolation guarantees (supports BDR-TEN-003, BDR-SEC-001).</w:t>
      </w:r>
    </w:p>
    <w:p>
      <w:pPr>
        <w:pStyle w:val="Heading2"/>
        <w:spacing w:after="120" w:before="260"/>
      </w:pPr>
      <w:r>
        <w:t xml:space="preserve">7.2 Vendor Cross-Tenant Identity</w:t>
      </w:r>
    </w:p>
    <w:p>
      <w:pPr>
        <w:spacing w:after="160" w:line="276"/>
      </w:pPr>
      <w:r>
        <w:t xml:space="preserve">Model Vendor identity as a service independent of any single tenant’s schema, with an assignment/linking table connecting a Vendor identity to specific work items within each engaging tenant. This is the mechanism that enables one Vendor login across multiple PM companies (supports BDR-VEN-004).</w:t>
      </w:r>
    </w:p>
    <w:p>
      <w:pPr>
        <w:pStyle w:val="Heading2"/>
        <w:spacing w:after="120" w:before="260"/>
      </w:pPr>
      <w:r>
        <w:t xml:space="preserve">7.3 Workflow Engine</w:t>
      </w:r>
    </w:p>
    <w:p>
      <w:pPr>
        <w:spacing w:after="160" w:line="276"/>
      </w:pPr>
      <w:r>
        <w:t xml:space="preserve">A configuration-driven workflow engine (e.g., states and transitions defined as data rather than code) is recommended so Tenant Admins can adjust approval chains through the UI without engineering involvement (supports BDR-WF-001, BDR-WF-002).</w:t>
      </w:r>
    </w:p>
    <w:p>
      <w:pPr>
        <w:pStyle w:val="Heading2"/>
        <w:spacing w:after="120" w:before="260"/>
      </w:pPr>
      <w:r>
        <w:t xml:space="preserve">7.4 AI Document Intelligence</w:t>
      </w:r>
    </w:p>
    <w:p>
      <w:pPr>
        <w:spacing w:after="160" w:line="276"/>
      </w:pPr>
      <w:r>
        <w:t xml:space="preserve">Start with a structured-extraction approach against a defined schema, with a mandatory human review step before data is committed as authoritative (supports BDR-AI-001, BDR-AI-002). This builds user trust ahead of increasing automation in later phases.</w:t>
      </w:r>
    </w:p>
    <w:p>
      <w:pPr>
        <w:pStyle w:val="Heading2"/>
        <w:spacing w:after="120" w:before="260"/>
      </w:pPr>
      <w:r>
        <w:t xml:space="preserve">7.5 AI Request Triage</w:t>
      </w:r>
    </w:p>
    <w:p>
      <w:pPr>
        <w:spacing w:after="160" w:line="276"/>
      </w:pPr>
      <w:r>
        <w:t xml:space="preserve">Begin with prompt-based classification against your defined department and vendor-category taxonomy, which is fast to adjust as the taxonomy evolves. Override logs (BDR-AI-004) provide labelled data that can inform a fine-tuned or purpose-built classifier once sufficient volume has accumulated.</w:t>
      </w:r>
    </w:p>
    <w:p>
      <w:pPr>
        <w:pStyle w:val="Heading2"/>
        <w:spacing w:after="120" w:before="260"/>
      </w:pPr>
      <w:r>
        <w:t xml:space="preserve">7.6 Offline-First Inspections</w:t>
      </w:r>
    </w:p>
    <w:p>
      <w:pPr>
        <w:spacing w:after="160" w:line="276"/>
      </w:pPr>
      <w:r>
        <w:t xml:space="preserve">A local-first data model on the mobile client (local storage with queued background sync) is recommended for the inspection workflow, consistent with patterns commonly used for field data capture in low-connectivity environments (supports BDR-INSP-003, BDR-NFR-001). As of v0.3, this has been implemented as a Progressive Web App — Service Worker app-shell caching, IndexedDB local-first storage, and queued sync on reconnect (see Handbook/frontend_architecture.md) — rather than a separate native application, since inspections are effectively single-writer records and do not need general multi-user conflict resolution.</w:t>
      </w:r>
    </w:p>
    <w:p>
      <w:pPr>
        <w:pStyle w:val="Heading2"/>
        <w:spacing w:after="120" w:before="260"/>
      </w:pPr>
      <w:r>
        <w:t xml:space="preserve">7.7 Owner Report Delivery</w:t>
      </w:r>
    </w:p>
    <w:p>
      <w:pPr>
        <w:spacing w:after="160" w:line="276"/>
      </w:pPr>
      <w:r>
        <w:t xml:space="preserve">Generate Owner reports as templated PDF exports delivered via email or a signed, expiring URL, rather than building a full Owner login in Phase 1. This keeps initial scope lean while leaving the data model ready for an Owner portal later (supports BDR-OWN-004, BDR-OWN-005, BDR-SEC-003).</w:t>
      </w:r>
    </w:p>
    <w:p>
      <w:pPr>
        <w:pStyle w:val="Heading2"/>
        <w:spacing w:after="120" w:before="260"/>
      </w:pPr>
      <w:r>
        <w:t xml:space="preserve">7.8 Shared Notification Dispatch</w:t>
      </w:r>
    </w:p>
    <w:p>
      <w:pPr>
        <w:spacing w:after="160" w:line="276"/>
      </w:pPr>
      <w:r>
        <w:t xml:space="preserve">Route every module’s email/SMS delivery through one shared service rather than each module integrating its own provider, and never block the triggering business operation on delivery succeeding — log and retry a notification failure asynchronously instead of surfacing it as an error on the underlying action (supports BDR-NOTIF-001, BDR-NOTIF-006).</w:t>
      </w:r>
    </w:p>
    <w:p>
      <w:pPr>
        <w:pStyle w:val="Heading2"/>
        <w:spacing w:after="120" w:before="260"/>
      </w:pPr>
      <w:r>
        <w:t xml:space="preserve">7.9 Optimistic Concurrency Mechanism</w:t>
      </w:r>
    </w:p>
    <w:p>
      <w:pPr>
        <w:spacing w:after="160" w:line="276"/>
      </w:pPr>
      <w:r>
        <w:t xml:space="preserve">Use the database’s own row-version mechanism (e.g., PostgreSQL’s xmin system column) as the concurrency token rather than a hand-rolled version number column, so the check costs no additional schema and is cheaper to build in from the first entity than to retrofit once real data exists (supports BDR-NFR-006).</w:t>
      </w:r>
    </w:p>
    <w:p>
      <w:pPr>
        <w:pStyle w:val="Heading2"/>
        <w:spacing w:after="120" w:before="260"/>
      </w:pPr>
      <w:r>
        <w:t xml:space="preserve">7.10 Incident Response Scope</w:t>
      </w:r>
    </w:p>
    <w:p>
      <w:pPr>
        <w:spacing w:after="160" w:line="276"/>
      </w:pPr>
      <w:r>
        <w:t xml:space="preserve">Treat BDR-SEC-010 as an obligation and a mechanism (detection, containment, assessment, notification) rather than a full incident-response practice on day one — a dedicated on-call rotation and incident-management tooling are an operational-maturity step for once a team exists to staff them, not a Phase 1 build item (supports BDR-SEC-010; see Section 9.1).</w:t>
      </w:r>
    </w:p>
    <w:p>
      <w:r>
        <w:br w:type="page"/>
      </w:r>
    </w:p>
    <w:p>
      <w:pPr>
        <w:pStyle w:val="Heading1"/>
        <w:spacing w:after="160" w:before="360"/>
      </w:pPr>
      <w:r>
        <w:t xml:space="preserve">8. Assumptions &amp; Constraints</w:t>
      </w:r>
    </w:p>
    <w:p>
      <w:pPr>
        <w:pStyle w:val="ListParagraph"/>
        <w:numPr>
          <w:ilvl w:val="0"/>
          <w:numId w:val="2"/>
        </w:numPr>
        <w:spacing w:after="80"/>
      </w:pPr>
      <w:r>
        <w:t xml:space="preserve">PM companies onboarding to the platform have digitised or digitisable records for their existing portfolios (supports BDR-AST-004).</w:t>
      </w:r>
    </w:p>
    <w:p>
      <w:pPr>
        <w:pStyle w:val="ListParagraph"/>
        <w:numPr>
          <w:ilvl w:val="0"/>
          <w:numId w:val="2"/>
        </w:numPr>
        <w:spacing w:after="80"/>
      </w:pPr>
      <w:r>
        <w:t xml:space="preserve">Initial go-to-market focuses on a limited set of regulatory jurisdictions; multi-jurisdiction compliance rules (BDR-SEC-004) will expand in subsequent releases.</w:t>
      </w:r>
    </w:p>
    <w:p>
      <w:pPr>
        <w:pStyle w:val="ListParagraph"/>
        <w:numPr>
          <w:ilvl w:val="0"/>
          <w:numId w:val="2"/>
        </w:numPr>
        <w:spacing w:after="80"/>
      </w:pPr>
      <w:r>
        <w:t xml:space="preserve">Vendor organisations are willing to adopt a new tool for job status updates; incentive design (e.g., faster confirmation-linked payment processing) may be needed to drive adoption.</w:t>
      </w:r>
    </w:p>
    <w:p>
      <w:pPr>
        <w:pStyle w:val="ListParagraph"/>
        <w:numPr>
          <w:ilvl w:val="0"/>
          <w:numId w:val="2"/>
        </w:numPr>
        <w:spacing w:after="80"/>
      </w:pPr>
      <w:r>
        <w:t xml:space="preserve">Owners are assumed not to require system login in Phase 1 (BDR-OWN-002); this is a scope decision, not a technical limitation.</w:t>
      </w:r>
    </w:p>
    <w:p>
      <w:pPr>
        <w:pStyle w:val="ListParagraph"/>
        <w:numPr>
          <w:ilvl w:val="0"/>
          <w:numId w:val="2"/>
        </w:numPr>
        <w:spacing w:after="80"/>
      </w:pPr>
      <w:r>
        <w:t xml:space="preserve">The specific audit log and tenant-offboarding data retention periods (BDR-NFR-008, BDR-TEN-006) are contractual and legal decisions to be confirmed with a data-protection advisor per operating jurisdiction, not fixed by this document; a placeholder figure used for planning purposes is not a compliance determination.</w:t>
      </w:r>
    </w:p>
    <w:p>
      <w:pPr>
        <w:pStyle w:val="ListParagraph"/>
        <w:numPr>
          <w:ilvl w:val="0"/>
          <w:numId w:val="2"/>
        </w:numPr>
        <w:spacing w:after="80"/>
      </w:pPr>
      <w:r>
        <w:t xml:space="preserve">Auth-endpoint rate limiting (BDR-SEC-009) is assumed to run against a single API instance in Phase 1; its effectiveness is reduced if the API tier is scaled horizontally before a shared counter store is introduced.</w:t>
      </w:r>
    </w:p>
    <w:p>
      <w:pPr>
        <w:pStyle w:val="ListParagraph"/>
        <w:numPr>
          <w:ilvl w:val="0"/>
          <w:numId w:val="2"/>
        </w:numPr>
        <w:spacing w:after="80"/>
      </w:pPr>
      <w:r>
        <w:t xml:space="preserve">MFA recovery assumes a user who loses both their authenticator device and their recovery codes is handled via a manual, human-verified Platform Operator process (BDR-SEC-008, BDR-SUP-001), not further self-service automation.</w:t>
      </w:r>
    </w:p>
    <w:p>
      <w:r>
        <w:br w:type="page"/>
      </w:r>
    </w:p>
    <w:p>
      <w:pPr>
        <w:pStyle w:val="Heading1"/>
        <w:spacing w:after="160" w:before="360"/>
      </w:pPr>
      <w:r>
        <w:t xml:space="preserve">9. Out of Scope (Phase 1) &amp; Roadmap</w:t>
      </w:r>
    </w:p>
    <w:p>
      <w:pPr>
        <w:pStyle w:val="Heading2"/>
        <w:spacing w:after="120" w:before="260"/>
      </w:pPr>
      <w:r>
        <w:t xml:space="preserve">9.1 Out of Scope for Phase 1</w:t>
      </w:r>
    </w:p>
    <w:p>
      <w:pPr>
        <w:pStyle w:val="ListParagraph"/>
        <w:numPr>
          <w:ilvl w:val="0"/>
          <w:numId w:val="2"/>
        </w:numPr>
        <w:spacing w:after="80"/>
      </w:pPr>
      <w:r>
        <w:t xml:space="preserve">Computer-vision-based automated defect detection from inspection photos.</w:t>
      </w:r>
    </w:p>
    <w:p>
      <w:pPr>
        <w:pStyle w:val="ListParagraph"/>
        <w:numPr>
          <w:ilvl w:val="0"/>
          <w:numId w:val="2"/>
        </w:numPr>
        <w:spacing w:after="80"/>
      </w:pPr>
      <w:r>
        <w:t xml:space="preserve">Natural-language conversational reporting interface.</w:t>
      </w:r>
    </w:p>
    <w:p>
      <w:pPr>
        <w:pStyle w:val="ListParagraph"/>
        <w:numPr>
          <w:ilvl w:val="0"/>
          <w:numId w:val="2"/>
        </w:numPr>
        <w:spacing w:after="80"/>
      </w:pPr>
      <w:r>
        <w:t xml:space="preserve">Automated financial anomaly/fraud detection across vendor invoices.</w:t>
      </w:r>
    </w:p>
    <w:p>
      <w:pPr>
        <w:pStyle w:val="ListParagraph"/>
        <w:numPr>
          <w:ilvl w:val="0"/>
          <w:numId w:val="2"/>
        </w:numPr>
        <w:spacing w:after="80"/>
      </w:pPr>
      <w:r>
        <w:t xml:space="preserve">Full read/write Owner self-service portal.</w:t>
      </w:r>
    </w:p>
    <w:p>
      <w:pPr>
        <w:pStyle w:val="ListParagraph"/>
        <w:numPr>
          <w:ilvl w:val="0"/>
          <w:numId w:val="2"/>
        </w:numPr>
        <w:spacing w:after="80"/>
      </w:pPr>
      <w:r>
        <w:t xml:space="preserve">Marketplace or payment-processing features between PM companies and Vendors.</w:t>
      </w:r>
    </w:p>
    <w:p>
      <w:pPr>
        <w:pStyle w:val="ListParagraph"/>
        <w:numPr>
          <w:ilvl w:val="0"/>
          <w:numId w:val="2"/>
        </w:numPr>
        <w:spacing w:after="80"/>
      </w:pPr>
      <w:r>
        <w:t xml:space="preserve">On-premises / self-hosted deployment for enterprise customers requiring data residency or an air-gapped environment. Fully specified as a triggered capability — built only when a qualifying enterprise deal makes it an explicit requirement, not scheduled to a phase (BDR-LIC-001–007, proposed; see Handbook/deployment_topologies.md for the full technical design, including signed-license access control in place of the standard subscription flow).</w:t>
      </w:r>
    </w:p>
    <w:p>
      <w:pPr>
        <w:pStyle w:val="ListParagraph"/>
        <w:numPr>
          <w:ilvl w:val="0"/>
          <w:numId w:val="2"/>
        </w:numPr>
        <w:spacing w:after="80"/>
      </w:pPr>
      <w:r>
        <w:t xml:space="preserve">Dedicated incident-response tooling and a staffed on-call rotation. The incident-detection, containment, and notification obligation itself is in scope (BDR-SEC-010, Section 5.11); the operational tooling to run it as a formal practice is deferred until a team exists to staff it.</w:t>
      </w:r>
    </w:p>
    <w:p>
      <w:pPr>
        <w:pStyle w:val="ListParagraph"/>
        <w:numPr>
          <w:ilvl w:val="0"/>
          <w:numId w:val="2"/>
        </w:numPr>
        <w:spacing w:after="80"/>
      </w:pPr>
      <w:r>
        <w:t xml:space="preserve">SLA timers, ticket routing automation, and a knowledge base for support ticketing (Section 5.16) — the minimal ticket-and-visibility mechanism in BDR-SUP-001–004 is in scope; these are deferred until email-based support becomes operationally unmanageable at real volume.</w:t>
      </w:r>
    </w:p>
    <w:p>
      <w:pPr>
        <w:pStyle w:val="ListParagraph"/>
        <w:numPr>
          <w:ilvl w:val="0"/>
          <w:numId w:val="2"/>
        </w:numPr>
        <w:spacing w:after="80"/>
      </w:pPr>
      <w:r>
        <w:t xml:space="preserve">Per-tenant cryptographic key isolation (e.g., a dedicated key-management service with per-tenant keys) — Phase 1 relies on platform-level key material and the managed database host’s encryption at rest; revisit before onboarding any tenant with regulated PII beyond what is already scoped (BDR-SEC-004).</w:t>
      </w:r>
    </w:p>
    <w:p>
      <w:pPr>
        <w:pStyle w:val="Heading2"/>
        <w:spacing w:after="120" w:before="260"/>
      </w:pPr>
      <w:r>
        <w:t xml:space="preserve">9.2 Roadmap</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000"/>
        <w:gridCol w:w="7020"/>
      </w:tblGrid>
      <w:tr>
        <w:trPr>
          <w:tblHeader/>
        </w:trPr>
        <w:tc>
          <w:tcPr>
            <w:tcW w:type="dxa" w:w="20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Phase</w:t>
            </w:r>
          </w:p>
        </w:tc>
        <w:tc>
          <w:tcPr>
            <w:tcW w:type="dxa" w:w="702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Scope</w:t>
            </w:r>
          </w:p>
        </w:tc>
      </w:tr>
      <w:tr>
        <w:tc>
          <w:tcPr>
            <w:tcW w:type="dxa" w:w="2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Phase 1 (MVP)</w:t>
            </w:r>
          </w:p>
        </w:tc>
        <w:tc>
          <w:tcPr>
            <w:tcW w:type="dxa" w:w="70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Tenancy (including offboarding), Owner reporting, Departments/RBAC, Vendor management (including relationship termination), Asset registry, Workflow engine, Document management (including malware/type scanning on upload), Inspections, AI Document Intelligence, AI Request Triage, Platform billing &amp; subscription management (usage-based and per-module entitlements), Leasing &amp; vacancy management, Rent collection (tracking), platform notifications, and the authentication/security hardening set added in v0.4 (self-service password reset, session revocation, MFA recovery codes, auth-endpoint rate limiting, security response headers, log PII redaction, incident response &amp; breach notification commitment).</w:t>
            </w:r>
          </w:p>
        </w:tc>
      </w:tr>
      <w:tr>
        <w:tc>
          <w:tcPr>
            <w:tcW w:type="dxa" w:w="2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Phase 2</w:t>
            </w:r>
          </w:p>
        </w:tc>
        <w:tc>
          <w:tcPr>
            <w:tcW w:type="dxa" w:w="70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Owner read-only portal, computer-vision inspection analysis, workflow analytics and bottleneck detection.</w:t>
            </w:r>
          </w:p>
        </w:tc>
      </w:tr>
      <w:tr>
        <w:tc>
          <w:tcPr>
            <w:tcW w:type="dxa" w:w="2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Phase 3</w:t>
            </w:r>
          </w:p>
        </w:tc>
        <w:tc>
          <w:tcPr>
            <w:tcW w:type="dxa" w:w="70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Natural-language reporting assistant, financial anomaly detection, Vendor marketplace features.</w:t>
            </w:r>
          </w:p>
        </w:tc>
      </w:tr>
      <w:tr>
        <w:tc>
          <w:tcPr>
            <w:tcW w:type="dxa" w:w="2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Enterprise / On-Premises (triggered, not phase-scheduled)</w:t>
            </w:r>
          </w:p>
        </w:tc>
        <w:tc>
          <w:tcPr>
            <w:tcW w:type="dxa" w:w="70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On-premises deployment with signed-license access control, for a qualifying enterprise customer requiring data residency or an air-gapped environment (BDR-LIC-001–007, proposed).</w:t>
            </w:r>
          </w:p>
        </w:tc>
      </w:tr>
      <w:tr>
        <w:tc>
          <w:tcPr>
            <w:tcW w:type="dxa" w:w="2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Support Ticketing (triggered, not phase-scheduled)</w:t>
            </w:r>
          </w:p>
        </w:tc>
        <w:tc>
          <w:tcPr>
            <w:tcW w:type="dxa" w:w="70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Minimal cross-tenant support ticket visibility for the Platform Operator (BDR-SUP-001–004), built but deliberately not tied to a numbered phase — email-based support remains viable until real volume makes ticketing operationally necessary.</w:t>
            </w:r>
          </w:p>
        </w:tc>
      </w:tr>
    </w:tbl>
    <w:p>
      <w:pPr>
        <w:spacing w:after="200"/>
      </w:pPr>
      <w:r>
        <w:rPr>
          <w:i/>
          <w:iCs/>
          <w:color w:val="595959"/>
          <w:sz w:val="20"/>
          <w:szCs w:val="20"/>
        </w:rPr>
        <w:t xml:space="preserve">The module-by-module engineering build sequence implementing this phase plan — including the order Section 5’s requirement domains are actually built in, and why (Leasing and Rent Collection, though part of this Phase 1 business scope, build last in engineering sequence, as Phases 9–10, since they depend on Property/Asset, Document, and Auth already existing; Platform Notifications was moved into the earliest engineering phase because self-service password reset depends on it) — is maintained separately in Handbook/roadmap.md.</w:t>
      </w:r>
    </w:p>
    <w:p>
      <w:r>
        <w:br w:type="page"/>
      </w:r>
    </w:p>
    <w:p>
      <w:pPr>
        <w:pStyle w:val="Heading1"/>
        <w:spacing w:after="160" w:before="360"/>
      </w:pPr>
      <w:r>
        <w:t xml:space="preserve">Appendix A: Role / Access Matrix</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1900"/>
        <w:gridCol w:w="1710"/>
        <w:gridCol w:w="1710"/>
      </w:tblGrid>
      <w:tr>
        <w:trPr>
          <w:tblHeader/>
        </w:trPr>
        <w:tc>
          <w:tcPr>
            <w:tcW w:type="dxa" w:w="18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Role</w:t>
            </w:r>
          </w:p>
        </w:tc>
        <w:tc>
          <w:tcPr>
            <w:tcW w:type="dxa" w:w="19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Properties &amp; Assets</w:t>
            </w:r>
          </w:p>
        </w:tc>
        <w:tc>
          <w:tcPr>
            <w:tcW w:type="dxa" w:w="19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Documents</w:t>
            </w:r>
          </w:p>
        </w:tc>
        <w:tc>
          <w:tcPr>
            <w:tcW w:type="dxa" w:w="171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Financials</w:t>
            </w:r>
          </w:p>
        </w:tc>
        <w:tc>
          <w:tcPr>
            <w:tcW w:type="dxa" w:w="171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Vendor Work Orders</w:t>
            </w:r>
          </w:p>
        </w:tc>
      </w:tr>
      <w:tr>
        <w:tc>
          <w:tcPr>
            <w:tcW w:type="dxa" w:w="18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Platform Operator</w:t>
            </w:r>
          </w:p>
        </w:tc>
        <w:tc>
          <w:tcPr>
            <w:tcW w:type="dxa" w:w="19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Full (audited, all tenants)</w:t>
            </w:r>
          </w:p>
        </w:tc>
        <w:tc>
          <w:tcPr>
            <w:tcW w:type="dxa" w:w="19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Full (audited)</w:t>
            </w:r>
          </w:p>
        </w:tc>
        <w:tc>
          <w:tcPr>
            <w:tcW w:type="dxa" w:w="171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Full (audited)</w:t>
            </w:r>
          </w:p>
        </w:tc>
        <w:tc>
          <w:tcPr>
            <w:tcW w:type="dxa" w:w="171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Full (audited)</w:t>
            </w:r>
          </w:p>
        </w:tc>
      </w:tr>
      <w:tr>
        <w:tc>
          <w:tcPr>
            <w:tcW w:type="dxa" w:w="18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Tenant Admin</w:t>
            </w:r>
          </w:p>
        </w:tc>
        <w:tc>
          <w:tcPr>
            <w:tcW w:type="dxa" w:w="19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Full (own tenant)</w:t>
            </w:r>
          </w:p>
        </w:tc>
        <w:tc>
          <w:tcPr>
            <w:tcW w:type="dxa" w:w="19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Full (own tenant)</w:t>
            </w:r>
          </w:p>
        </w:tc>
        <w:tc>
          <w:tcPr>
            <w:tcW w:type="dxa" w:w="171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Full (own tenant)</w:t>
            </w:r>
          </w:p>
        </w:tc>
        <w:tc>
          <w:tcPr>
            <w:tcW w:type="dxa" w:w="171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Full (own tenant)</w:t>
            </w:r>
          </w:p>
        </w:tc>
      </w:tr>
      <w:tr>
        <w:tc>
          <w:tcPr>
            <w:tcW w:type="dxa" w:w="18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Department Staff</w:t>
            </w:r>
          </w:p>
        </w:tc>
        <w:tc>
          <w:tcPr>
            <w:tcW w:type="dxa" w:w="19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Assigned properties only</w:t>
            </w:r>
          </w:p>
        </w:tc>
        <w:tc>
          <w:tcPr>
            <w:tcW w:type="dxa" w:w="19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Own department scope</w:t>
            </w:r>
          </w:p>
        </w:tc>
        <w:tc>
          <w:tcPr>
            <w:tcW w:type="dxa" w:w="171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View only (if permitted)</w:t>
            </w:r>
          </w:p>
        </w:tc>
        <w:tc>
          <w:tcPr>
            <w:tcW w:type="dxa" w:w="171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Assign &amp; review only</w:t>
            </w:r>
          </w:p>
        </w:tc>
      </w:tr>
      <w:tr>
        <w:tc>
          <w:tcPr>
            <w:tcW w:type="dxa" w:w="18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Property Owner</w:t>
            </w:r>
          </w:p>
        </w:tc>
        <w:tc>
          <w:tcPr>
            <w:tcW w:type="dxa" w:w="19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Own properties (report only, no login)</w:t>
            </w:r>
          </w:p>
        </w:tc>
        <w:tc>
          <w:tcPr>
            <w:tcW w:type="dxa" w:w="19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Own properties (report only)</w:t>
            </w:r>
          </w:p>
        </w:tc>
        <w:tc>
          <w:tcPr>
            <w:tcW w:type="dxa" w:w="171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Own properties (report only)</w:t>
            </w:r>
          </w:p>
        </w:tc>
        <w:tc>
          <w:tcPr>
            <w:tcW w:type="dxa" w:w="171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None</w:t>
            </w:r>
          </w:p>
        </w:tc>
      </w:tr>
      <w:tr>
        <w:tc>
          <w:tcPr>
            <w:tcW w:type="dxa" w:w="18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Vendor User</w:t>
            </w:r>
          </w:p>
        </w:tc>
        <w:tc>
          <w:tcPr>
            <w:tcW w:type="dxa" w:w="19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None</w:t>
            </w:r>
          </w:p>
        </w:tc>
        <w:tc>
          <w:tcPr>
            <w:tcW w:type="dxa" w:w="19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Assigned work items only</w:t>
            </w:r>
          </w:p>
        </w:tc>
        <w:tc>
          <w:tcPr>
            <w:tcW w:type="dxa" w:w="171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None</w:t>
            </w:r>
          </w:p>
        </w:tc>
        <w:tc>
          <w:tcPr>
            <w:tcW w:type="dxa" w:w="171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Assigned items only</w:t>
            </w:r>
          </w:p>
        </w:tc>
      </w:tr>
      <w:tr>
        <w:tc>
          <w:tcPr>
            <w:tcW w:type="dxa" w:w="18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Prospective Tenant</w:t>
            </w:r>
          </w:p>
        </w:tc>
        <w:tc>
          <w:tcPr>
            <w:tcW w:type="dxa" w:w="19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None (no login; single-purpose application link only)</w:t>
            </w:r>
          </w:p>
        </w:tc>
        <w:tc>
          <w:tcPr>
            <w:tcW w:type="dxa" w:w="19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Own application only</w:t>
            </w:r>
          </w:p>
        </w:tc>
        <w:tc>
          <w:tcPr>
            <w:tcW w:type="dxa" w:w="171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None</w:t>
            </w:r>
          </w:p>
        </w:tc>
        <w:tc>
          <w:tcPr>
            <w:tcW w:type="dxa" w:w="171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None</w:t>
            </w:r>
          </w:p>
        </w:tc>
      </w:tr>
    </w:tbl>
    <w:p>
      <w:pPr>
        <w:spacing w:after="200"/>
      </w:pPr>
      <w:r>
        <w:rPr>
          <w:i/>
          <w:iCs/>
          <w:color w:val="595959"/>
          <w:sz w:val="20"/>
          <w:szCs w:val="20"/>
        </w:rPr>
        <w:t xml:space="preserve">Support ticketing (Section 5.16) is not shown as a separate column: it follows the same Platform Operator (full, audited, cross-tenant) / Tenant Admin (full, own tenant only) split as the columns above and introduces no new access shape.</w:t>
      </w:r>
    </w:p>
    <w:p>
      <w:pPr>
        <w:spacing w:after="300"/>
      </w:pPr>
    </w:p>
    <w:p>
      <w:pPr>
        <w:pStyle w:val="Heading1"/>
        <w:spacing w:after="160" w:before="360"/>
      </w:pPr>
      <w:r>
        <w:t xml:space="preserve">Appendix B: Glossary</w:t>
      </w:r>
    </w:p>
    <w:p>
      <w:pPr>
        <w:spacing w:after="160" w:line="276"/>
      </w:pPr>
      <w:r>
        <w:t xml:space="preserve">See Section 1.4 for core definitions and abbreviations used throughout this document.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Property Asset Management Platform — BRD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6" w:space="4"/>
      </w:pBdr>
      <w:spacing w:after="160" w:before="360"/>
    </w:pPr>
    <w:rPr>
      <w:rFonts w:ascii="Calibri" w:cs="Calibri" w:eastAsia="Calibri" w:hAnsi="Calibri"/>
      <w:b/>
      <w:bCs/>
      <w:color w:val="1F3864"/>
      <w:sz w:val="30"/>
      <w:szCs w:val="30"/>
    </w:rPr>
  </w:style>
  <w:style w:type="paragraph" w:styleId="Heading2">
    <w:name w:val="Heading 2"/>
    <w:basedOn w:val="Normal"/>
    <w:next w:val="Normal"/>
    <w:qFormat/>
    <w:pPr>
      <w:spacing w:after="120" w:before="260"/>
    </w:pPr>
    <w:rPr>
      <w:rFonts w:ascii="Calibri" w:cs="Calibri" w:eastAsia="Calibri" w:hAnsi="Calibri"/>
      <w:b/>
      <w:bCs/>
      <w:color w:val="2E5C8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2026-09-19T06:36:13.003Z</dcterms:created>
  <dcterms:modified xsi:type="dcterms:W3CDTF">2026-09-19T06:36:13.015Z</dcterms:modified>
</cp:coreProperties>
</file>

<file path=docProps/custom.xml><?xml version="1.0" encoding="utf-8"?>
<Properties xmlns="http://schemas.openxmlformats.org/officeDocument/2006/custom-properties" xmlns:vt="http://schemas.openxmlformats.org/officeDocument/2006/docPropsVTypes"/>
</file>