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indtextb" type="frame"/>
    </v:background>
  </w:background>
  <w:body>
    <w:p w:rsidR="008D12FD" w:rsidRDefault="007421AB">
      <w:pPr>
        <w:pStyle w:val="Estilo1"/>
        <w:framePr w:w="1599" w:wrap="around" w:x="8624"/>
      </w:pPr>
      <w:r>
        <w:t>2</w:t>
      </w:r>
    </w:p>
    <w:p w:rsidR="008D12FD" w:rsidRDefault="00402ADB">
      <w:pPr>
        <w:pStyle w:val="Encabezado"/>
        <w:jc w:val="left"/>
        <w:rPr>
          <w:color w:val="008080"/>
          <w:sz w:val="56"/>
        </w:rPr>
      </w:pPr>
      <w:r>
        <w:rPr>
          <w:color w:val="008080"/>
          <w:sz w:val="56"/>
        </w:rPr>
        <w:t>ESTUDIO DE HECHOS DE LOS APOSTOLES</w:t>
      </w:r>
    </w:p>
    <w:p w:rsidR="00077EE2" w:rsidRDefault="00077EE2" w:rsidP="00077EE2">
      <w:pPr>
        <w:pStyle w:val="Ttulo6"/>
        <w:rPr>
          <w:color w:val="FF0000"/>
          <w:sz w:val="22"/>
          <w:szCs w:val="24"/>
        </w:rPr>
      </w:pPr>
      <w:r>
        <w:rPr>
          <w:color w:val="FF0000"/>
          <w:sz w:val="22"/>
        </w:rPr>
        <w:t>Texto seleccionado: Hechos 1: 12 al 26</w:t>
      </w:r>
    </w:p>
    <w:p w:rsidR="007421AB" w:rsidRDefault="007421AB" w:rsidP="007421AB">
      <w:pPr>
        <w:rPr>
          <w:b/>
          <w:bCs/>
          <w:i w:val="0"/>
          <w:iCs w:val="0"/>
          <w:color w:val="0000FF"/>
          <w:sz w:val="22"/>
        </w:rPr>
      </w:pPr>
    </w:p>
    <w:p w:rsidR="007421AB" w:rsidRDefault="007421AB" w:rsidP="007421AB">
      <w:pPr>
        <w:rPr>
          <w:b/>
          <w:bCs/>
          <w:color w:val="0000FF"/>
          <w:sz w:val="22"/>
        </w:rPr>
      </w:pPr>
      <w:r>
        <w:rPr>
          <w:b/>
          <w:bCs/>
          <w:i w:val="0"/>
          <w:iCs w:val="0"/>
          <w:color w:val="0000FF"/>
          <w:sz w:val="22"/>
        </w:rPr>
        <w:t xml:space="preserve">I. </w:t>
      </w:r>
      <w:r>
        <w:rPr>
          <w:b/>
          <w:bCs/>
          <w:i w:val="0"/>
          <w:iCs w:val="0"/>
          <w:color w:val="0000FF"/>
          <w:sz w:val="22"/>
        </w:rPr>
        <w:tab/>
        <w:t>Preguntas para el estudio bíblico inductivo</w:t>
      </w:r>
      <w:r>
        <w:rPr>
          <w:b/>
          <w:bCs/>
          <w:color w:val="0000FF"/>
          <w:sz w:val="22"/>
        </w:rPr>
        <w:t>.</w:t>
      </w:r>
    </w:p>
    <w:p w:rsidR="007421AB" w:rsidRDefault="007421AB" w:rsidP="007421AB">
      <w:pPr>
        <w:rPr>
          <w:b/>
          <w:bCs/>
          <w:sz w:val="22"/>
        </w:rPr>
      </w:pPr>
    </w:p>
    <w:p w:rsidR="007421AB" w:rsidRDefault="007421AB" w:rsidP="007421AB">
      <w:pPr>
        <w:numPr>
          <w:ilvl w:val="1"/>
          <w:numId w:val="8"/>
        </w:numPr>
        <w:spacing w:after="120"/>
        <w:jc w:val="left"/>
        <w:rPr>
          <w:b/>
          <w:bCs/>
          <w:i w:val="0"/>
          <w:iCs w:val="0"/>
          <w:color w:val="008080"/>
          <w:sz w:val="22"/>
        </w:rPr>
      </w:pPr>
      <w:r>
        <w:rPr>
          <w:b/>
          <w:bCs/>
          <w:color w:val="008080"/>
          <w:sz w:val="22"/>
        </w:rPr>
        <w:t>¿</w:t>
      </w:r>
      <w:r>
        <w:rPr>
          <w:b/>
          <w:bCs/>
          <w:i w:val="0"/>
          <w:iCs w:val="0"/>
          <w:color w:val="008080"/>
          <w:sz w:val="22"/>
        </w:rPr>
        <w:t>Que sabemos del Monte de los Olivos u Olivar?</w:t>
      </w:r>
    </w:p>
    <w:p w:rsidR="007421AB" w:rsidRDefault="007421AB" w:rsidP="007421AB">
      <w:pPr>
        <w:numPr>
          <w:ilvl w:val="1"/>
          <w:numId w:val="8"/>
        </w:numPr>
        <w:tabs>
          <w:tab w:val="left" w:pos="2070"/>
        </w:tabs>
        <w:spacing w:after="120"/>
        <w:jc w:val="left"/>
        <w:rPr>
          <w:b/>
          <w:bCs/>
          <w:i w:val="0"/>
          <w:iCs w:val="0"/>
          <w:color w:val="008080"/>
        </w:rPr>
      </w:pPr>
      <w:r>
        <w:rPr>
          <w:b/>
          <w:bCs/>
          <w:color w:val="008080"/>
          <w:sz w:val="22"/>
        </w:rPr>
        <w:t>¿</w:t>
      </w:r>
      <w:r>
        <w:rPr>
          <w:b/>
          <w:bCs/>
          <w:i w:val="0"/>
          <w:iCs w:val="0"/>
          <w:color w:val="008080"/>
          <w:sz w:val="22"/>
        </w:rPr>
        <w:t>Qué distancia es “camino de un día de reposo”?</w:t>
      </w:r>
    </w:p>
    <w:p w:rsidR="007421AB" w:rsidRDefault="007421AB" w:rsidP="007421AB">
      <w:pPr>
        <w:pStyle w:val="Ttulo1"/>
        <w:rPr>
          <w:color w:val="0000FF"/>
          <w:sz w:val="22"/>
        </w:rPr>
      </w:pPr>
      <w:r>
        <w:rPr>
          <w:color w:val="0000FF"/>
          <w:sz w:val="22"/>
        </w:rPr>
        <w:t>Respuesta:</w:t>
      </w:r>
    </w:p>
    <w:p w:rsidR="007421AB" w:rsidRDefault="007421AB" w:rsidP="007421AB">
      <w:pPr>
        <w:ind w:left="705" w:hanging="705"/>
        <w:rPr>
          <w:color w:val="000080"/>
          <w:sz w:val="22"/>
        </w:rPr>
      </w:pPr>
      <w:r>
        <w:rPr>
          <w:color w:val="000080"/>
          <w:sz w:val="22"/>
        </w:rPr>
        <w:t>1.1</w:t>
      </w:r>
      <w:r>
        <w:rPr>
          <w:color w:val="000080"/>
          <w:sz w:val="22"/>
        </w:rPr>
        <w:tab/>
        <w:t>El monte de los Olivos u Olivar está situado al este de Jerusalén y presenta tres puntos culminantes:</w:t>
      </w:r>
    </w:p>
    <w:p w:rsidR="007421AB" w:rsidRDefault="007421AB" w:rsidP="007421AB">
      <w:pPr>
        <w:ind w:left="567"/>
        <w:rPr>
          <w:color w:val="000080"/>
          <w:sz w:val="22"/>
        </w:rPr>
      </w:pPr>
    </w:p>
    <w:p w:rsidR="007421AB" w:rsidRDefault="007421AB" w:rsidP="007421AB">
      <w:pPr>
        <w:ind w:left="567"/>
        <w:rPr>
          <w:color w:val="000080"/>
          <w:sz w:val="22"/>
        </w:rPr>
      </w:pPr>
      <w:r>
        <w:rPr>
          <w:color w:val="000080"/>
          <w:sz w:val="22"/>
        </w:rPr>
        <w:t xml:space="preserve">La montaña presenta numerosas cavernas y grutas que nos hacen recordar que allí:               </w:t>
      </w:r>
    </w:p>
    <w:p w:rsidR="007421AB" w:rsidRDefault="007421AB" w:rsidP="007421AB">
      <w:pPr>
        <w:numPr>
          <w:ilvl w:val="0"/>
          <w:numId w:val="10"/>
        </w:numPr>
        <w:rPr>
          <w:color w:val="000080"/>
          <w:sz w:val="22"/>
        </w:rPr>
      </w:pPr>
      <w:r>
        <w:rPr>
          <w:color w:val="000080"/>
          <w:sz w:val="22"/>
        </w:rPr>
        <w:t>David adoraba a Dios. (2da Samuel 15:32)</w:t>
      </w:r>
    </w:p>
    <w:p w:rsidR="007421AB" w:rsidRDefault="007421AB" w:rsidP="007421AB">
      <w:pPr>
        <w:numPr>
          <w:ilvl w:val="0"/>
          <w:numId w:val="10"/>
        </w:numPr>
        <w:rPr>
          <w:color w:val="000080"/>
          <w:sz w:val="22"/>
        </w:rPr>
      </w:pPr>
      <w:r>
        <w:rPr>
          <w:color w:val="000080"/>
          <w:sz w:val="22"/>
        </w:rPr>
        <w:t>David subió llorando por esta montaña cuando huía de su hijo Absalón. (2da  Samuel 15:30  “Y David subió la cuesta de los olivos, y la subió llorando, llevando la     cabeza cubierta y los pies descalzos.”</w:t>
      </w:r>
    </w:p>
    <w:p w:rsidR="007421AB" w:rsidRDefault="007421AB" w:rsidP="007421AB">
      <w:pPr>
        <w:numPr>
          <w:ilvl w:val="0"/>
          <w:numId w:val="10"/>
        </w:numPr>
        <w:tabs>
          <w:tab w:val="left" w:pos="1800"/>
        </w:tabs>
        <w:rPr>
          <w:color w:val="000080"/>
          <w:sz w:val="22"/>
        </w:rPr>
      </w:pPr>
      <w:r>
        <w:rPr>
          <w:color w:val="000080"/>
          <w:sz w:val="22"/>
        </w:rPr>
        <w:t>El profeta Ezequiel contempla allí la gloria de Jehová; “Y la Gloria de Jehová se elevo  en medio de la ciudad y se puso sobre el monte que esta al oriente de la ciudad”  (Ezequiel 11:23)</w:t>
      </w:r>
    </w:p>
    <w:p w:rsidR="007421AB" w:rsidRDefault="007421AB" w:rsidP="007421AB">
      <w:pPr>
        <w:numPr>
          <w:ilvl w:val="0"/>
          <w:numId w:val="10"/>
        </w:numPr>
        <w:tabs>
          <w:tab w:val="left" w:pos="1800"/>
        </w:tabs>
        <w:rPr>
          <w:color w:val="000080"/>
          <w:sz w:val="22"/>
        </w:rPr>
      </w:pPr>
      <w:r>
        <w:rPr>
          <w:color w:val="000080"/>
          <w:sz w:val="22"/>
        </w:rPr>
        <w:t>Según el profeta Zacarías, Dios saldrá y peleara con aquellas naciones que atacara a Jerusalén y “se afirmaran sus pies en aquel día sobre el monte de los Olivos se partirá por en medio, hacia el oriente y hacia el occidente, haciendo un valle muy  grande...y vendrá Jehová mi Dios, y con el todos los santos...”(Zacarías 14: 4,5b)</w:t>
      </w:r>
    </w:p>
    <w:p w:rsidR="007421AB" w:rsidRDefault="007421AB" w:rsidP="007421AB">
      <w:pPr>
        <w:numPr>
          <w:ilvl w:val="0"/>
          <w:numId w:val="10"/>
        </w:numPr>
        <w:tabs>
          <w:tab w:val="left" w:pos="1800"/>
        </w:tabs>
        <w:rPr>
          <w:color w:val="000080"/>
          <w:sz w:val="22"/>
        </w:rPr>
      </w:pPr>
      <w:r>
        <w:rPr>
          <w:color w:val="000080"/>
          <w:sz w:val="22"/>
        </w:rPr>
        <w:t>Jesucristo acostumbraba pasar la noche aquí.”Y enseñaba de día en el templo; y de noche, saliendo, se estaba en el monte que se llama de los Olivos.” (Lucas 21:37) Y allí después de su agonía en oración fue tomado prisionero para ser  crucificado.(Lucas 22:39)</w:t>
      </w:r>
    </w:p>
    <w:p w:rsidR="008D12FD" w:rsidRDefault="007421AB" w:rsidP="007421AB">
      <w:pPr>
        <w:pStyle w:val="Textoindependiente3"/>
        <w:rPr>
          <w:color w:val="000080"/>
          <w:sz w:val="22"/>
        </w:rPr>
      </w:pPr>
      <w:r>
        <w:rPr>
          <w:color w:val="000080"/>
          <w:sz w:val="22"/>
        </w:rPr>
        <w:t>1.2</w:t>
      </w:r>
      <w:r>
        <w:rPr>
          <w:color w:val="000080"/>
          <w:sz w:val="22"/>
        </w:rPr>
        <w:tab/>
        <w:t>La distancia de “camino de un día de reposo” es de 2000 codos. Cerca de un kilómetro. Según la  tradición de los rabinos judíos, no era permitido a un israelita pasar de tal distancia en día sábado.</w:t>
      </w:r>
    </w:p>
    <w:p w:rsidR="007421AB" w:rsidRDefault="007421AB" w:rsidP="007421AB">
      <w:pPr>
        <w:pStyle w:val="Textoindependiente3"/>
        <w:rPr>
          <w:color w:val="008080"/>
          <w:szCs w:val="22"/>
        </w:rPr>
      </w:pPr>
    </w:p>
    <w:p w:rsidR="007421AB" w:rsidRDefault="007421AB" w:rsidP="007421AB">
      <w:pPr>
        <w:pStyle w:val="Textoindependiente3"/>
        <w:rPr>
          <w:color w:val="008080"/>
          <w:szCs w:val="22"/>
        </w:rPr>
      </w:pPr>
    </w:p>
    <w:p w:rsidR="007421AB" w:rsidRDefault="007421AB" w:rsidP="007421AB">
      <w:pPr>
        <w:pStyle w:val="Textoindependiente3"/>
        <w:rPr>
          <w:color w:val="008080"/>
          <w:szCs w:val="22"/>
        </w:rPr>
      </w:pPr>
    </w:p>
    <w:p w:rsidR="007421AB" w:rsidRDefault="007421AB" w:rsidP="007421AB">
      <w:pPr>
        <w:spacing w:before="120"/>
        <w:ind w:firstLine="708"/>
        <w:rPr>
          <w:b/>
          <w:bCs/>
          <w:i w:val="0"/>
          <w:iCs w:val="0"/>
          <w:color w:val="008080"/>
          <w:sz w:val="22"/>
        </w:rPr>
      </w:pPr>
      <w:r>
        <w:rPr>
          <w:b/>
          <w:bCs/>
          <w:color w:val="008080"/>
          <w:sz w:val="22"/>
        </w:rPr>
        <w:t xml:space="preserve">2.1 </w:t>
      </w:r>
      <w:r>
        <w:rPr>
          <w:b/>
          <w:bCs/>
          <w:color w:val="008080"/>
          <w:sz w:val="22"/>
        </w:rPr>
        <w:tab/>
      </w:r>
      <w:r>
        <w:rPr>
          <w:b/>
          <w:bCs/>
          <w:i w:val="0"/>
          <w:iCs w:val="0"/>
          <w:color w:val="008080"/>
          <w:sz w:val="22"/>
        </w:rPr>
        <w:t>¿Qué era el aposento alto?</w:t>
      </w:r>
    </w:p>
    <w:p w:rsidR="007421AB" w:rsidRDefault="007421AB" w:rsidP="007421AB">
      <w:pPr>
        <w:spacing w:before="120"/>
        <w:ind w:left="1413" w:hanging="705"/>
        <w:rPr>
          <w:b/>
          <w:bCs/>
          <w:i w:val="0"/>
          <w:iCs w:val="0"/>
          <w:color w:val="008080"/>
          <w:sz w:val="22"/>
        </w:rPr>
      </w:pPr>
      <w:r>
        <w:rPr>
          <w:b/>
          <w:bCs/>
          <w:color w:val="008080"/>
          <w:sz w:val="22"/>
        </w:rPr>
        <w:t>2.2</w:t>
      </w:r>
      <w:r>
        <w:rPr>
          <w:b/>
          <w:bCs/>
          <w:color w:val="008080"/>
          <w:sz w:val="22"/>
        </w:rPr>
        <w:tab/>
      </w:r>
      <w:r>
        <w:rPr>
          <w:b/>
          <w:bCs/>
          <w:i w:val="0"/>
          <w:iCs w:val="0"/>
          <w:color w:val="008080"/>
          <w:sz w:val="22"/>
        </w:rPr>
        <w:t>¿Qué estaban haciendo los 120 en ese lugar?</w:t>
      </w:r>
      <w:r>
        <w:rPr>
          <w:b/>
          <w:bCs/>
          <w:color w:val="008080"/>
          <w:sz w:val="22"/>
        </w:rPr>
        <w:t xml:space="preserve"> </w:t>
      </w:r>
      <w:r>
        <w:rPr>
          <w:b/>
          <w:bCs/>
          <w:i w:val="0"/>
          <w:iCs w:val="0"/>
          <w:color w:val="008080"/>
          <w:sz w:val="22"/>
        </w:rPr>
        <w:t>¿Podríamos imitarlos?</w:t>
      </w:r>
      <w:r>
        <w:rPr>
          <w:b/>
          <w:bCs/>
          <w:color w:val="008080"/>
          <w:sz w:val="22"/>
        </w:rPr>
        <w:t xml:space="preserve"> </w:t>
      </w:r>
      <w:r>
        <w:rPr>
          <w:b/>
          <w:bCs/>
          <w:i w:val="0"/>
          <w:iCs w:val="0"/>
          <w:color w:val="008080"/>
          <w:sz w:val="22"/>
        </w:rPr>
        <w:t>¿De qué manera?</w:t>
      </w:r>
      <w:r>
        <w:rPr>
          <w:b/>
          <w:bCs/>
          <w:color w:val="008080"/>
          <w:sz w:val="22"/>
        </w:rPr>
        <w:t xml:space="preserve"> </w:t>
      </w:r>
      <w:r>
        <w:rPr>
          <w:b/>
          <w:bCs/>
          <w:i w:val="0"/>
          <w:iCs w:val="0"/>
          <w:color w:val="008080"/>
          <w:sz w:val="22"/>
        </w:rPr>
        <w:t>¿Qué nos enseña esto?</w:t>
      </w:r>
    </w:p>
    <w:p w:rsidR="007421AB" w:rsidRDefault="007421AB" w:rsidP="007421AB">
      <w:pPr>
        <w:spacing w:before="120"/>
        <w:ind w:left="1413" w:hanging="705"/>
        <w:rPr>
          <w:b/>
          <w:bCs/>
          <w:i w:val="0"/>
          <w:iCs w:val="0"/>
          <w:color w:val="008080"/>
          <w:sz w:val="22"/>
        </w:rPr>
      </w:pPr>
      <w:r>
        <w:rPr>
          <w:b/>
          <w:bCs/>
          <w:color w:val="008080"/>
          <w:sz w:val="22"/>
        </w:rPr>
        <w:t>2.3</w:t>
      </w:r>
      <w:r>
        <w:rPr>
          <w:b/>
          <w:bCs/>
          <w:color w:val="008080"/>
          <w:sz w:val="22"/>
        </w:rPr>
        <w:tab/>
      </w:r>
      <w:r>
        <w:rPr>
          <w:b/>
          <w:bCs/>
          <w:i w:val="0"/>
          <w:iCs w:val="0"/>
          <w:color w:val="008080"/>
          <w:sz w:val="22"/>
        </w:rPr>
        <w:t>En el relato se menciona a María, la madre de Jesús. Es la Última mención de María en todo el Nuevo Testamento. ¿Si ninguno de los apóstoles la menciona para nada, ni Pablo, ni Pedro, ni Juan hacen una sola referencia ¿qué conclusión sacamos?</w:t>
      </w:r>
    </w:p>
    <w:p w:rsidR="007421AB" w:rsidRDefault="007421AB" w:rsidP="007421AB">
      <w:pPr>
        <w:spacing w:before="120"/>
        <w:ind w:left="1413" w:hanging="705"/>
        <w:rPr>
          <w:b/>
          <w:bCs/>
          <w:sz w:val="22"/>
        </w:rPr>
      </w:pPr>
      <w:r>
        <w:rPr>
          <w:b/>
          <w:bCs/>
          <w:color w:val="008080"/>
          <w:sz w:val="22"/>
        </w:rPr>
        <w:t>2.4</w:t>
      </w:r>
      <w:r>
        <w:rPr>
          <w:b/>
          <w:bCs/>
          <w:color w:val="008080"/>
          <w:sz w:val="22"/>
        </w:rPr>
        <w:tab/>
      </w:r>
      <w:r>
        <w:rPr>
          <w:b/>
          <w:bCs/>
          <w:i w:val="0"/>
          <w:iCs w:val="0"/>
          <w:color w:val="008080"/>
          <w:sz w:val="22"/>
        </w:rPr>
        <w:t>La presencia de los hermanos de Jesús con los discípulos ¿Qué nos confirma?</w:t>
      </w:r>
    </w:p>
    <w:p w:rsidR="007421AB" w:rsidRDefault="007421AB" w:rsidP="007421AB">
      <w:pPr>
        <w:pStyle w:val="Ttulo4"/>
        <w:rPr>
          <w:color w:val="0000FF"/>
          <w:sz w:val="22"/>
        </w:rPr>
      </w:pPr>
      <w:r>
        <w:rPr>
          <w:color w:val="0000FF"/>
          <w:sz w:val="22"/>
        </w:rPr>
        <w:lastRenderedPageBreak/>
        <w:t>Respuesta</w:t>
      </w:r>
    </w:p>
    <w:p w:rsidR="007421AB" w:rsidRDefault="007421AB" w:rsidP="007421AB">
      <w:pPr>
        <w:pStyle w:val="Sangra2detindependiente"/>
        <w:ind w:left="705" w:hanging="705"/>
        <w:rPr>
          <w:rFonts w:ascii="Trebuchet MS" w:hAnsi="Trebuchet MS"/>
          <w:color w:val="000080"/>
        </w:rPr>
      </w:pPr>
      <w:r>
        <w:rPr>
          <w:rFonts w:ascii="Trebuchet MS" w:hAnsi="Trebuchet MS"/>
          <w:color w:val="000080"/>
        </w:rPr>
        <w:t xml:space="preserve">2.1 </w:t>
      </w:r>
      <w:r>
        <w:rPr>
          <w:rFonts w:ascii="Trebuchet MS" w:hAnsi="Trebuchet MS"/>
          <w:color w:val="000080"/>
        </w:rPr>
        <w:tab/>
        <w:t>El aposento alto probablemente sea aquel que señalo Jesús cuando mando a preparar la Pascua “He aquí al entrar a la ciudad os saldrá al encuentro un hombre que lleva un cántaro de agua,    seguidle hasta la casa donde entrare,  y decid al padre de familia de esa casa: El maestro té dice: ¿Dónde está el aposento donde he de comer la pascua con mis  discípulos? Entonces el os mostrara un gran aposento alto ya dispuesto, preparad allí”.(Lucas 22:10-11) Esta habitación frecuentemente se construía sobre las azoteas de las casas, siendo utilizada preferentemente durante el verano.</w:t>
      </w:r>
    </w:p>
    <w:p w:rsidR="007421AB" w:rsidRDefault="007421AB" w:rsidP="007421AB">
      <w:pPr>
        <w:pStyle w:val="Sangra2detindependiente"/>
        <w:ind w:left="705" w:hanging="705"/>
        <w:rPr>
          <w:rFonts w:ascii="Trebuchet MS" w:hAnsi="Trebuchet MS"/>
          <w:color w:val="000080"/>
        </w:rPr>
      </w:pPr>
    </w:p>
    <w:p w:rsidR="007421AB" w:rsidRDefault="007421AB" w:rsidP="007421AB">
      <w:pPr>
        <w:ind w:left="705" w:hanging="705"/>
        <w:rPr>
          <w:color w:val="000080"/>
          <w:sz w:val="22"/>
        </w:rPr>
      </w:pPr>
      <w:r>
        <w:rPr>
          <w:color w:val="000080"/>
          <w:sz w:val="22"/>
        </w:rPr>
        <w:t>2.2</w:t>
      </w:r>
      <w:r>
        <w:rPr>
          <w:color w:val="000080"/>
          <w:sz w:val="22"/>
        </w:rPr>
        <w:tab/>
        <w:t>Los apóstoles tenían todas las cosas en común. Perseveraban unánimes en la oración habiendo dedicado dicho lugar para eso. Y compartían la vida en comunidad con otras 108 personas. Este mismo modelo pasa luego a toda la Iglesia. ¡Todos viviendo en comunidad!</w:t>
      </w:r>
    </w:p>
    <w:p w:rsidR="007421AB" w:rsidRDefault="007421AB" w:rsidP="007421AB">
      <w:pPr>
        <w:ind w:left="705" w:hanging="705"/>
        <w:rPr>
          <w:color w:val="000080"/>
          <w:sz w:val="22"/>
        </w:rPr>
      </w:pPr>
    </w:p>
    <w:p w:rsidR="007421AB" w:rsidRDefault="007421AB" w:rsidP="007421AB">
      <w:pPr>
        <w:ind w:left="705" w:hanging="705"/>
        <w:rPr>
          <w:color w:val="000080"/>
          <w:sz w:val="22"/>
        </w:rPr>
      </w:pPr>
      <w:r>
        <w:rPr>
          <w:color w:val="000080"/>
          <w:sz w:val="22"/>
        </w:rPr>
        <w:t>2.3</w:t>
      </w:r>
      <w:r>
        <w:rPr>
          <w:color w:val="000080"/>
          <w:sz w:val="22"/>
        </w:rPr>
        <w:tab/>
        <w:t>Lucas menciona a “María, la madre de Jesús” por última vez. No se la vuelve a  mencionar  en ninguna otra parte del Nuevo Testamento. No se la menciona en las epístolas de Pablo ni de Pedro ni de Juan. Si Maria ha tenido una parte preponderante en nuestra salvación ¿Por qué la ignoraron los apóstoles?</w:t>
      </w:r>
    </w:p>
    <w:p w:rsidR="007421AB" w:rsidRDefault="007421AB" w:rsidP="007421AB">
      <w:pPr>
        <w:ind w:left="705" w:hanging="705"/>
        <w:rPr>
          <w:color w:val="000080"/>
          <w:sz w:val="22"/>
        </w:rPr>
      </w:pPr>
    </w:p>
    <w:p w:rsidR="007421AB" w:rsidRDefault="007421AB" w:rsidP="007421AB">
      <w:pPr>
        <w:pStyle w:val="Textoindependiente3"/>
        <w:rPr>
          <w:color w:val="000080"/>
          <w:sz w:val="22"/>
        </w:rPr>
      </w:pPr>
      <w:r>
        <w:rPr>
          <w:color w:val="000080"/>
          <w:sz w:val="22"/>
        </w:rPr>
        <w:t>2.4</w:t>
      </w:r>
      <w:r>
        <w:rPr>
          <w:color w:val="000080"/>
          <w:sz w:val="22"/>
        </w:rPr>
        <w:tab/>
        <w:t xml:space="preserve">Es la primera vez que aparecen los hermanos de Jesús junto a los discípulos. Este es otro dato que confirma la resurrección de Jesucristo. Podemos afirmar con seguridad que se convirtieron y creyeron en el Señor al verlo resucitado, porque antes no creían en él. </w:t>
      </w:r>
      <w:r>
        <w:rPr>
          <w:b/>
          <w:bCs/>
          <w:color w:val="000080"/>
          <w:sz w:val="22"/>
        </w:rPr>
        <w:t>“</w:t>
      </w:r>
      <w:r>
        <w:rPr>
          <w:i/>
          <w:iCs/>
          <w:color w:val="000080"/>
          <w:sz w:val="22"/>
        </w:rPr>
        <w:t>Porque ni aun sus hermanos creían en el”</w:t>
      </w:r>
      <w:r>
        <w:rPr>
          <w:color w:val="000080"/>
          <w:sz w:val="22"/>
        </w:rPr>
        <w:t xml:space="preserve"> Juan 7:5</w:t>
      </w:r>
    </w:p>
    <w:p w:rsidR="007421AB" w:rsidRDefault="007421AB" w:rsidP="007421AB">
      <w:pPr>
        <w:pStyle w:val="Textoindependiente3"/>
        <w:rPr>
          <w:color w:val="000080"/>
          <w:sz w:val="22"/>
        </w:rPr>
      </w:pPr>
    </w:p>
    <w:p w:rsidR="007421AB" w:rsidRDefault="007421AB" w:rsidP="007421AB">
      <w:pPr>
        <w:rPr>
          <w:b/>
          <w:bCs/>
          <w:i w:val="0"/>
          <w:iCs w:val="0"/>
          <w:color w:val="008080"/>
          <w:sz w:val="22"/>
        </w:rPr>
      </w:pPr>
      <w:r>
        <w:rPr>
          <w:b/>
          <w:bCs/>
          <w:color w:val="008080"/>
          <w:sz w:val="22"/>
        </w:rPr>
        <w:t>3.1</w:t>
      </w:r>
      <w:r>
        <w:rPr>
          <w:b/>
          <w:bCs/>
          <w:i w:val="0"/>
          <w:iCs w:val="0"/>
          <w:color w:val="008080"/>
          <w:sz w:val="22"/>
        </w:rPr>
        <w:t xml:space="preserve">  </w:t>
      </w:r>
      <w:r>
        <w:rPr>
          <w:b/>
          <w:bCs/>
          <w:i w:val="0"/>
          <w:iCs w:val="0"/>
          <w:color w:val="008080"/>
          <w:sz w:val="22"/>
        </w:rPr>
        <w:tab/>
        <w:t>¿Qué propuso el apóstol Pedro?  ¿En qué basaba su proposición?</w:t>
      </w:r>
    </w:p>
    <w:p w:rsidR="007421AB" w:rsidRDefault="007421AB" w:rsidP="007421AB">
      <w:pPr>
        <w:ind w:left="729"/>
        <w:rPr>
          <w:b/>
          <w:bCs/>
          <w:i w:val="0"/>
          <w:iCs w:val="0"/>
          <w:color w:val="008080"/>
          <w:sz w:val="22"/>
        </w:rPr>
      </w:pPr>
      <w:r>
        <w:rPr>
          <w:b/>
          <w:bCs/>
          <w:i w:val="0"/>
          <w:iCs w:val="0"/>
          <w:color w:val="008080"/>
          <w:sz w:val="22"/>
        </w:rPr>
        <w:t>¿Porque tuvieron que elegir a otro apóstol? ¿No podían continuar los 11?</w:t>
      </w:r>
    </w:p>
    <w:p w:rsidR="007421AB" w:rsidRDefault="007421AB" w:rsidP="007421AB">
      <w:pPr>
        <w:ind w:left="708" w:hanging="708"/>
        <w:rPr>
          <w:b/>
          <w:bCs/>
          <w:i w:val="0"/>
          <w:iCs w:val="0"/>
          <w:color w:val="008080"/>
          <w:sz w:val="22"/>
        </w:rPr>
      </w:pPr>
      <w:r>
        <w:rPr>
          <w:b/>
          <w:bCs/>
          <w:color w:val="008080"/>
          <w:sz w:val="22"/>
        </w:rPr>
        <w:t>3.2</w:t>
      </w:r>
      <w:r>
        <w:rPr>
          <w:b/>
          <w:bCs/>
          <w:color w:val="008080"/>
          <w:sz w:val="22"/>
        </w:rPr>
        <w:tab/>
      </w:r>
      <w:r>
        <w:rPr>
          <w:b/>
          <w:bCs/>
          <w:i w:val="0"/>
          <w:iCs w:val="0"/>
          <w:color w:val="008080"/>
          <w:sz w:val="22"/>
        </w:rPr>
        <w:t xml:space="preserve"> El relato de lo que ocurrió según Pedro es diferente del que cuenta Mateo 27:3-10 ¿Cómo se soluciona esta dificultad?</w:t>
      </w:r>
    </w:p>
    <w:p w:rsidR="007421AB" w:rsidRDefault="007421AB" w:rsidP="007421AB">
      <w:pPr>
        <w:ind w:left="708" w:hanging="711"/>
        <w:rPr>
          <w:b/>
          <w:bCs/>
          <w:i w:val="0"/>
          <w:iCs w:val="0"/>
          <w:color w:val="008080"/>
          <w:sz w:val="22"/>
        </w:rPr>
      </w:pPr>
      <w:r>
        <w:rPr>
          <w:b/>
          <w:bCs/>
          <w:color w:val="008080"/>
          <w:sz w:val="22"/>
        </w:rPr>
        <w:t>3.3</w:t>
      </w:r>
      <w:r>
        <w:rPr>
          <w:b/>
          <w:bCs/>
          <w:color w:val="008080"/>
          <w:sz w:val="22"/>
        </w:rPr>
        <w:tab/>
      </w:r>
      <w:r>
        <w:rPr>
          <w:b/>
          <w:bCs/>
          <w:i w:val="0"/>
          <w:iCs w:val="0"/>
          <w:color w:val="008080"/>
          <w:sz w:val="22"/>
        </w:rPr>
        <w:t>Si el grupo es numeroso separarse de dos o tres, comparar el relato de la muerte de     Judas en Hechos 1:18-19 con Mateo 27:3-10. Contar cuantas diferencias encuentran y como se podrían resolver. Volver al grupo y compartir entre todos las conclusiones.</w:t>
      </w:r>
    </w:p>
    <w:p w:rsidR="007421AB" w:rsidRDefault="007421AB" w:rsidP="007421AB">
      <w:pPr>
        <w:pStyle w:val="Textoindependiente3"/>
        <w:rPr>
          <w:color w:val="008080"/>
          <w:szCs w:val="22"/>
        </w:rPr>
      </w:pPr>
    </w:p>
    <w:p w:rsidR="007421AB" w:rsidRDefault="007421AB" w:rsidP="007421AB">
      <w:pPr>
        <w:pStyle w:val="Ttulo2"/>
        <w:rPr>
          <w:b/>
          <w:bCs w:val="0"/>
          <w:color w:val="0000FF"/>
          <w:sz w:val="22"/>
        </w:rPr>
      </w:pPr>
      <w:r>
        <w:rPr>
          <w:color w:val="0000FF"/>
          <w:sz w:val="22"/>
        </w:rPr>
        <w:t>Respuesta</w:t>
      </w:r>
    </w:p>
    <w:p w:rsidR="007421AB" w:rsidRDefault="007421AB" w:rsidP="007421AB">
      <w:pPr>
        <w:ind w:left="705" w:hanging="705"/>
        <w:rPr>
          <w:color w:val="000080"/>
          <w:sz w:val="22"/>
        </w:rPr>
      </w:pPr>
      <w:r>
        <w:rPr>
          <w:color w:val="000080"/>
          <w:sz w:val="22"/>
        </w:rPr>
        <w:t xml:space="preserve">3.1  </w:t>
      </w:r>
      <w:r>
        <w:rPr>
          <w:color w:val="000080"/>
          <w:sz w:val="22"/>
        </w:rPr>
        <w:tab/>
        <w:t xml:space="preserve">Pedro se levanto para proponer que se elija otro apóstol entre los discípulos que habían seguido a Jesús y que fueron testigos de su resurrección, en lugar de Judas Iscariote. El apóstol Pedro nos da la respuesta en el vs.20b </w:t>
      </w:r>
      <w:r>
        <w:rPr>
          <w:i w:val="0"/>
          <w:iCs w:val="0"/>
          <w:color w:val="000080"/>
          <w:sz w:val="22"/>
        </w:rPr>
        <w:t>“Tome otro su oficio”</w:t>
      </w:r>
      <w:r>
        <w:rPr>
          <w:color w:val="000080"/>
          <w:sz w:val="22"/>
        </w:rPr>
        <w:t>, que es una cita del Salmo 109:8. Ellos entendieron que este salmo se refería a Judas y que otro debía ocupar su lugar. Así que no querían dejar las cosas sin terminar, y buscan un reemplazante.</w:t>
      </w:r>
    </w:p>
    <w:p w:rsidR="007421AB" w:rsidRDefault="007421AB" w:rsidP="007421AB">
      <w:pPr>
        <w:ind w:left="705" w:hanging="705"/>
        <w:rPr>
          <w:color w:val="000080"/>
          <w:sz w:val="22"/>
        </w:rPr>
      </w:pPr>
    </w:p>
    <w:p w:rsidR="007421AB" w:rsidRDefault="007421AB" w:rsidP="007421AB">
      <w:pPr>
        <w:ind w:left="705" w:hanging="705"/>
        <w:rPr>
          <w:color w:val="000080"/>
          <w:sz w:val="22"/>
        </w:rPr>
      </w:pPr>
      <w:r>
        <w:rPr>
          <w:color w:val="000080"/>
          <w:sz w:val="22"/>
        </w:rPr>
        <w:t xml:space="preserve">3.2 </w:t>
      </w:r>
      <w:r>
        <w:rPr>
          <w:color w:val="000080"/>
          <w:sz w:val="22"/>
        </w:rPr>
        <w:tab/>
        <w:t>El relato de lo que ocurrió según Pedro  es diferente del que cuenta Mateo 27:3-10.</w:t>
      </w:r>
    </w:p>
    <w:p w:rsidR="007421AB" w:rsidRDefault="007421AB" w:rsidP="007421AB">
      <w:pPr>
        <w:ind w:left="567"/>
        <w:rPr>
          <w:color w:val="000080"/>
          <w:sz w:val="22"/>
        </w:rPr>
      </w:pPr>
      <w:r>
        <w:rPr>
          <w:color w:val="000080"/>
          <w:sz w:val="22"/>
        </w:rPr>
        <w:t xml:space="preserve">En el relato del evangelio, podemos notar que Mateo se equivoco dos veces en una misma cita: (1) “Así se cumplió lo dicho por el profeta Jeremías”. </w:t>
      </w:r>
      <w:r>
        <w:rPr>
          <w:b/>
          <w:bCs/>
          <w:color w:val="000080"/>
          <w:sz w:val="22"/>
        </w:rPr>
        <w:t>No era Jeremías, sino Zacarías</w:t>
      </w:r>
      <w:r>
        <w:rPr>
          <w:color w:val="000080"/>
          <w:sz w:val="22"/>
        </w:rPr>
        <w:t xml:space="preserve"> (Zacarías 11:12-13) (2) La expresión “como ordeno el Señor” es un agregado que no esta en Zacarías.</w:t>
      </w:r>
    </w:p>
    <w:p w:rsidR="007421AB" w:rsidRDefault="007421AB" w:rsidP="007421AB">
      <w:pPr>
        <w:pStyle w:val="Sangra2detindependiente"/>
        <w:tabs>
          <w:tab w:val="left" w:pos="1530"/>
        </w:tabs>
        <w:rPr>
          <w:rFonts w:ascii="Trebuchet MS" w:hAnsi="Trebuchet MS"/>
          <w:color w:val="000080"/>
        </w:rPr>
      </w:pPr>
      <w:r>
        <w:rPr>
          <w:rFonts w:ascii="Trebuchet MS" w:hAnsi="Trebuchet MS"/>
          <w:color w:val="000080"/>
        </w:rPr>
        <w:t>¿Cómo solucionamos esta dificultad? Ciertamente, la cosa por si misma muestra que se ha equivocado poniendo el nombre de Jeremías por el de Zacarías”. Lo más probable que Mateo se confundió. De esta equivocación sacamos dos conclusiones:</w:t>
      </w:r>
    </w:p>
    <w:p w:rsidR="007421AB" w:rsidRDefault="007421AB" w:rsidP="007421AB">
      <w:pPr>
        <w:numPr>
          <w:ilvl w:val="1"/>
          <w:numId w:val="9"/>
        </w:numPr>
        <w:tabs>
          <w:tab w:val="left" w:pos="1530"/>
        </w:tabs>
        <w:rPr>
          <w:color w:val="000080"/>
          <w:sz w:val="22"/>
        </w:rPr>
      </w:pPr>
      <w:r>
        <w:rPr>
          <w:color w:val="000080"/>
          <w:sz w:val="22"/>
        </w:rPr>
        <w:lastRenderedPageBreak/>
        <w:t>Dios no dictó la Biblia palabra por palabra. La obra de Dios es perfecta, su palabra es perfecta. El no puede equivocarse. Si decimos que dictó la Biblia,  con este pasaje estaremos diciendo que Dios se equivoco, y eso es imposible.</w:t>
      </w:r>
    </w:p>
    <w:p w:rsidR="007421AB" w:rsidRDefault="007421AB" w:rsidP="007421AB">
      <w:pPr>
        <w:numPr>
          <w:ilvl w:val="1"/>
          <w:numId w:val="9"/>
        </w:numPr>
        <w:tabs>
          <w:tab w:val="left" w:pos="1530"/>
        </w:tabs>
        <w:rPr>
          <w:color w:val="000080"/>
          <w:sz w:val="22"/>
        </w:rPr>
      </w:pPr>
      <w:r>
        <w:rPr>
          <w:color w:val="000080"/>
          <w:sz w:val="22"/>
        </w:rPr>
        <w:t>Dios empleó canales imperfectos. Si Mateo fuera perfecto, no se hubiera equivocado y seria como Dios. Pero él era como nosotros pero con menos ventajas: no tenia concordancia de la Biblia, ni diccionarios, ni computadoras para mencionar un versículo de manera exacta. Él dependía de su memoria que a veces le fallaba como en este caso, aun cuando había recibido un gran caudal de revelación divina.</w:t>
      </w:r>
    </w:p>
    <w:p w:rsidR="007421AB" w:rsidRDefault="007421AB" w:rsidP="007421AB">
      <w:pPr>
        <w:pStyle w:val="Textoindependiente3"/>
        <w:rPr>
          <w:color w:val="000080"/>
          <w:sz w:val="22"/>
        </w:rPr>
      </w:pPr>
      <w:r>
        <w:rPr>
          <w:color w:val="000080"/>
          <w:sz w:val="22"/>
        </w:rPr>
        <w:t xml:space="preserve"> Esta verdad nos anima mucho, porque Dios utilizó a Mateo para escribir su evangelio, y tuvo errores, Dios también nos puede utilizar a nosotros a pesar de nuestros errores.</w:t>
      </w:r>
    </w:p>
    <w:p w:rsidR="007421AB" w:rsidRDefault="007421AB" w:rsidP="007421AB">
      <w:pPr>
        <w:pStyle w:val="Textoindependiente3"/>
        <w:rPr>
          <w:color w:val="000080"/>
          <w:sz w:val="22"/>
        </w:rPr>
      </w:pPr>
    </w:p>
    <w:p w:rsidR="007421AB" w:rsidRDefault="007421AB" w:rsidP="007421AB">
      <w:pPr>
        <w:numPr>
          <w:ilvl w:val="0"/>
          <w:numId w:val="11"/>
        </w:numPr>
        <w:rPr>
          <w:b/>
          <w:bCs/>
          <w:color w:val="008080"/>
        </w:rPr>
      </w:pPr>
      <w:r>
        <w:rPr>
          <w:b/>
          <w:bCs/>
          <w:i w:val="0"/>
          <w:iCs w:val="0"/>
          <w:color w:val="008080"/>
        </w:rPr>
        <w:t>¿Esta bien echar suertes para elegir a un hermano en un cargo?</w:t>
      </w:r>
    </w:p>
    <w:p w:rsidR="007421AB" w:rsidRDefault="007421AB" w:rsidP="007421AB">
      <w:pPr>
        <w:pStyle w:val="Textoindependiente3"/>
        <w:rPr>
          <w:color w:val="008080"/>
          <w:szCs w:val="22"/>
        </w:rPr>
      </w:pPr>
    </w:p>
    <w:p w:rsidR="007421AB" w:rsidRPr="007421AB" w:rsidRDefault="007421AB" w:rsidP="007421AB">
      <w:pPr>
        <w:pStyle w:val="Ttulo1"/>
        <w:rPr>
          <w:color w:val="0000FF"/>
          <w:sz w:val="28"/>
        </w:rPr>
      </w:pPr>
      <w:r w:rsidRPr="007421AB">
        <w:rPr>
          <w:color w:val="0000FF"/>
          <w:sz w:val="28"/>
        </w:rPr>
        <w:t>Respuesta</w:t>
      </w:r>
    </w:p>
    <w:p w:rsidR="007421AB" w:rsidRDefault="007421AB" w:rsidP="007421AB">
      <w:pPr>
        <w:ind w:left="600" w:hanging="600"/>
        <w:rPr>
          <w:color w:val="000080"/>
          <w:sz w:val="22"/>
        </w:rPr>
      </w:pPr>
      <w:r>
        <w:rPr>
          <w:color w:val="000080"/>
          <w:sz w:val="22"/>
        </w:rPr>
        <w:t>4.1</w:t>
      </w:r>
      <w:r>
        <w:rPr>
          <w:color w:val="000080"/>
          <w:sz w:val="22"/>
        </w:rPr>
        <w:tab/>
        <w:t>Al surgir dos nombres para elegir el sucesor de Judas los discípulos hicieron dos cosas:</w:t>
      </w:r>
    </w:p>
    <w:p w:rsidR="007421AB" w:rsidRDefault="007421AB" w:rsidP="007421AB">
      <w:pPr>
        <w:numPr>
          <w:ilvl w:val="0"/>
          <w:numId w:val="12"/>
        </w:numPr>
        <w:rPr>
          <w:color w:val="000080"/>
          <w:sz w:val="22"/>
        </w:rPr>
      </w:pPr>
      <w:r>
        <w:rPr>
          <w:color w:val="000080"/>
          <w:sz w:val="22"/>
        </w:rPr>
        <w:t>Pidieron la dirección del Espíritu Santo para la decisión que tenían que tomar.</w:t>
      </w:r>
    </w:p>
    <w:p w:rsidR="007421AB" w:rsidRDefault="007421AB" w:rsidP="007421AB">
      <w:pPr>
        <w:numPr>
          <w:ilvl w:val="0"/>
          <w:numId w:val="12"/>
        </w:numPr>
        <w:rPr>
          <w:color w:val="000080"/>
          <w:sz w:val="22"/>
        </w:rPr>
      </w:pPr>
      <w:r>
        <w:rPr>
          <w:color w:val="000080"/>
          <w:sz w:val="22"/>
        </w:rPr>
        <w:t>“Y les echaron suertes, y la suerte cayo sobre Matías; y fue contado con los once apóstoles”.( 1:26 )</w:t>
      </w:r>
    </w:p>
    <w:p w:rsidR="007421AB" w:rsidRDefault="007421AB" w:rsidP="007421AB">
      <w:pPr>
        <w:ind w:left="567"/>
        <w:rPr>
          <w:color w:val="000080"/>
          <w:sz w:val="22"/>
        </w:rPr>
      </w:pPr>
    </w:p>
    <w:p w:rsidR="007421AB" w:rsidRDefault="007421AB" w:rsidP="007421AB">
      <w:pPr>
        <w:ind w:left="567"/>
        <w:rPr>
          <w:color w:val="000080"/>
          <w:sz w:val="22"/>
        </w:rPr>
      </w:pPr>
      <w:r>
        <w:rPr>
          <w:color w:val="000080"/>
          <w:sz w:val="22"/>
        </w:rPr>
        <w:t>Mientras Jesús estuvo con ellos, los discípulos jamás emplearon este medio, porque él los aconsejaba en todas las cosas; y que, después de Pentecostés, jamás recurrieron a el, porque el Espíritu de Dios los conducía a toda verdad</w:t>
      </w:r>
    </w:p>
    <w:p w:rsidR="007421AB" w:rsidRDefault="007421AB" w:rsidP="007421AB">
      <w:pPr>
        <w:ind w:left="567"/>
        <w:rPr>
          <w:color w:val="000080"/>
          <w:sz w:val="22"/>
        </w:rPr>
      </w:pPr>
    </w:p>
    <w:p w:rsidR="007421AB" w:rsidRDefault="007421AB" w:rsidP="007421AB">
      <w:pPr>
        <w:pStyle w:val="Textoindependiente3"/>
        <w:rPr>
          <w:color w:val="008080"/>
          <w:szCs w:val="22"/>
        </w:rPr>
      </w:pPr>
      <w:r>
        <w:rPr>
          <w:color w:val="000080"/>
          <w:sz w:val="22"/>
        </w:rPr>
        <w:t>El consejo aquí es este: no debemos hacer esto una costumbre sino como una excepción, porque en el Nuevo Testamento también es una excepción</w:t>
      </w:r>
    </w:p>
    <w:sectPr w:rsidR="007421AB" w:rsidSect="00B63528">
      <w:headerReference w:type="even" r:id="rId8"/>
      <w:headerReference w:type="default" r:id="rId9"/>
      <w:footerReference w:type="even" r:id="rId10"/>
      <w:footerReference w:type="default" r:id="rId11"/>
      <w:pgSz w:w="11907" w:h="16840" w:code="9"/>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449" w:rsidRDefault="007A4449" w:rsidP="00C87FB9">
      <w:r>
        <w:separator/>
      </w:r>
    </w:p>
  </w:endnote>
  <w:endnote w:type="continuationSeparator" w:id="0">
    <w:p w:rsidR="007A4449" w:rsidRDefault="007A4449" w:rsidP="00C87F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8D12FD">
    <w:pPr>
      <w:pStyle w:val="Piedepgina"/>
      <w:framePr w:wrap="around" w:vAnchor="text" w:hAnchor="margin" w:xAlign="right" w:y="1"/>
      <w:rPr>
        <w:rStyle w:val="Nmerodepgina"/>
      </w:rPr>
    </w:pPr>
    <w:r>
      <w:rPr>
        <w:rStyle w:val="Nmerodepgina"/>
      </w:rPr>
      <w:fldChar w:fldCharType="begin"/>
    </w:r>
    <w:r w:rsidR="00402ADB">
      <w:rPr>
        <w:rStyle w:val="Nmerodepgina"/>
      </w:rPr>
      <w:instrText xml:space="preserve">PAGE  </w:instrText>
    </w:r>
    <w:r>
      <w:rPr>
        <w:rStyle w:val="Nmerodepgina"/>
      </w:rPr>
      <w:fldChar w:fldCharType="end"/>
    </w:r>
  </w:p>
  <w:p w:rsidR="008D12FD" w:rsidRDefault="008D12FD">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B63528">
    <w:pPr>
      <w:pStyle w:val="Piedepgina"/>
      <w:ind w:right="360"/>
    </w:pPr>
    <w:r>
      <w:rPr>
        <w:rFonts w:asciiTheme="majorHAnsi" w:hAnsiTheme="majorHAnsi" w:cstheme="majorHAnsi"/>
        <w:color w:val="auto"/>
      </w:rPr>
      <w:t xml:space="preserve">Escuela Dominical Manantial de Vida </w:t>
    </w:r>
    <w:r>
      <w:rPr>
        <w:rFonts w:asciiTheme="majorHAnsi" w:hAnsiTheme="majorHAnsi" w:cstheme="majorHAnsi"/>
        <w:color w:val="auto"/>
      </w:rPr>
      <w:tab/>
      <w:t>AF2010</w:t>
    </w: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077EE2" w:rsidRPr="00077EE2">
        <w:rPr>
          <w:rFonts w:asciiTheme="majorHAnsi" w:hAnsiTheme="majorHAnsi" w:cstheme="majorHAnsi"/>
          <w:noProof/>
        </w:rPr>
        <w:t>3</w:t>
      </w:r>
    </w:fldSimple>
    <w:r w:rsidR="008D12FD" w:rsidRPr="008D12FD">
      <w:rPr>
        <w:noProof/>
        <w:lang w:val="es-ES" w:eastAsia="zh-TW"/>
      </w:rPr>
      <w:pict>
        <v:group id="_x0000_s2051" style="position:absolute;left:0;text-align:left;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8D12FD" w:rsidRPr="008D12FD">
      <w:rPr>
        <w:noProof/>
        <w:lang w:val="es-ES" w:eastAsia="zh-TW"/>
      </w:rPr>
      <w:pict>
        <v:rect id="_x0000_s2050" style="position:absolute;left:0;text-align:left;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8D12FD" w:rsidRPr="008D12FD">
      <w:rPr>
        <w:noProof/>
        <w:lang w:val="es-ES" w:eastAsia="zh-TW"/>
      </w:rPr>
      <w:pict>
        <v:rect id="_x0000_s2049" style="position:absolute;left:0;text-align:left;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449" w:rsidRDefault="007A4449" w:rsidP="00C87FB9">
      <w:r>
        <w:separator/>
      </w:r>
    </w:p>
  </w:footnote>
  <w:footnote w:type="continuationSeparator" w:id="0">
    <w:p w:rsidR="007A4449" w:rsidRDefault="007A4449" w:rsidP="00C87F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8D12FD">
    <w:pPr>
      <w:pStyle w:val="Encabezado"/>
      <w:framePr w:wrap="around" w:vAnchor="text" w:hAnchor="margin" w:xAlign="right" w:y="1"/>
      <w:rPr>
        <w:rStyle w:val="Nmerodepgina"/>
      </w:rPr>
    </w:pPr>
    <w:r>
      <w:rPr>
        <w:rStyle w:val="Nmerodepgina"/>
      </w:rPr>
      <w:fldChar w:fldCharType="begin"/>
    </w:r>
    <w:r w:rsidR="00402ADB">
      <w:rPr>
        <w:rStyle w:val="Nmerodepgina"/>
      </w:rPr>
      <w:instrText xml:space="preserve">PAGE  </w:instrText>
    </w:r>
    <w:r>
      <w:rPr>
        <w:rStyle w:val="Nmerodepgina"/>
      </w:rPr>
      <w:fldChar w:fldCharType="end"/>
    </w:r>
  </w:p>
  <w:p w:rsidR="008D12FD" w:rsidRDefault="008D12FD">
    <w:pPr>
      <w:pStyle w:val="Encabezado"/>
      <w:ind w:right="360"/>
    </w:pPr>
  </w:p>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8D12FD">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F58"/>
    <w:multiLevelType w:val="hybridMultilevel"/>
    <w:tmpl w:val="CD60700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45A222C"/>
    <w:multiLevelType w:val="multilevel"/>
    <w:tmpl w:val="33AA8B16"/>
    <w:lvl w:ilvl="0">
      <w:start w:val="1"/>
      <w:numFmt w:val="decimal"/>
      <w:lvlText w:val="%1"/>
      <w:lvlJc w:val="left"/>
      <w:pPr>
        <w:tabs>
          <w:tab w:val="num" w:pos="705"/>
        </w:tabs>
        <w:ind w:left="705" w:hanging="705"/>
      </w:pPr>
      <w:rPr>
        <w:i w:val="0"/>
      </w:rPr>
    </w:lvl>
    <w:lvl w:ilvl="1">
      <w:start w:val="1"/>
      <w:numFmt w:val="decimal"/>
      <w:lvlText w:val="%1.%2"/>
      <w:lvlJc w:val="left"/>
      <w:pPr>
        <w:tabs>
          <w:tab w:val="num" w:pos="1413"/>
        </w:tabs>
        <w:ind w:left="1413" w:hanging="705"/>
      </w:pPr>
      <w:rPr>
        <w:i w:val="0"/>
      </w:rPr>
    </w:lvl>
    <w:lvl w:ilvl="2">
      <w:start w:val="1"/>
      <w:numFmt w:val="decimal"/>
      <w:lvlText w:val="%1.%2.%3"/>
      <w:lvlJc w:val="left"/>
      <w:pPr>
        <w:tabs>
          <w:tab w:val="num" w:pos="2136"/>
        </w:tabs>
        <w:ind w:left="2136" w:hanging="720"/>
      </w:pPr>
      <w:rPr>
        <w:i w:val="0"/>
      </w:rPr>
    </w:lvl>
    <w:lvl w:ilvl="3">
      <w:start w:val="1"/>
      <w:numFmt w:val="decimal"/>
      <w:lvlText w:val="%1.%2.%3.%4"/>
      <w:lvlJc w:val="left"/>
      <w:pPr>
        <w:tabs>
          <w:tab w:val="num" w:pos="2844"/>
        </w:tabs>
        <w:ind w:left="2844" w:hanging="720"/>
      </w:pPr>
      <w:rPr>
        <w:i w:val="0"/>
      </w:rPr>
    </w:lvl>
    <w:lvl w:ilvl="4">
      <w:start w:val="1"/>
      <w:numFmt w:val="decimal"/>
      <w:lvlText w:val="%1.%2.%3.%4.%5"/>
      <w:lvlJc w:val="left"/>
      <w:pPr>
        <w:tabs>
          <w:tab w:val="num" w:pos="3912"/>
        </w:tabs>
        <w:ind w:left="3912" w:hanging="1080"/>
      </w:pPr>
      <w:rPr>
        <w:i w:val="0"/>
      </w:rPr>
    </w:lvl>
    <w:lvl w:ilvl="5">
      <w:start w:val="1"/>
      <w:numFmt w:val="decimal"/>
      <w:lvlText w:val="%1.%2.%3.%4.%5.%6"/>
      <w:lvlJc w:val="left"/>
      <w:pPr>
        <w:tabs>
          <w:tab w:val="num" w:pos="4620"/>
        </w:tabs>
        <w:ind w:left="4620" w:hanging="1080"/>
      </w:pPr>
      <w:rPr>
        <w:i w:val="0"/>
      </w:rPr>
    </w:lvl>
    <w:lvl w:ilvl="6">
      <w:start w:val="1"/>
      <w:numFmt w:val="decimal"/>
      <w:lvlText w:val="%1.%2.%3.%4.%5.%6.%7"/>
      <w:lvlJc w:val="left"/>
      <w:pPr>
        <w:tabs>
          <w:tab w:val="num" w:pos="5688"/>
        </w:tabs>
        <w:ind w:left="5688" w:hanging="1440"/>
      </w:pPr>
      <w:rPr>
        <w:i w:val="0"/>
      </w:rPr>
    </w:lvl>
    <w:lvl w:ilvl="7">
      <w:start w:val="1"/>
      <w:numFmt w:val="decimal"/>
      <w:lvlText w:val="%1.%2.%3.%4.%5.%6.%7.%8"/>
      <w:lvlJc w:val="left"/>
      <w:pPr>
        <w:tabs>
          <w:tab w:val="num" w:pos="6396"/>
        </w:tabs>
        <w:ind w:left="6396" w:hanging="1440"/>
      </w:pPr>
      <w:rPr>
        <w:i w:val="0"/>
      </w:rPr>
    </w:lvl>
    <w:lvl w:ilvl="8">
      <w:start w:val="1"/>
      <w:numFmt w:val="decimal"/>
      <w:lvlText w:val="%1.%2.%3.%4.%5.%6.%7.%8.%9"/>
      <w:lvlJc w:val="left"/>
      <w:pPr>
        <w:tabs>
          <w:tab w:val="num" w:pos="7464"/>
        </w:tabs>
        <w:ind w:left="7464" w:hanging="1800"/>
      </w:pPr>
      <w:rPr>
        <w:i w:val="0"/>
      </w:rPr>
    </w:lvl>
  </w:abstractNum>
  <w:abstractNum w:abstractNumId="2">
    <w:nsid w:val="159B0304"/>
    <w:multiLevelType w:val="hybridMultilevel"/>
    <w:tmpl w:val="9D0C7BF4"/>
    <w:lvl w:ilvl="0" w:tplc="7398EB5A">
      <w:start w:val="1"/>
      <w:numFmt w:val="decimal"/>
      <w:lvlText w:val="%1)"/>
      <w:lvlJc w:val="left"/>
      <w:pPr>
        <w:tabs>
          <w:tab w:val="num" w:pos="1021"/>
        </w:tabs>
        <w:ind w:left="1021" w:hanging="454"/>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30491E13"/>
    <w:multiLevelType w:val="multilevel"/>
    <w:tmpl w:val="CB0631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84E35C9"/>
    <w:multiLevelType w:val="multilevel"/>
    <w:tmpl w:val="36C2334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964"/>
        </w:tabs>
        <w:ind w:left="964" w:hanging="964"/>
      </w:pPr>
      <w:rPr>
        <w:rFonts w:ascii="Trebuchet MS" w:hAnsi="Trebuchet MS" w:hint="default"/>
        <w:b/>
        <w:i w:val="0"/>
        <w:sz w:val="24"/>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5">
    <w:nsid w:val="471B1251"/>
    <w:multiLevelType w:val="multilevel"/>
    <w:tmpl w:val="3BE04E00"/>
    <w:lvl w:ilvl="0">
      <w:start w:val="1"/>
      <w:numFmt w:val="none"/>
      <w:lvlText w:val="4.1"/>
      <w:lvlJc w:val="left"/>
      <w:pPr>
        <w:tabs>
          <w:tab w:val="num" w:pos="1474"/>
        </w:tabs>
        <w:ind w:left="1474" w:hanging="907"/>
      </w:pPr>
    </w:lvl>
    <w:lvl w:ilvl="1">
      <w:start w:val="1"/>
      <w:numFmt w:val="decimal"/>
      <w:lvlText w:val="%1.%2"/>
      <w:lvlJc w:val="left"/>
      <w:pPr>
        <w:tabs>
          <w:tab w:val="num" w:pos="927"/>
        </w:tabs>
        <w:ind w:left="907" w:hanging="340"/>
      </w:pPr>
      <w:rPr>
        <w:rFonts w:ascii="Times New Roman" w:hAnsi="Times New Roman" w:cs="Times New Roman" w:hint="default"/>
        <w:b/>
        <w:i w:val="0"/>
        <w:sz w:val="24"/>
      </w:rPr>
    </w:lvl>
    <w:lvl w:ilvl="2">
      <w:start w:val="1"/>
      <w:numFmt w:val="decimal"/>
      <w:lvlText w:val="%1.%2.%3"/>
      <w:lvlJc w:val="left"/>
      <w:pPr>
        <w:tabs>
          <w:tab w:val="num" w:pos="2122"/>
        </w:tabs>
        <w:ind w:left="2122" w:hanging="720"/>
      </w:pPr>
    </w:lvl>
    <w:lvl w:ilvl="3">
      <w:start w:val="1"/>
      <w:numFmt w:val="decimal"/>
      <w:lvlText w:val="%1.%2.%3.%4"/>
      <w:lvlJc w:val="left"/>
      <w:pPr>
        <w:tabs>
          <w:tab w:val="num" w:pos="2823"/>
        </w:tabs>
        <w:ind w:left="2823" w:hanging="720"/>
      </w:pPr>
    </w:lvl>
    <w:lvl w:ilvl="4">
      <w:start w:val="1"/>
      <w:numFmt w:val="decimal"/>
      <w:lvlText w:val="%1.%2.%3.%4.%5"/>
      <w:lvlJc w:val="left"/>
      <w:pPr>
        <w:tabs>
          <w:tab w:val="num" w:pos="3884"/>
        </w:tabs>
        <w:ind w:left="3884" w:hanging="1080"/>
      </w:pPr>
    </w:lvl>
    <w:lvl w:ilvl="5">
      <w:start w:val="1"/>
      <w:numFmt w:val="decimal"/>
      <w:lvlText w:val="%1.%2.%3.%4.%5.%6"/>
      <w:lvlJc w:val="left"/>
      <w:pPr>
        <w:tabs>
          <w:tab w:val="num" w:pos="4585"/>
        </w:tabs>
        <w:ind w:left="4585" w:hanging="1080"/>
      </w:pPr>
    </w:lvl>
    <w:lvl w:ilvl="6">
      <w:start w:val="1"/>
      <w:numFmt w:val="decimal"/>
      <w:lvlText w:val="%1.%2.%3.%4.%5.%6.%7"/>
      <w:lvlJc w:val="left"/>
      <w:pPr>
        <w:tabs>
          <w:tab w:val="num" w:pos="5646"/>
        </w:tabs>
        <w:ind w:left="5646" w:hanging="1440"/>
      </w:pPr>
    </w:lvl>
    <w:lvl w:ilvl="7">
      <w:start w:val="1"/>
      <w:numFmt w:val="decimal"/>
      <w:lvlText w:val="%1.%2.%3.%4.%5.%6.%7.%8"/>
      <w:lvlJc w:val="left"/>
      <w:pPr>
        <w:tabs>
          <w:tab w:val="num" w:pos="6347"/>
        </w:tabs>
        <w:ind w:left="6347" w:hanging="1440"/>
      </w:pPr>
    </w:lvl>
    <w:lvl w:ilvl="8">
      <w:start w:val="1"/>
      <w:numFmt w:val="decimal"/>
      <w:lvlText w:val="%1.%2.%3.%4.%5.%6.%7.%8.%9"/>
      <w:lvlJc w:val="left"/>
      <w:pPr>
        <w:tabs>
          <w:tab w:val="num" w:pos="7408"/>
        </w:tabs>
        <w:ind w:left="7408" w:hanging="1800"/>
      </w:pPr>
    </w:lvl>
  </w:abstractNum>
  <w:abstractNum w:abstractNumId="6">
    <w:nsid w:val="518109EA"/>
    <w:multiLevelType w:val="multilevel"/>
    <w:tmpl w:val="76622B8E"/>
    <w:lvl w:ilvl="0">
      <w:start w:val="1"/>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31A2096"/>
    <w:multiLevelType w:val="hybridMultilevel"/>
    <w:tmpl w:val="9EE41656"/>
    <w:lvl w:ilvl="0" w:tplc="31CA6E6A">
      <w:start w:val="1"/>
      <w:numFmt w:val="decimal"/>
      <w:lvlText w:val="%1)"/>
      <w:lvlJc w:val="left"/>
      <w:pPr>
        <w:tabs>
          <w:tab w:val="num" w:pos="1021"/>
        </w:tabs>
        <w:ind w:left="1021" w:hanging="454"/>
      </w:pPr>
    </w:lvl>
    <w:lvl w:ilvl="1" w:tplc="865A8A78">
      <w:start w:val="1"/>
      <w:numFmt w:val="decimal"/>
      <w:lvlText w:val="(%2)"/>
      <w:lvlJc w:val="left"/>
      <w:pPr>
        <w:tabs>
          <w:tab w:val="num" w:pos="927"/>
        </w:tabs>
        <w:ind w:left="907" w:hanging="34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nsid w:val="6E840156"/>
    <w:multiLevelType w:val="multilevel"/>
    <w:tmpl w:val="224AC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3DB65D9"/>
    <w:multiLevelType w:val="multilevel"/>
    <w:tmpl w:val="06567D04"/>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76113735"/>
    <w:multiLevelType w:val="hybridMultilevel"/>
    <w:tmpl w:val="43684E40"/>
    <w:lvl w:ilvl="0" w:tplc="7C22B59C">
      <w:start w:val="1"/>
      <w:numFmt w:val="lowerLetter"/>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CEB1631"/>
    <w:multiLevelType w:val="multilevel"/>
    <w:tmpl w:val="FF980C26"/>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9"/>
  </w:num>
  <w:num w:numId="3">
    <w:abstractNumId w:val="4"/>
  </w:num>
  <w:num w:numId="4">
    <w:abstractNumId w:val="11"/>
  </w:num>
  <w:num w:numId="5">
    <w:abstractNumId w:val="3"/>
  </w:num>
  <w:num w:numId="6">
    <w:abstractNumId w:val="8"/>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hyphenationZone w:val="425"/>
  <w:drawingGridHorizontalSpacing w:val="100"/>
  <w:displayHorizontalDrawingGridEvery w:val="2"/>
  <w:noPunctuationKerning/>
  <w:characterSpacingControl w:val="doNotCompress"/>
  <w:hdrShapeDefaults>
    <o:shapedefaults v:ext="edit" spidmax="5122">
      <o:colormenu v:ext="edit" fillcolor="gray" strokecolor="white"/>
    </o:shapedefaults>
    <o:shapelayout v:ext="edit">
      <o:idmap v:ext="edit" data="2"/>
      <o:rules v:ext="edit">
        <o:r id="V:Rule2" type="connector" idref="#_x0000_s2052"/>
      </o:rules>
    </o:shapelayout>
  </w:hdrShapeDefaults>
  <w:footnotePr>
    <w:footnote w:id="-1"/>
    <w:footnote w:id="0"/>
  </w:footnotePr>
  <w:endnotePr>
    <w:endnote w:id="-1"/>
    <w:endnote w:id="0"/>
  </w:endnotePr>
  <w:compat/>
  <w:rsids>
    <w:rsidRoot w:val="00360BAD"/>
    <w:rsid w:val="00077EE2"/>
    <w:rsid w:val="00360BAD"/>
    <w:rsid w:val="00402ADB"/>
    <w:rsid w:val="007421AB"/>
    <w:rsid w:val="007A4449"/>
    <w:rsid w:val="008D12FD"/>
    <w:rsid w:val="00B6352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gray"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D12FD"/>
    <w:pPr>
      <w:jc w:val="both"/>
    </w:pPr>
    <w:rPr>
      <w:rFonts w:ascii="Trebuchet MS" w:hAnsi="Trebuchet MS"/>
      <w:i/>
      <w:iCs/>
      <w:color w:val="000000"/>
      <w:szCs w:val="24"/>
      <w:lang w:eastAsia="en-US"/>
    </w:rPr>
  </w:style>
  <w:style w:type="paragraph" w:styleId="Ttulo1">
    <w:name w:val="heading 1"/>
    <w:basedOn w:val="Normal"/>
    <w:next w:val="Normal"/>
    <w:qFormat/>
    <w:rsid w:val="008D12FD"/>
    <w:pPr>
      <w:keepNext/>
      <w:spacing w:before="240" w:after="60"/>
      <w:outlineLvl w:val="0"/>
    </w:pPr>
    <w:rPr>
      <w:rFonts w:cs="Arial"/>
      <w:bCs/>
      <w:color w:val="000066"/>
      <w:kern w:val="32"/>
      <w:sz w:val="48"/>
      <w:szCs w:val="48"/>
    </w:rPr>
  </w:style>
  <w:style w:type="paragraph" w:styleId="Ttulo2">
    <w:name w:val="heading 2"/>
    <w:basedOn w:val="Normal"/>
    <w:next w:val="Normal"/>
    <w:qFormat/>
    <w:rsid w:val="008D12FD"/>
    <w:pPr>
      <w:keepNext/>
      <w:outlineLvl w:val="1"/>
    </w:pPr>
    <w:rPr>
      <w:bCs/>
      <w:color w:val="333399"/>
      <w:sz w:val="30"/>
      <w:szCs w:val="36"/>
    </w:rPr>
  </w:style>
  <w:style w:type="paragraph" w:styleId="Ttulo3">
    <w:name w:val="heading 3"/>
    <w:basedOn w:val="Normal"/>
    <w:next w:val="Normal"/>
    <w:qFormat/>
    <w:rsid w:val="008D12FD"/>
    <w:pPr>
      <w:keepNext/>
      <w:spacing w:before="240" w:after="60"/>
      <w:outlineLvl w:val="2"/>
    </w:pPr>
    <w:rPr>
      <w:rFonts w:cs="Arial"/>
      <w:bCs/>
      <w:color w:val="666666"/>
      <w:sz w:val="24"/>
      <w:szCs w:val="28"/>
    </w:rPr>
  </w:style>
  <w:style w:type="paragraph" w:styleId="Ttulo4">
    <w:name w:val="heading 4"/>
    <w:basedOn w:val="Normal"/>
    <w:next w:val="Normal"/>
    <w:qFormat/>
    <w:rsid w:val="008D12FD"/>
    <w:pPr>
      <w:keepNext/>
      <w:spacing w:before="240" w:after="60"/>
      <w:outlineLvl w:val="3"/>
    </w:pPr>
    <w:rPr>
      <w:bCs/>
      <w:color w:val="000066"/>
    </w:rPr>
  </w:style>
  <w:style w:type="paragraph" w:styleId="Ttulo5">
    <w:name w:val="heading 5"/>
    <w:basedOn w:val="Normal"/>
    <w:next w:val="Normal"/>
    <w:qFormat/>
    <w:rsid w:val="008D12FD"/>
    <w:pPr>
      <w:spacing w:before="240" w:after="60"/>
      <w:outlineLvl w:val="4"/>
    </w:pPr>
    <w:rPr>
      <w:bCs/>
      <w:iCs w:val="0"/>
      <w:color w:val="333399"/>
      <w:szCs w:val="20"/>
    </w:rPr>
  </w:style>
  <w:style w:type="paragraph" w:styleId="Ttulo6">
    <w:name w:val="heading 6"/>
    <w:basedOn w:val="Normal"/>
    <w:next w:val="Normal"/>
    <w:qFormat/>
    <w:rsid w:val="008D12FD"/>
    <w:pPr>
      <w:spacing w:before="240" w:after="60"/>
      <w:outlineLvl w:val="5"/>
    </w:pPr>
    <w:rPr>
      <w:bCs/>
      <w:color w:val="666666"/>
      <w:sz w:val="16"/>
      <w:szCs w:val="16"/>
    </w:rPr>
  </w:style>
  <w:style w:type="paragraph" w:styleId="Ttulo7">
    <w:name w:val="heading 7"/>
    <w:basedOn w:val="Normal"/>
    <w:next w:val="Normal"/>
    <w:qFormat/>
    <w:rsid w:val="008D12FD"/>
    <w:pPr>
      <w:keepNext/>
      <w:framePr w:hSpace="141" w:wrap="around" w:vAnchor="text" w:hAnchor="page" w:x="1308" w:y="76"/>
      <w:pBdr>
        <w:top w:val="single" w:sz="6" w:space="1" w:color="auto"/>
        <w:left w:val="single" w:sz="6" w:space="1" w:color="auto"/>
        <w:bottom w:val="single" w:sz="6" w:space="1" w:color="auto"/>
        <w:right w:val="single" w:sz="6" w:space="1" w:color="auto"/>
      </w:pBdr>
      <w:outlineLvl w:val="6"/>
    </w:pPr>
  </w:style>
  <w:style w:type="paragraph" w:styleId="Ttulo8">
    <w:name w:val="heading 8"/>
    <w:basedOn w:val="Normal"/>
    <w:next w:val="Normal"/>
    <w:qFormat/>
    <w:rsid w:val="008D12FD"/>
    <w:pPr>
      <w:keepNext/>
      <w:outlineLvl w:val="7"/>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8D12FD"/>
    <w:pPr>
      <w:tabs>
        <w:tab w:val="center" w:pos="4320"/>
        <w:tab w:val="right" w:pos="8640"/>
      </w:tabs>
    </w:pPr>
  </w:style>
  <w:style w:type="character" w:styleId="Nmerodepgina">
    <w:name w:val="page number"/>
    <w:basedOn w:val="Fuentedeprrafopredeter"/>
    <w:semiHidden/>
    <w:rsid w:val="008D12FD"/>
  </w:style>
  <w:style w:type="paragraph" w:styleId="Textoindependiente">
    <w:name w:val="Body Text"/>
    <w:basedOn w:val="Normal"/>
    <w:semiHidden/>
    <w:rsid w:val="008D12FD"/>
    <w:pPr>
      <w:framePr w:w="2358" w:hSpace="141" w:wrap="around" w:vAnchor="text" w:hAnchor="page" w:x="516" w:y="172"/>
      <w:jc w:val="left"/>
    </w:pPr>
    <w:rPr>
      <w:rFonts w:ascii="Berlin Sans FB" w:hAnsi="Berlin Sans FB"/>
      <w:sz w:val="22"/>
    </w:rPr>
  </w:style>
  <w:style w:type="paragraph" w:styleId="Textoindependiente2">
    <w:name w:val="Body Text 2"/>
    <w:basedOn w:val="Normal"/>
    <w:next w:val="Ttulo4"/>
    <w:autoRedefine/>
    <w:semiHidden/>
    <w:rsid w:val="008D12FD"/>
    <w:pPr>
      <w:framePr w:hSpace="141" w:wrap="around" w:vAnchor="text" w:hAnchor="text" w:y="1"/>
      <w:pBdr>
        <w:top w:val="single" w:sz="6" w:space="1" w:color="auto"/>
        <w:left w:val="single" w:sz="6" w:space="1" w:color="auto"/>
        <w:bottom w:val="single" w:sz="6" w:space="1" w:color="auto"/>
        <w:right w:val="single" w:sz="6" w:space="1" w:color="auto"/>
      </w:pBdr>
      <w:shd w:val="clear" w:color="auto" w:fill="C0C0C0"/>
      <w:tabs>
        <w:tab w:val="left" w:pos="6660"/>
      </w:tabs>
      <w:jc w:val="center"/>
    </w:pPr>
    <w:rPr>
      <w:rFonts w:ascii="Arial Black" w:hAnsi="Arial Black"/>
      <w:b/>
      <w:bCs/>
      <w:sz w:val="144"/>
    </w:rPr>
  </w:style>
  <w:style w:type="paragraph" w:styleId="Textoindependiente3">
    <w:name w:val="Body Text 3"/>
    <w:basedOn w:val="Normal"/>
    <w:semiHidden/>
    <w:rsid w:val="008D12FD"/>
    <w:rPr>
      <w:i w:val="0"/>
      <w:iCs w:val="0"/>
    </w:rPr>
  </w:style>
  <w:style w:type="character" w:styleId="Hipervnculo">
    <w:name w:val="Hyperlink"/>
    <w:basedOn w:val="Fuentedeprrafopredeter"/>
    <w:semiHidden/>
    <w:rsid w:val="008D12FD"/>
    <w:rPr>
      <w:color w:val="3366CC"/>
      <w:sz w:val="36"/>
      <w:u w:val="single"/>
    </w:rPr>
  </w:style>
  <w:style w:type="character" w:styleId="Hipervnculovisitado">
    <w:name w:val="FollowedHyperlink"/>
    <w:basedOn w:val="Fuentedeprrafopredeter"/>
    <w:semiHidden/>
    <w:rsid w:val="008D12FD"/>
    <w:rPr>
      <w:color w:val="666666"/>
      <w:sz w:val="36"/>
      <w:u w:val="single"/>
    </w:rPr>
  </w:style>
  <w:style w:type="paragraph" w:styleId="Lista">
    <w:name w:val="List"/>
    <w:basedOn w:val="Normal"/>
    <w:semiHidden/>
    <w:rsid w:val="008D12FD"/>
    <w:pPr>
      <w:ind w:left="283" w:hanging="283"/>
    </w:pPr>
    <w:rPr>
      <w:rFonts w:ascii="Times New Roman" w:hAnsi="Times New Roman"/>
      <w:color w:val="auto"/>
      <w:sz w:val="24"/>
    </w:rPr>
  </w:style>
  <w:style w:type="paragraph" w:customStyle="1" w:styleId="Estilo1">
    <w:name w:val="Estilo1"/>
    <w:basedOn w:val="Textoindependiente2"/>
    <w:autoRedefine/>
    <w:rsid w:val="008D12FD"/>
    <w:pPr>
      <w:framePr w:w="2857" w:wrap="around" w:vAnchor="margin" w:hAnchor="page" w:x="7731" w:y="-173"/>
      <w:pBdr>
        <w:top w:val="none" w:sz="0" w:space="0" w:color="auto"/>
        <w:left w:val="none" w:sz="0" w:space="0" w:color="auto"/>
        <w:bottom w:val="none" w:sz="0" w:space="0" w:color="auto"/>
        <w:right w:val="none" w:sz="0" w:space="0" w:color="auto"/>
      </w:pBdr>
    </w:pPr>
    <w:rPr>
      <w:i w:val="0"/>
      <w:iCs w:val="0"/>
    </w:rPr>
  </w:style>
  <w:style w:type="paragraph" w:styleId="Lista2">
    <w:name w:val="List 2"/>
    <w:basedOn w:val="Normal"/>
    <w:semiHidden/>
    <w:rsid w:val="008D12FD"/>
    <w:pPr>
      <w:ind w:left="566" w:hanging="283"/>
    </w:pPr>
    <w:rPr>
      <w:rFonts w:ascii="Times New Roman" w:hAnsi="Times New Roman"/>
      <w:color w:val="auto"/>
      <w:sz w:val="24"/>
    </w:rPr>
  </w:style>
  <w:style w:type="paragraph" w:styleId="Continuarlista">
    <w:name w:val="List Continue"/>
    <w:basedOn w:val="Normal"/>
    <w:semiHidden/>
    <w:rsid w:val="008D12FD"/>
    <w:pPr>
      <w:spacing w:after="120"/>
      <w:ind w:left="283"/>
    </w:pPr>
    <w:rPr>
      <w:rFonts w:ascii="Times New Roman" w:hAnsi="Times New Roman"/>
      <w:color w:val="auto"/>
      <w:sz w:val="24"/>
    </w:rPr>
  </w:style>
  <w:style w:type="paragraph" w:styleId="Sangradetextonormal">
    <w:name w:val="Body Text Indent"/>
    <w:basedOn w:val="Normal"/>
    <w:semiHidden/>
    <w:rsid w:val="008D12FD"/>
    <w:pPr>
      <w:jc w:val="left"/>
    </w:pPr>
    <w:rPr>
      <w:rFonts w:ascii="Helvetica" w:hAnsi="Helvetica"/>
      <w:noProof/>
      <w:color w:val="auto"/>
      <w:sz w:val="22"/>
    </w:rPr>
  </w:style>
  <w:style w:type="paragraph" w:styleId="Piedepgina">
    <w:name w:val="footer"/>
    <w:basedOn w:val="Normal"/>
    <w:semiHidden/>
    <w:rsid w:val="008D12FD"/>
    <w:pPr>
      <w:tabs>
        <w:tab w:val="center" w:pos="4252"/>
        <w:tab w:val="right" w:pos="8504"/>
      </w:tabs>
    </w:pPr>
  </w:style>
  <w:style w:type="paragraph" w:styleId="Sangra2detindependiente">
    <w:name w:val="Body Text Indent 2"/>
    <w:basedOn w:val="Normal"/>
    <w:semiHidden/>
    <w:rsid w:val="008D12FD"/>
    <w:pPr>
      <w:ind w:left="720"/>
    </w:pPr>
    <w:rPr>
      <w:rFonts w:ascii="Times New Roman" w:hAnsi="Times New Roman"/>
      <w:color w:val="auto"/>
      <w:sz w:val="22"/>
    </w:rPr>
  </w:style>
  <w:style w:type="paragraph" w:styleId="Sangra3detindependiente">
    <w:name w:val="Body Text Indent 3"/>
    <w:basedOn w:val="Normal"/>
    <w:semiHidden/>
    <w:rsid w:val="008D12FD"/>
    <w:pPr>
      <w:pBdr>
        <w:top w:val="single" w:sz="48" w:space="1" w:color="C0C0C0"/>
        <w:left w:val="single" w:sz="48" w:space="4" w:color="C0C0C0"/>
        <w:bottom w:val="single" w:sz="48" w:space="1" w:color="C0C0C0"/>
        <w:right w:val="single" w:sz="48" w:space="4" w:color="C0C0C0"/>
      </w:pBdr>
      <w:ind w:firstLine="540"/>
    </w:pPr>
    <w:rPr>
      <w:rFonts w:ascii="Times New Roman" w:hAnsi="Times New Roman"/>
      <w:color w:val="auto"/>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1037</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ESTUDIOS SOBRE</vt:lpstr>
    </vt:vector>
  </TitlesOfParts>
  <Company/>
  <LinksUpToDate>false</LinksUpToDate>
  <CharactersWithSpaces>6733</CharactersWithSpaces>
  <SharedDoc>false</SharedDoc>
  <HLinks>
    <vt:vector size="6" baseType="variant">
      <vt:variant>
        <vt:i4>2293795</vt:i4>
      </vt:variant>
      <vt:variant>
        <vt:i4>-1</vt:i4>
      </vt:variant>
      <vt:variant>
        <vt:i4>1025</vt:i4>
      </vt:variant>
      <vt:variant>
        <vt:i4>0</vt:i4>
      </vt:variant>
      <vt:variant>
        <vt:lpwstr>c:\Archivos de programa\Archivos comunes\Microsoft Shared\Themes\indust\indtextb.jpg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SOBRE</dc:title>
  <dc:creator>Alberto Prokopchuk</dc:creator>
  <cp:lastModifiedBy>Adrian</cp:lastModifiedBy>
  <cp:revision>4</cp:revision>
  <cp:lastPrinted>2003-09-10T14:07:00Z</cp:lastPrinted>
  <dcterms:created xsi:type="dcterms:W3CDTF">2010-03-20T17:21:00Z</dcterms:created>
  <dcterms:modified xsi:type="dcterms:W3CDTF">2010-03-27T23:34:00Z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indust 011</vt:lpwstr>
  </property>
</Properties>
</file>