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444C8"/>
          <w:sz w:val="52"/>
        </w:rPr>
        <w:t>TERMOS DE REFERÊNCIA</w:t>
      </w:r>
    </w:p>
    <w:p>
      <w:pPr>
        <w:spacing w:after="80"/>
      </w:pPr>
      <w:r>
        <w:rPr>
          <w:b/>
          <w:i w:val="0"/>
          <w:color w:val="12163A"/>
          <w:sz w:val="30"/>
        </w:rPr>
        <w:t>Plataforma Bué de Mestres — conclusão até piloto</w:t>
      </w:r>
    </w:p>
    <w:p>
      <w:pPr>
        <w:spacing w:after="160"/>
      </w:pPr>
      <w:r>
        <w:rPr>
          <w:b w:val="0"/>
          <w:i w:val="0"/>
          <w:color w:val="5B6472"/>
          <w:sz w:val="23"/>
        </w:rPr>
        <w:t>Documento de especificação de âmbito, requisitos, entregáveis e critérios de aceitação</w:t>
      </w:r>
    </w:p>
    <w:p>
      <w:pPr>
        <w:spacing w:after="240"/>
      </w:pPr>
      <w:r>
        <w:rPr>
          <w:b w:val="0"/>
          <w:i w:val="0"/>
          <w:color w:val="5B6472"/>
          <w:sz w:val="19"/>
        </w:rPr>
        <w:t>Versão 1.0 · Outubro 2026 · Elaborado a partir da análise do código-fonte e da documentação existente</w:t>
      </w:r>
    </w:p>
    <w:p>
      <w:pPr>
        <w:spacing w:after="120"/>
      </w:pPr>
      <w:r>
        <w:rPr>
          <w:b/>
          <w:i w:val="0"/>
          <w:color w:val="2444C8"/>
          <w:sz w:val="20"/>
        </w:rPr>
        <w:t>Nota: este documento traduz o estado real do projecto (fases 0–4 concluídas, pendências identificadas) em ToR executáveis. Montantes e datas exactas são fixados em contrato; aqui ficam âmbito, requisitos e critérios objectivos de aceitação.</w:t>
      </w:r>
    </w:p>
    <w:p>
      <w:pPr>
        <w:pStyle w:val="Heading1"/>
      </w:pPr>
      <w:r>
        <w:t>1. Identificação e enquadramento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768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Projecto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Bué de Mestres — marketplace de prestadores de serviços em Moçambique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8"/>
              </w:rPr>
              <w:t>Entidade promotora</w:t>
            </w:r>
          </w:p>
        </w:tc>
        <w:tc>
          <w:tcPr>
            <w:tcW w:type="dxa" w:w="6768"/>
            <w:shd w:val="clear" w:fill="F2F5F8"/>
          </w:tcPr>
          <w:p>
            <w:r/>
            <w:r>
              <w:rPr>
                <w:sz w:val="18"/>
              </w:rPr>
              <w:t>[A designar — proprietário do projecto]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Objecto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Conclusão da plataforma até fase de piloto numa cidade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8"/>
              </w:rPr>
              <w:t>Estado na data</w:t>
            </w:r>
          </w:p>
        </w:tc>
        <w:tc>
          <w:tcPr>
            <w:tcW w:type="dxa" w:w="6768"/>
            <w:shd w:val="clear" w:fill="F2F5F8"/>
          </w:tcPr>
          <w:p>
            <w:r/>
            <w:r>
              <w:rPr>
                <w:sz w:val="18"/>
              </w:rPr>
              <w:t>Fases 0–4 concluídas; monorepo, base de dados, site e 2 apps nativas existentes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color w:val="12163A"/>
          <w:sz w:val="22"/>
        </w:rPr>
        <w:t>Objectivo geral:</w:t>
      </w:r>
    </w:p>
    <w:p>
      <w:pPr>
        <w:spacing w:after="120"/>
      </w:pPr>
      <w:r>
        <w:rPr>
          <w:b w:val="0"/>
          <w:i w:val="0"/>
          <w:sz w:val="22"/>
        </w:rPr>
        <w:t>Disponibilizar plataforma de contratação de serviços (cliente ↔ mestre) com pesquisa por proximidade, verificação de identidade, pagamento protegido (escrow) e back-office de gestão, pronta para operação piloto.</w:t>
      </w:r>
    </w:p>
    <w:p>
      <w:pPr>
        <w:spacing w:after="120"/>
      </w:pPr>
      <w:r>
        <w:rPr>
          <w:b/>
          <w:i w:val="0"/>
          <w:color w:val="12163A"/>
          <w:sz w:val="22"/>
        </w:rPr>
        <w:t>Objectivos específicos:</w:t>
      </w:r>
    </w:p>
    <w:p>
      <w:pPr>
        <w:pStyle w:val="ListNumber"/>
        <w:spacing w:after="60"/>
      </w:pPr>
      <w:r>
        <w:t>Eliminar as fragilidades críticas de segurança e consistência (Anexo A).</w:t>
      </w:r>
    </w:p>
    <w:p>
      <w:pPr>
        <w:pStyle w:val="ListNumber"/>
        <w:spacing w:after="60"/>
      </w:pPr>
      <w:r>
        <w:t>Ligar as funcionalidades em modo demonstração (chat, orçamentos, pesquisa) à base de dados real.</w:t>
      </w:r>
    </w:p>
    <w:p>
      <w:pPr>
        <w:pStyle w:val="ListNumber"/>
        <w:spacing w:after="60"/>
      </w:pPr>
      <w:r>
        <w:t>Implementar o despacho on-demand automático (atribuição por proximidade).</w:t>
      </w:r>
    </w:p>
    <w:p>
      <w:pPr>
        <w:pStyle w:val="ListNumber"/>
        <w:spacing w:after="60"/>
      </w:pPr>
      <w:r>
        <w:t>Integrar pagamentos mobile money (M-Pesa / e-Mola) e fornecedor de KYC.</w:t>
      </w:r>
    </w:p>
    <w:p>
      <w:pPr>
        <w:pStyle w:val="ListNumber"/>
        <w:spacing w:after="60"/>
      </w:pPr>
      <w:r>
        <w:t>Garantir testes automatizados, documentação operacional e conformidade legal.</w:t>
      </w:r>
    </w:p>
    <w:p>
      <w:pPr>
        <w:pStyle w:val="ListNumber"/>
        <w:spacing w:after="60"/>
      </w:pPr>
      <w:r>
        <w:t>Preparar publicação nas lojas e arranque do piloto.</w:t>
      </w:r>
    </w:p>
    <w:p>
      <w:pPr>
        <w:pStyle w:val="Heading1"/>
      </w:pPr>
      <w:r>
        <w:t>2. Âmbulo</w:t>
      </w:r>
    </w:p>
    <w:p>
      <w:pPr>
        <w:pStyle w:val="Heading3"/>
      </w:pPr>
      <w:r>
        <w:t>2.1 Inclui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Âmbito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496"/>
          </w:tcPr>
          <w:p>
            <w:r/>
            <w:r>
              <w:rPr>
                <w:sz w:val="18"/>
              </w:rPr>
              <w:t>Correcção das 3 ocorrências críticas (rota /, protecção do back-office, globals.css)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496"/>
            <w:shd w:val="clear" w:fill="F2F5F8"/>
          </w:tcPr>
          <w:p>
            <w:r/>
            <w:r>
              <w:rPr>
                <w:sz w:val="18"/>
              </w:rPr>
              <w:t>Verificação de sessão em todas as server actions e protecção de rotas staff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496"/>
          </w:tcPr>
          <w:p>
            <w:r/>
            <w:r>
              <w:rPr>
                <w:sz w:val="18"/>
              </w:rPr>
              <w:t>Unificação das tabelas de trabalhos e conclusão do modelo de dados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496"/>
            <w:shd w:val="clear" w:fill="F2F5F8"/>
          </w:tcPr>
          <w:p>
            <w:r/>
            <w:r>
              <w:rPr>
                <w:sz w:val="18"/>
              </w:rPr>
              <w:t>Ligação de chat, orçamentos e pesquisa à base de dados na web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496"/>
          </w:tcPr>
          <w:p>
            <w:r/>
            <w:r>
              <w:rPr>
                <w:sz w:val="18"/>
              </w:rPr>
              <w:t>Worker de despacho on-demand (nearby_providers, rondas, expiração de 60 s)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496"/>
            <w:shd w:val="clear" w:fill="F2F5F8"/>
          </w:tcPr>
          <w:p>
            <w:r/>
            <w:r>
              <w:rPr>
                <w:sz w:val="18"/>
              </w:rPr>
              <w:t>Integração de pagamentos com webhook assinado + modo manual mantido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496"/>
          </w:tcPr>
          <w:p>
            <w:r/>
            <w:r>
              <w:rPr>
                <w:sz w:val="18"/>
              </w:rPr>
              <w:t>Integração de KYC (OCR, selfie, prova de vida, comparação facial) + revisão humana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496"/>
            <w:shd w:val="clear" w:fill="F2F5F8"/>
          </w:tcPr>
          <w:p>
            <w:r/>
            <w:r>
              <w:rPr>
                <w:sz w:val="18"/>
              </w:rPr>
              <w:t>Row Level Security completa nas tabelas sensíveis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496"/>
          </w:tcPr>
          <w:p>
            <w:r/>
            <w:r>
              <w:rPr>
                <w:sz w:val="18"/>
              </w:rPr>
              <w:t>Testes automatizados (unidade/integração + ponta-a-ponta críticas)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496"/>
            <w:shd w:val="clear" w:fill="F2F5F8"/>
          </w:tcPr>
          <w:p>
            <w:r/>
            <w:r>
              <w:rPr>
                <w:sz w:val="18"/>
              </w:rPr>
              <w:t>SEO/PWA mínimos, páginas legais, correcção do push mobile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496"/>
          </w:tcPr>
          <w:p>
            <w:r/>
            <w:r>
              <w:rPr>
                <w:sz w:val="18"/>
              </w:rPr>
              <w:t>Documentação: API, decisões técnicas, manual operacional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496"/>
            <w:shd w:val="clear" w:fill="F2F5F8"/>
          </w:tcPr>
          <w:p>
            <w:r/>
            <w:r>
              <w:rPr>
                <w:sz w:val="18"/>
              </w:rPr>
              <w:t>Acompanhamento do piloto e garantia (correcções incluídas)</w:t>
            </w:r>
          </w:p>
        </w:tc>
      </w:tr>
    </w:tbl>
    <w:p>
      <w:pPr>
        <w:spacing w:after="80"/>
      </w:pPr>
    </w:p>
    <w:p>
      <w:pPr>
        <w:pStyle w:val="Heading3"/>
      </w:pPr>
      <w:r>
        <w:t>2.2 Exclui</w:t>
      </w:r>
    </w:p>
    <w:p>
      <w:pPr>
        <w:pStyle w:val="ListBullet"/>
        <w:spacing w:after="60"/>
      </w:pPr>
      <w:r>
        <w:t>Custos de licenças e quotas externas (Neon, Supabase, Pusher, Vercel, EAS).</w:t>
      </w:r>
    </w:p>
    <w:p>
      <w:pPr>
        <w:pStyle w:val="ListBullet"/>
        <w:spacing w:after="60"/>
      </w:pPr>
      <w:r>
        <w:t>Apps para tablet/wearables; marketing e aquisição de utilizadores.</w:t>
      </w:r>
    </w:p>
    <w:p>
      <w:pPr>
        <w:pStyle w:val="ListBullet"/>
        <w:spacing w:after="60"/>
      </w:pPr>
      <w:r>
        <w:t>Constituição jurídica da entidade e contas comerciais (dependência externa, secção 7).</w:t>
      </w:r>
    </w:p>
    <w:p>
      <w:pPr>
        <w:pStyle w:val="Heading3"/>
      </w:pPr>
      <w:r>
        <w:t>2.3 Pressupostos</w:t>
      </w:r>
    </w:p>
    <w:p>
      <w:pPr>
        <w:pStyle w:val="ListBullet"/>
        <w:spacing w:after="60"/>
      </w:pPr>
      <w:r>
        <w:t>Acesso a repositório, variáveis de ambiente, bases de dados e contas cloud.</w:t>
      </w:r>
    </w:p>
    <w:p>
      <w:pPr>
        <w:pStyle w:val="ListBullet"/>
        <w:spacing w:after="60"/>
      </w:pPr>
      <w:r>
        <w:t>Decisões de negócio (Anexo B) tomadas até ao início das fases correspondentes.</w:t>
      </w:r>
    </w:p>
    <w:p>
      <w:pPr>
        <w:pStyle w:val="ListBullet"/>
        <w:spacing w:after="60"/>
      </w:pPr>
      <w:r>
        <w:t>Nenhuma reestruturação de identidade visual, salvo indicação em contrato.</w:t>
      </w:r>
    </w:p>
    <w:p>
      <w:pPr>
        <w:pStyle w:val="Heading1"/>
      </w:pPr>
      <w:r>
        <w:t>3. Requisitos funcionais</w:t>
      </w:r>
    </w:p>
    <w:p>
      <w:pPr>
        <w:spacing w:after="120"/>
      </w:pPr>
      <w:r>
        <w:rPr>
          <w:b/>
          <w:i w:val="0"/>
          <w:color w:val="2444C8"/>
          <w:sz w:val="20"/>
        </w:rPr>
        <w:t>Legenda: R1 = bloqueante para o piloto · R2 = importante · R3 = desejável</w:t>
      </w:r>
    </w:p>
    <w:p>
      <w:pPr>
        <w:pStyle w:val="Heading3"/>
      </w:pPr>
      <w:r>
        <w:t>3.1 Segurança e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888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Critério de aceitação</w:t>
            </w:r>
          </w:p>
        </w:tc>
        <w:tc>
          <w:tcPr>
            <w:tcW w:type="dxa" w:w="72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RF-SEG-01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Corrigir conflito de rota /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Página inicial única; build limpo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RF-SEG-02</w:t>
            </w:r>
          </w:p>
        </w:tc>
        <w:tc>
          <w:tcPr>
            <w:tcW w:type="dxa" w:w="2592"/>
            <w:shd w:val="clear" w:fill="F2F5F8"/>
          </w:tcPr>
          <w:p>
            <w:r/>
            <w:r>
              <w:rPr>
                <w:sz w:val="18"/>
              </w:rPr>
              <w:t>Proteger áreas admin/superadmin</w:t>
            </w:r>
          </w:p>
        </w:tc>
        <w:tc>
          <w:tcPr>
            <w:tcW w:type="dxa" w:w="3888"/>
            <w:shd w:val="clear" w:fill="F2F5F8"/>
          </w:tcPr>
          <w:p>
            <w:r/>
            <w:r>
              <w:rPr>
                <w:sz w:val="18"/>
              </w:rPr>
              <w:t>Anónimo redirecionado de qualquer rota staff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RF-SEG-03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Repor globals.css completo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Tokens todos definidos; sem truncamento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RF-SEG-04</w:t>
            </w:r>
          </w:p>
        </w:tc>
        <w:tc>
          <w:tcPr>
            <w:tcW w:type="dxa" w:w="2592"/>
            <w:shd w:val="clear" w:fill="F2F5F8"/>
          </w:tcPr>
          <w:p>
            <w:r/>
            <w:r>
              <w:rPr>
                <w:sz w:val="18"/>
              </w:rPr>
              <w:t>Sessão obrigatória em todas as actions</w:t>
            </w:r>
          </w:p>
        </w:tc>
        <w:tc>
          <w:tcPr>
            <w:tcW w:type="dxa" w:w="3888"/>
            <w:shd w:val="clear" w:fill="F2F5F8"/>
          </w:tcPr>
          <w:p>
            <w:r/>
            <w:r>
              <w:rPr>
                <w:sz w:val="18"/>
              </w:rPr>
              <w:t>Nenhuma action sensível sem sessão (teste)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RF-SEG-05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RLS completa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wallets, payments, job_payments, payouts, verification_documents, messages testadas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RF-SEG-06</w:t>
            </w:r>
          </w:p>
        </w:tc>
        <w:tc>
          <w:tcPr>
            <w:tcW w:type="dxa" w:w="2592"/>
            <w:shd w:val="clear" w:fill="F2F5F8"/>
          </w:tcPr>
          <w:p>
            <w:r/>
            <w:r>
              <w:rPr>
                <w:sz w:val="18"/>
              </w:rPr>
              <w:t>Webhook de pagamento assinado</w:t>
            </w:r>
          </w:p>
        </w:tc>
        <w:tc>
          <w:tcPr>
            <w:tcW w:type="dxa" w:w="3888"/>
            <w:shd w:val="clear" w:fill="F2F5F8"/>
          </w:tcPr>
          <w:p>
            <w:r/>
            <w:r>
              <w:rPr>
                <w:sz w:val="18"/>
              </w:rPr>
              <w:t>Payloads inválidos e replays rejeitados; idempotente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RF-SEG-07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Limites por IP/conta em registo, entrada, mensagens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RF-SEG-08</w:t>
            </w:r>
          </w:p>
        </w:tc>
        <w:tc>
          <w:tcPr>
            <w:tcW w:type="dxa" w:w="2592"/>
            <w:shd w:val="clear" w:fill="F2F5F8"/>
          </w:tcPr>
          <w:p>
            <w:r/>
            <w:r>
              <w:rPr>
                <w:sz w:val="18"/>
              </w:rPr>
              <w:t>Remover/condicionar /dev/design</w:t>
            </w:r>
          </w:p>
        </w:tc>
        <w:tc>
          <w:tcPr>
            <w:tcW w:type="dxa" w:w="3888"/>
            <w:shd w:val="clear" w:fill="F2F5F8"/>
          </w:tcPr>
          <w:p>
            <w:r/>
            <w:r>
              <w:rPr>
                <w:sz w:val="18"/>
              </w:rPr>
              <w:t>Indisponível em produção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RF-SEG-09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Papéis staff no enum e na sessão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superadmin/finance existem; guarda usa papel real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RF-SEG-10</w:t>
            </w:r>
          </w:p>
        </w:tc>
        <w:tc>
          <w:tcPr>
            <w:tcW w:type="dxa" w:w="2592"/>
            <w:shd w:val="clear" w:fill="F2F5F8"/>
          </w:tcPr>
          <w:p>
            <w:r/>
            <w:r>
              <w:rPr>
                <w:sz w:val="18"/>
              </w:rPr>
              <w:t>Auditoria de ações sensíveis</w:t>
            </w:r>
          </w:p>
        </w:tc>
        <w:tc>
          <w:tcPr>
            <w:tcW w:type="dxa" w:w="3888"/>
            <w:shd w:val="clear" w:fill="F2F5F8"/>
          </w:tcPr>
          <w:p>
            <w:r/>
            <w:r>
              <w:rPr>
                <w:sz w:val="18"/>
              </w:rPr>
              <w:t>Ajustes em audit_logs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R2</w:t>
            </w:r>
          </w:p>
        </w:tc>
      </w:tr>
    </w:tbl>
    <w:p>
      <w:pPr>
        <w:spacing w:after="80"/>
      </w:pPr>
    </w:p>
    <w:p>
      <w:pPr>
        <w:pStyle w:val="Heading3"/>
      </w:pPr>
      <w:r>
        <w:t>3.2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3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744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Critério de aceitação</w:t>
            </w:r>
          </w:p>
        </w:tc>
        <w:tc>
          <w:tcPr>
            <w:tcW w:type="dxa" w:w="72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RF-CLI-01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Registo, entrada e recuperação de password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Fluxo completo validado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RF-CLI-02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Publicar pedido (modo agendado)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Guardado com media, categoria e localização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RF-CLI-03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Modo imediato com despacho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Rondas a mestres próximos; expiração automática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RF-CLI-04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Chat com o mestre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Mensagens persistidas e em tempo real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RF-CLI-05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Seguir mestre a caminho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Mapa com posição actualizada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RF-CLI-06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Confirmar preço e conclusão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Escrow held → released só por confirmação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RF-CLI-07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Avaliar e responder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Só com estado completed; uma por trabalho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RF-CLI-08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Favoritos, denúncias, notificações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Ligados à BD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RF-CLI-09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Tickets de ajuda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Abertura, acompanhamento e fecho com SLA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R2</w:t>
            </w:r>
          </w:p>
        </w:tc>
      </w:tr>
    </w:tbl>
    <w:p>
      <w:pPr>
        <w:spacing w:after="80"/>
      </w:pPr>
    </w:p>
    <w:p>
      <w:pPr>
        <w:pStyle w:val="Heading3"/>
      </w:pPr>
      <w:r>
        <w:t>3.3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3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744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Critério de aceitação</w:t>
            </w:r>
          </w:p>
        </w:tc>
        <w:tc>
          <w:tcPr>
            <w:tcW w:type="dxa" w:w="72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RF-MES-01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Activação de perfil profissional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Perfil publicável com serviços e portefólio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RF-MES-02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Presença online/offline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Refletido no despacho em &lt; 5 s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RF-MES-03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Ofertas com contagem de 60 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Notificação, aceitação e expiração registadas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RF-MES-04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Propor e acordar preço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Aceitação origina pagamento retido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RF-MES-05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Carteira, carregamentos e payouts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Saldos coerentes; extrato completo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RF-MES-06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Planos, destaques e afiliados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Assinatura, efeito na pesquisa, 10%/90 d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RF-MES-07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KYC guiado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Documento + selfie + estados na BD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RF-MES-08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Push mobile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Token correcto; entrega em dispositivo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</w:tbl>
    <w:p>
      <w:pPr>
        <w:spacing w:after="80"/>
      </w:pPr>
    </w:p>
    <w:p>
      <w:pPr>
        <w:pStyle w:val="Heading3"/>
      </w:pPr>
      <w:r>
        <w:t>3.4 Administração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3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744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Critério de aceitação</w:t>
            </w:r>
          </w:p>
        </w:tc>
        <w:tc>
          <w:tcPr>
            <w:tcW w:type="dxa" w:w="72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RF-ADM-01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Validação de pagamentos manuais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Aprovação credita carteira idempotente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RF-ADM-02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Revisão de KYC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Fila com documentos, decisão e auditoria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RF-ADM-03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Tickets com SLA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Escalonamento, macros, CSAT, crons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RF-ADM-04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Relatórios operacionais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Pedidos, trabalhos, receita, mestres por zona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RF-ADM-05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Equipa, permissões e MFA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30 permissões, convites, MFA, dupla aprovação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RF-ADM-06</w:t>
            </w:r>
          </w:p>
        </w:tc>
        <w:tc>
          <w:tcPr>
            <w:tcW w:type="dxa" w:w="2736"/>
            <w:shd w:val="clear" w:fill="F2F5F8"/>
          </w:tcPr>
          <w:p>
            <w:r/>
            <w:r>
              <w:rPr>
                <w:sz w:val="18"/>
              </w:rPr>
              <w:t>Moderação</w:t>
            </w:r>
          </w:p>
        </w:tc>
        <w:tc>
          <w:tcPr>
            <w:tcW w:type="dxa" w:w="3744"/>
            <w:shd w:val="clear" w:fill="F2F5F8"/>
          </w:tcPr>
          <w:p>
            <w:r/>
            <w:r>
              <w:rPr>
                <w:sz w:val="18"/>
              </w:rPr>
              <w:t>Suspender/reativar com registo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R1</w:t>
            </w:r>
          </w:p>
        </w:tc>
      </w:tr>
    </w:tbl>
    <w:p>
      <w:pPr>
        <w:spacing w:after="80"/>
      </w:pPr>
    </w:p>
    <w:p>
      <w:pPr>
        <w:pStyle w:val="Heading3"/>
      </w:pPr>
      <w:r>
        <w:t>3.5 Despacho (on-demand)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03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Critério de aceitação</w:t>
            </w:r>
          </w:p>
        </w:tc>
        <w:tc>
          <w:tcPr>
            <w:tcW w:type="dxa" w:w="72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RF-DES-01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Worker de despacho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nearby_providers() em cada pedido imediato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RF-DES-02</w:t>
            </w:r>
          </w:p>
        </w:tc>
        <w:tc>
          <w:tcPr>
            <w:tcW w:type="dxa" w:w="2448"/>
            <w:shd w:val="clear" w:fill="F2F5F8"/>
          </w:tcPr>
          <w:p>
            <w:r/>
            <w:r>
              <w:rPr>
                <w:sz w:val="18"/>
              </w:rPr>
              <w:t>Raio e escalonamento</w:t>
            </w:r>
          </w:p>
        </w:tc>
        <w:tc>
          <w:tcPr>
            <w:tcW w:type="dxa" w:w="4032"/>
            <w:shd w:val="clear" w:fill="F2F5F8"/>
          </w:tcPr>
          <w:p>
            <w:r/>
            <w:r>
              <w:rPr>
                <w:sz w:val="18"/>
              </w:rPr>
              <w:t>Configurável por feature_flags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RF-DES-03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Expiração e re-oferta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Reencaminhado ou expirado conforme política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RF-DES-04</w:t>
            </w:r>
          </w:p>
        </w:tc>
        <w:tc>
          <w:tcPr>
            <w:tcW w:type="dxa" w:w="2448"/>
            <w:shd w:val="clear" w:fill="F2F5F8"/>
          </w:tcPr>
          <w:p>
            <w:r/>
            <w:r>
              <w:rPr>
                <w:sz w:val="18"/>
              </w:rPr>
              <w:t>Presença e posições</w:t>
            </w:r>
          </w:p>
        </w:tc>
        <w:tc>
          <w:tcPr>
            <w:tcW w:type="dxa" w:w="4032"/>
            <w:shd w:val="clear" w:fill="F2F5F8"/>
          </w:tcPr>
          <w:p>
            <w:r/>
            <w:r>
              <w:rPr>
                <w:sz w:val="18"/>
              </w:rPr>
              <w:t>provider_presence e job_location_log actualizados</w:t>
            </w:r>
          </w:p>
        </w:tc>
        <w:tc>
          <w:tcPr>
            <w:tcW w:type="dxa" w:w="720"/>
            <w:shd w:val="clear" w:fill="F2F5F8"/>
          </w:tcPr>
          <w:p>
            <w:r/>
            <w:r>
              <w:rPr>
                <w:sz w:val="18"/>
              </w:rPr>
              <w:t>R2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RF-DES-05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Crons operacionais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SLA e expirações a correr e monitorizados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R2</w:t>
            </w:r>
          </w:p>
        </w:tc>
      </w:tr>
    </w:tbl>
    <w:p>
      <w:pPr>
        <w:spacing w:after="80"/>
      </w:pPr>
    </w:p>
    <w:p>
      <w:pPr>
        <w:pStyle w:val="Heading1"/>
      </w:pPr>
      <w: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32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88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Critério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Desempenho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Páginas &lt; 2,5 s em 4G; pesquisa &lt; 1,5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Lighthouse/medida real</w:t>
            </w:r>
          </w:p>
        </w:tc>
      </w:tr>
      <w:tr>
        <w:tc>
          <w:tcPr>
            <w:tcW w:type="dxa" w:w="1872"/>
            <w:shd w:val="clear" w:fill="F2F5F8"/>
          </w:tcPr>
          <w:p>
            <w:r/>
            <w:r>
              <w:rPr>
                <w:sz w:val="18"/>
              </w:rPr>
              <w:t>Disponibilidade</w:t>
            </w:r>
          </w:p>
        </w:tc>
        <w:tc>
          <w:tcPr>
            <w:tcW w:type="dxa" w:w="4320"/>
            <w:shd w:val="clear" w:fill="F2F5F8"/>
          </w:tcPr>
          <w:p>
            <w:r/>
            <w:r>
              <w:rPr>
                <w:sz w:val="18"/>
              </w:rPr>
              <w:t>99,5% mensal no piloto</w:t>
            </w:r>
          </w:p>
        </w:tc>
        <w:tc>
          <w:tcPr>
            <w:tcW w:type="dxa" w:w="2880"/>
            <w:shd w:val="clear" w:fill="F2F5F8"/>
          </w:tcPr>
          <w:p>
            <w:r/>
            <w:r>
              <w:rPr>
                <w:sz w:val="18"/>
              </w:rPr>
              <w:t>Monitorização activa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Segurança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OWASP Top 10; secrets em env vars; HTTPS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Auditoria leve + checklist</w:t>
            </w:r>
          </w:p>
        </w:tc>
      </w:tr>
      <w:tr>
        <w:tc>
          <w:tcPr>
            <w:tcW w:type="dxa" w:w="1872"/>
            <w:shd w:val="clear" w:fill="F2F5F8"/>
          </w:tcPr>
          <w:p>
            <w:r/>
            <w:r>
              <w:rPr>
                <w:sz w:val="18"/>
              </w:rPr>
              <w:t>Privacidade</w:t>
            </w:r>
          </w:p>
        </w:tc>
        <w:tc>
          <w:tcPr>
            <w:tcW w:type="dxa" w:w="4320"/>
            <w:shd w:val="clear" w:fill="F2F5F8"/>
          </w:tcPr>
          <w:p>
            <w:r/>
            <w:r>
              <w:rPr>
                <w:sz w:val="18"/>
              </w:rPr>
              <w:t>Dados minimizados; GPS só com o mestre aceite</w:t>
            </w:r>
          </w:p>
        </w:tc>
        <w:tc>
          <w:tcPr>
            <w:tcW w:type="dxa" w:w="2880"/>
            <w:shd w:val="clear" w:fill="F2F5F8"/>
          </w:tcPr>
          <w:p>
            <w:r/>
            <w:r>
              <w:rPr>
                <w:sz w:val="18"/>
              </w:rPr>
              <w:t>Política + funcionalidade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Acessibilidade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Teclado, contraste, labels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WCAG AA nos fluxos críticos</w:t>
            </w:r>
          </w:p>
        </w:tc>
      </w:tr>
      <w:tr>
        <w:tc>
          <w:tcPr>
            <w:tcW w:type="dxa" w:w="1872"/>
            <w:shd w:val="clear" w:fill="F2F5F8"/>
          </w:tcPr>
          <w:p>
            <w:r/>
            <w:r>
              <w:rPr>
                <w:sz w:val="18"/>
              </w:rPr>
              <w:t>Localização</w:t>
            </w:r>
          </w:p>
        </w:tc>
        <w:tc>
          <w:tcPr>
            <w:tcW w:type="dxa" w:w="4320"/>
            <w:shd w:val="clear" w:fill="F2F5F8"/>
          </w:tcPr>
          <w:p>
            <w:r/>
            <w:r>
              <w:rPr>
                <w:sz w:val="18"/>
              </w:rPr>
              <w:t>Português de Moçambique; formatação MT</w:t>
            </w:r>
          </w:p>
        </w:tc>
        <w:tc>
          <w:tcPr>
            <w:tcW w:type="dxa" w:w="2880"/>
            <w:shd w:val="clear" w:fill="F2F5F8"/>
          </w:tcPr>
          <w:p>
            <w:r/>
            <w:r>
              <w:rPr>
                <w:sz w:val="18"/>
              </w:rPr>
              <w:t>Sem texto por traduzir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Compatibilidade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Android 10+ · iOS 15+ · browsers actuais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Dispositivos-alvo</w:t>
            </w:r>
          </w:p>
        </w:tc>
      </w:tr>
      <w:tr>
        <w:tc>
          <w:tcPr>
            <w:tcW w:type="dxa" w:w="1872"/>
            <w:shd w:val="clear" w:fill="F2F5F8"/>
          </w:tcPr>
          <w:p>
            <w:r/>
            <w:r>
              <w:rPr>
                <w:sz w:val="18"/>
              </w:rPr>
              <w:t>Manutenção</w:t>
            </w:r>
          </w:p>
        </w:tc>
        <w:tc>
          <w:tcPr>
            <w:tcW w:type="dxa" w:w="4320"/>
            <w:shd w:val="clear" w:fill="F2F5F8"/>
          </w:tcPr>
          <w:p>
            <w:r/>
            <w:r>
              <w:rPr>
                <w:sz w:val="18"/>
              </w:rPr>
              <w:t>lint/typecheck verdes no CI</w:t>
            </w:r>
          </w:p>
        </w:tc>
        <w:tc>
          <w:tcPr>
            <w:tcW w:type="dxa" w:w="2880"/>
            <w:shd w:val="clear" w:fill="F2F5F8"/>
          </w:tcPr>
          <w:p>
            <w:r/>
            <w:r>
              <w:rPr>
                <w:sz w:val="18"/>
              </w:rPr>
              <w:t>Pipeline obrigatório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Observabilidade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Erros capturados + métricas de negócio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Alertas configurados</w:t>
            </w:r>
          </w:p>
        </w:tc>
      </w:tr>
    </w:tbl>
    <w:p>
      <w:pPr>
        <w:spacing w:after="80"/>
      </w:pPr>
    </w:p>
    <w:p>
      <w:pPr>
        <w:pStyle w:val="Heading1"/>
      </w:pPr>
      <w:r>
        <w:t>5. Entregáveis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048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Entregável</w:t>
            </w:r>
          </w:p>
        </w:tc>
        <w:tc>
          <w:tcPr>
            <w:tcW w:type="dxa" w:w="2448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Código corrigido em master com histórico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Repositório Git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Migrações SQL novas/alteradas e documentadas</w:t>
            </w:r>
          </w:p>
        </w:tc>
        <w:tc>
          <w:tcPr>
            <w:tcW w:type="dxa" w:w="2448"/>
            <w:shd w:val="clear" w:fill="F2F5F8"/>
          </w:tcPr>
          <w:p>
            <w:r/>
            <w:r>
              <w:rPr>
                <w:sz w:val="18"/>
              </w:rPr>
              <w:t>migrations/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APKs de piloto + configuração EAS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Artefacto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E4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Suíte de testes automatizados</w:t>
            </w:r>
          </w:p>
        </w:tc>
        <w:tc>
          <w:tcPr>
            <w:tcW w:type="dxa" w:w="2448"/>
            <w:shd w:val="clear" w:fill="F2F5F8"/>
          </w:tcPr>
          <w:p>
            <w:r/>
            <w:r>
              <w:rPr>
                <w:sz w:val="18"/>
              </w:rPr>
              <w:t>Código + relatório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E5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Documentação técnica (API, decisões, runbook)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docs/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E6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Manual operacional do back-office</w:t>
            </w:r>
          </w:p>
        </w:tc>
        <w:tc>
          <w:tcPr>
            <w:tcW w:type="dxa" w:w="2448"/>
            <w:shd w:val="clear" w:fill="F2F5F8"/>
          </w:tcPr>
          <w:p>
            <w:r/>
            <w:r>
              <w:rPr>
                <w:sz w:val="18"/>
              </w:rPr>
              <w:t>Markdown/PDF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E7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Relatórios de aceitação por fase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Documento por fase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E8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Plano de instrumentação de KPIs do piloto</w:t>
            </w:r>
          </w:p>
        </w:tc>
        <w:tc>
          <w:tcPr>
            <w:tcW w:type="dxa" w:w="2448"/>
            <w:shd w:val="clear" w:fill="F2F5F8"/>
          </w:tcPr>
          <w:p>
            <w:r/>
            <w:r>
              <w:rPr>
                <w:sz w:val="18"/>
              </w:rPr>
              <w:t>Documento + dashboards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E9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Relatório final e transferência de conhecimento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Documento + sessão</w:t>
            </w:r>
          </w:p>
        </w:tc>
      </w:tr>
    </w:tbl>
    <w:p>
      <w:pPr>
        <w:spacing w:after="80"/>
      </w:pPr>
    </w:p>
    <w:p>
      <w:pPr>
        <w:pStyle w:val="Heading1"/>
      </w:pPr>
      <w:r>
        <w:t>6. Cronograma e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547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144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F1 — Emergência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RF-SEG-01, 02, 03, 04, 09; rotas mortas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Semanas 1–2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8"/>
              </w:rPr>
              <w:t>F2 — Consolidação</w:t>
            </w:r>
          </w:p>
        </w:tc>
        <w:tc>
          <w:tcPr>
            <w:tcW w:type="dxa" w:w="5472"/>
            <w:shd w:val="clear" w:fill="F2F5F8"/>
          </w:tcPr>
          <w:p>
            <w:r/>
            <w:r>
              <w:rPr>
                <w:sz w:val="18"/>
              </w:rPr>
              <w:t>RLS, webhook, chat/orçamentos/pesquisa, tabelas, push</w:t>
            </w:r>
          </w:p>
        </w:tc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Semanas 3–5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F3 — Operação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Despacho on-demand, crons, relatórios e moderação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Semanas 6–8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8"/>
              </w:rPr>
              <w:t>F4 — Dinheiro</w:t>
            </w:r>
          </w:p>
        </w:tc>
        <w:tc>
          <w:tcPr>
            <w:tcW w:type="dxa" w:w="5472"/>
            <w:shd w:val="clear" w:fill="F2F5F8"/>
          </w:tcPr>
          <w:p>
            <w:r/>
            <w:r>
              <w:rPr>
                <w:sz w:val="18"/>
              </w:rPr>
              <w:t>Pagamentos + webhook, payouts, planos/destaques/afiliados</w:t>
            </w:r>
          </w:p>
        </w:tc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Semanas 9–10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F5 — Confiança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KYC integrado, revisão humana, denúncias e auditoria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Semanas 11–12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8"/>
              </w:rPr>
              <w:t>F6 — Qualidade</w:t>
            </w:r>
          </w:p>
        </w:tc>
        <w:tc>
          <w:tcPr>
            <w:tcW w:type="dxa" w:w="5472"/>
            <w:shd w:val="clear" w:fill="F2F5F8"/>
          </w:tcPr>
          <w:p>
            <w:r/>
            <w:r>
              <w:rPr>
                <w:sz w:val="18"/>
              </w:rPr>
              <w:t>Testes E2E, acessibilidade, observabilidade, SEO/PWA, legais</w:t>
            </w:r>
          </w:p>
        </w:tc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Semanas 13–14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F7 — Entrega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APKs, manual, formação, relatório final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Semana 15</w:t>
            </w:r>
          </w:p>
        </w:tc>
      </w:tr>
      <w:tr>
        <w:tc>
          <w:tcPr>
            <w:tcW w:type="dxa" w:w="2304"/>
            <w:shd w:val="clear" w:fill="F2F5F8"/>
          </w:tcPr>
          <w:p>
            <w:r/>
            <w:r>
              <w:rPr>
                <w:sz w:val="18"/>
              </w:rPr>
              <w:t>F8 — Garantia</w:t>
            </w:r>
          </w:p>
        </w:tc>
        <w:tc>
          <w:tcPr>
            <w:tcW w:type="dxa" w:w="5472"/>
            <w:shd w:val="clear" w:fill="F2F5F8"/>
          </w:tcPr>
          <w:p>
            <w:r/>
            <w:r>
              <w:rPr>
                <w:sz w:val="18"/>
              </w:rPr>
              <w:t>Acompanhamento do piloto e correcções</w:t>
            </w:r>
          </w:p>
        </w:tc>
        <w:tc>
          <w:tcPr>
            <w:tcW w:type="dxa" w:w="1440"/>
            <w:shd w:val="clear" w:fill="F2F5F8"/>
          </w:tcPr>
          <w:p>
            <w:r/>
            <w:r>
              <w:rPr>
                <w:sz w:val="18"/>
              </w:rPr>
              <w:t>8 semanas após entrega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color w:val="2444C8"/>
          <w:sz w:val="20"/>
        </w:rPr>
        <w:t>Marcos de pagamento associados (a detalhar em contrato): F1, F3, F5, F7 e fim de F8.</w:t>
      </w:r>
    </w:p>
    <w:p>
      <w:pPr>
        <w:pStyle w:val="Heading1"/>
      </w:pPr>
      <w:r>
        <w:t>7. Dependências e decisões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5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Dependência</w:t>
            </w:r>
          </w:p>
        </w:tc>
        <w:tc>
          <w:tcPr>
            <w:tcW w:type="dxa" w:w="201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Bloqueia</w:t>
            </w:r>
          </w:p>
        </w:tc>
        <w:tc>
          <w:tcPr>
            <w:tcW w:type="dxa" w:w="187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Fornecedor de KYC escolhido e contratado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Promotor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4752"/>
            <w:shd w:val="clear" w:fill="F2F5F8"/>
          </w:tcPr>
          <w:p>
            <w:r/>
            <w:r>
              <w:rPr>
                <w:sz w:val="18"/>
              </w:rPr>
              <w:t>Contrato M-Pesa/e-Mola (ou modo manual para piloto)</w:t>
            </w:r>
          </w:p>
        </w:tc>
        <w:tc>
          <w:tcPr>
            <w:tcW w:type="dxa" w:w="2016"/>
            <w:shd w:val="clear" w:fill="F2F5F8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1872"/>
            <w:shd w:val="clear" w:fill="F2F5F8"/>
          </w:tcPr>
          <w:p>
            <w:r/>
            <w:r>
              <w:rPr>
                <w:sz w:val="18"/>
              </w:rPr>
              <w:t>Promotor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Comissões e preços finais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Promotor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4752"/>
            <w:shd w:val="clear" w:fill="F2F5F8"/>
          </w:tcPr>
          <w:p>
            <w:r/>
            <w:r>
              <w:rPr>
                <w:sz w:val="18"/>
              </w:rPr>
              <w:t>Enquadramento legal da retenção de valores (custódia)</w:t>
            </w:r>
          </w:p>
        </w:tc>
        <w:tc>
          <w:tcPr>
            <w:tcW w:type="dxa" w:w="2016"/>
            <w:shd w:val="clear" w:fill="F2F5F8"/>
          </w:tcPr>
          <w:p>
            <w:r/>
            <w:r>
              <w:rPr>
                <w:sz w:val="18"/>
              </w:rPr>
              <w:t>Piloto com escrow</w:t>
            </w:r>
          </w:p>
        </w:tc>
        <w:tc>
          <w:tcPr>
            <w:tcW w:type="dxa" w:w="1872"/>
            <w:shd w:val="clear" w:fill="F2F5F8"/>
          </w:tcPr>
          <w:p>
            <w:r/>
            <w:r>
              <w:rPr>
                <w:sz w:val="18"/>
              </w:rPr>
              <w:t>Promotor + jurídico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Contas Google Play / Apple Developer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Promotor</w:t>
            </w:r>
          </w:p>
        </w:tc>
      </w:tr>
      <w:tr>
        <w:tc>
          <w:tcPr>
            <w:tcW w:type="dxa" w:w="576"/>
            <w:shd w:val="clear" w:fill="F2F5F8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4752"/>
            <w:shd w:val="clear" w:fill="F2F5F8"/>
          </w:tcPr>
          <w:p>
            <w:r/>
            <w:r>
              <w:rPr>
                <w:sz w:val="18"/>
              </w:rPr>
              <w:t>Decisão: dinheiro em mão no piloto</w:t>
            </w:r>
          </w:p>
        </w:tc>
        <w:tc>
          <w:tcPr>
            <w:tcW w:type="dxa" w:w="2016"/>
            <w:shd w:val="clear" w:fill="F2F5F8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1872"/>
            <w:shd w:val="clear" w:fill="F2F5F8"/>
          </w:tcPr>
          <w:p>
            <w:r/>
            <w:r>
              <w:rPr>
                <w:sz w:val="18"/>
              </w:rPr>
              <w:t>Promotor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Acesso a contas e secrets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Promotor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color w:val="BF3A21"/>
          <w:sz w:val="20"/>
        </w:rPr>
        <w:t>Risco regulatório: reter dinheiro de terceiros pode exigir entidade legal autorizada e conta de custódia. Enquanto D4 não estiver resolvida, manter PAYMENT_PROVIDER=manual e limitar o piloto a montantes baixos.</w:t>
      </w:r>
    </w:p>
    <w:p>
      <w:pPr>
        <w:pStyle w:val="Heading1"/>
      </w:pPr>
      <w:r>
        <w:t>8. Governança e reportagem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056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Cadência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Reunião semanal de estado (15 min) + relatório escrito por fase</w:t>
            </w:r>
          </w:p>
        </w:tc>
      </w:tr>
      <w:tr>
        <w:tc>
          <w:tcPr>
            <w:tcW w:type="dxa" w:w="2016"/>
            <w:shd w:val="clear" w:fill="F2F5F8"/>
          </w:tcPr>
          <w:p>
            <w:r/>
            <w:r>
              <w:rPr>
                <w:sz w:val="18"/>
              </w:rPr>
              <w:t>Repositório</w:t>
            </w:r>
          </w:p>
        </w:tc>
        <w:tc>
          <w:tcPr>
            <w:tcW w:type="dxa" w:w="7056"/>
            <w:shd w:val="clear" w:fill="F2F5F8"/>
          </w:tcPr>
          <w:p>
            <w:r/>
            <w:r>
              <w:rPr>
                <w:sz w:val="18"/>
              </w:rPr>
              <w:t>Commits pequenos e descritivos; master sempre compilável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Qualidade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lint, typecheck e testes antes de cada merge</w:t>
            </w:r>
          </w:p>
        </w:tc>
      </w:tr>
      <w:tr>
        <w:tc>
          <w:tcPr>
            <w:tcW w:type="dxa" w:w="2016"/>
            <w:shd w:val="clear" w:fill="F2F5F8"/>
          </w:tcPr>
          <w:p>
            <w:r/>
            <w:r>
              <w:rPr>
                <w:sz w:val="18"/>
              </w:rPr>
              <w:t>Mudanças</w:t>
            </w:r>
          </w:p>
        </w:tc>
        <w:tc>
          <w:tcPr>
            <w:tcW w:type="dxa" w:w="7056"/>
            <w:shd w:val="clear" w:fill="F2F5F8"/>
          </w:tcPr>
          <w:p>
            <w:r/>
            <w:r>
              <w:rPr>
                <w:sz w:val="18"/>
              </w:rPr>
              <w:t>Alterações de âmbito registadas com impacto e aprovadas por escrito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Aceitação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Fase só aceite com relatório contra os critérios da secção 3</w:t>
            </w:r>
          </w:p>
        </w:tc>
      </w:tr>
      <w:tr>
        <w:tc>
          <w:tcPr>
            <w:tcW w:type="dxa" w:w="2016"/>
            <w:shd w:val="clear" w:fill="F2F5F8"/>
          </w:tcPr>
          <w:p>
            <w:r/>
            <w:r>
              <w:rPr>
                <w:sz w:val="18"/>
              </w:rPr>
              <w:t>Escalação</w:t>
            </w:r>
          </w:p>
        </w:tc>
        <w:tc>
          <w:tcPr>
            <w:tcW w:type="dxa" w:w="7056"/>
            <w:shd w:val="clear" w:fill="F2F5F8"/>
          </w:tcPr>
          <w:p>
            <w:r/>
            <w:r>
              <w:rPr>
                <w:sz w:val="18"/>
              </w:rPr>
              <w:t>Bloqueios de dependências escalados em 48 h</w:t>
            </w:r>
          </w:p>
        </w:tc>
      </w:tr>
    </w:tbl>
    <w:p>
      <w:pPr>
        <w:spacing w:after="80"/>
      </w:pPr>
    </w:p>
    <w:p>
      <w:pPr>
        <w:pStyle w:val="Heading1"/>
      </w:pPr>
      <w:r>
        <w:t>9. Propriedade intelectual, confidencialidade e garantia</w:t>
      </w:r>
    </w:p>
    <w:p>
      <w:pPr>
        <w:pStyle w:val="ListNumber"/>
        <w:spacing w:after="60"/>
      </w:pPr>
      <w:r>
        <w:t>Propriedade: todo o código, documentação e design pertencem à entidade promotora, entregue continuamente no repositório.</w:t>
      </w:r>
    </w:p>
    <w:p>
      <w:pPr>
        <w:pStyle w:val="ListNumber"/>
        <w:spacing w:after="60"/>
      </w:pPr>
      <w:r>
        <w:t>Confidencialidade: informações de negócio, métricas e credenciais são confidenciais; credenciais nunca em código.</w:t>
      </w:r>
    </w:p>
    <w:p>
      <w:pPr>
        <w:pStyle w:val="ListNumber"/>
        <w:spacing w:after="60"/>
      </w:pPr>
      <w:r>
        <w:t>Garantia: 8 semanas sobre defeitos, com SLA por severidade (crítico 24 h, alto 3 dias, médio 10 dias úteis).</w:t>
      </w:r>
    </w:p>
    <w:p>
      <w:pPr>
        <w:pStyle w:val="ListNumber"/>
        <w:spacing w:after="60"/>
      </w:pPr>
      <w:r>
        <w:t>Terceiros: bibliotecas open-source sob licenças compatíveis com exploração comercial.</w:t>
      </w:r>
    </w:p>
    <w:p>
      <w:pPr>
        <w:pStyle w:val="Heading1"/>
      </w:pPr>
      <w:r>
        <w:t>10. Critérios gerais de aceitação (Definition of Done)</w:t>
      </w:r>
    </w:p>
    <w:p>
      <w:pPr>
        <w:pStyle w:val="ListBullet"/>
        <w:spacing w:after="60"/>
      </w:pPr>
      <w:r>
        <w:t>[x] Requisito verificado com o critério objectivo da secção 3.</w:t>
      </w:r>
    </w:p>
    <w:p>
      <w:pPr>
        <w:pStyle w:val="ListBullet"/>
        <w:spacing w:after="60"/>
      </w:pPr>
      <w:r>
        <w:t>[x] lint, typecheck e build de produção verdes.</w:t>
      </w:r>
    </w:p>
    <w:p>
      <w:pPr>
        <w:pStyle w:val="ListBullet"/>
        <w:spacing w:after="60"/>
      </w:pPr>
      <w:r>
        <w:t>[x] Testes automatizados correspondentes a passar.</w:t>
      </w:r>
    </w:p>
    <w:p>
      <w:pPr>
        <w:pStyle w:val="ListBullet"/>
        <w:spacing w:after="60"/>
      </w:pPr>
      <w:r>
        <w:t>[x] Sem regressão nos fluxos críticos (registo, pedido, despacho, pagamento, conclusão, avaliação).</w:t>
      </w:r>
    </w:p>
    <w:p>
      <w:pPr>
        <w:pStyle w:val="ListBullet"/>
        <w:spacing w:after="60"/>
      </w:pPr>
      <w:r>
        <w:t>[x] Migrações reproduzíveis em ambiente limpo.</w:t>
      </w:r>
    </w:p>
    <w:p>
      <w:pPr>
        <w:pStyle w:val="ListBullet"/>
        <w:spacing w:after="60"/>
      </w:pPr>
      <w:r>
        <w:t>[x] Documentação actualizada.</w:t>
      </w:r>
    </w:p>
    <w:p>
      <w:pPr>
        <w:pStyle w:val="ListBullet"/>
        <w:spacing w:after="60"/>
      </w:pPr>
      <w:r>
        <w:t>[x] Revisão de código aprovada e registada.</w:t>
      </w:r>
    </w:p>
    <w:p>
      <w:pPr>
        <w:pStyle w:val="Heading1"/>
      </w:pPr>
      <w:r>
        <w:t>Anexo A — Pendências críticas da análise de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Sev.</w:t>
            </w:r>
          </w:p>
        </w:tc>
        <w:tc>
          <w:tcPr>
            <w:tcW w:type="dxa" w:w="6048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Pendência</w:t>
            </w:r>
          </w:p>
        </w:tc>
        <w:tc>
          <w:tcPr>
            <w:tcW w:type="dxa" w:w="115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Crítica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Conflito de rota /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F1</w:t>
            </w:r>
          </w:p>
        </w:tc>
      </w:tr>
      <w:tr>
        <w:tc>
          <w:tcPr>
            <w:tcW w:type="dxa" w:w="432"/>
            <w:shd w:val="clear" w:fill="F2F5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Crítica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Área admin acessível a anónimos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F1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Crítica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globals.css truncado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F1</w:t>
            </w:r>
          </w:p>
        </w:tc>
      </w:tr>
      <w:tr>
        <w:tc>
          <w:tcPr>
            <w:tcW w:type="dxa" w:w="432"/>
            <w:shd w:val="clear" w:fill="F2F5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jobs.ts/payments.ts sem sessão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F1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RLS só em 5 tabelas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F2</w:t>
            </w:r>
          </w:p>
        </w:tc>
      </w:tr>
      <w:tr>
        <w:tc>
          <w:tcPr>
            <w:tcW w:type="dxa" w:w="432"/>
            <w:shd w:val="clear" w:fill="F2F5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jobs vs service_jobs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F2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Média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Enum sem papéis staff; push em tabela inexistente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F1/F2</w:t>
            </w:r>
          </w:p>
        </w:tc>
      </w:tr>
      <w:tr>
        <w:tc>
          <w:tcPr>
            <w:tcW w:type="dxa" w:w="432"/>
            <w:shd w:val="clear" w:fill="F2F5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Média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Chat/orçamentos/pesquisa em demonstração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F2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Média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Zero testes automatizados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F2/F6</w:t>
            </w:r>
          </w:p>
        </w:tc>
      </w:tr>
      <w:tr>
        <w:tc>
          <w:tcPr>
            <w:tcW w:type="dxa" w:w="432"/>
            <w:shd w:val="clear" w:fill="F2F5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Média</w:t>
            </w:r>
          </w:p>
        </w:tc>
        <w:tc>
          <w:tcPr>
            <w:tcW w:type="dxa" w:w="6048"/>
            <w:shd w:val="clear" w:fill="F2F5F8"/>
          </w:tcPr>
          <w:p>
            <w:r/>
            <w:r>
              <w:rPr>
                <w:sz w:val="18"/>
              </w:rPr>
              <w:t>Worker de despacho inexistente; crons não confirmados</w:t>
            </w:r>
          </w:p>
        </w:tc>
        <w:tc>
          <w:tcPr>
            <w:tcW w:type="dxa" w:w="1152"/>
            <w:shd w:val="clear" w:fill="F2F5F8"/>
          </w:tcPr>
          <w:p>
            <w:r/>
            <w:r>
              <w:rPr>
                <w:sz w:val="18"/>
              </w:rPr>
              <w:t>F3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Baixa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Páginas legais, SEO/PWA, /dev/design exposta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F6</w:t>
            </w:r>
          </w:p>
        </w:tc>
      </w:tr>
    </w:tbl>
    <w:p>
      <w:pPr>
        <w:spacing w:after="80"/>
      </w:pPr>
    </w:p>
    <w:p>
      <w:pPr>
        <w:pStyle w:val="Heading1"/>
      </w:pPr>
      <w:r>
        <w:t>Anexo B — Decisões de negócio em aberto</w:t>
      </w:r>
    </w:p>
    <w:p>
      <w:pPr>
        <w:pStyle w:val="ListNumber"/>
        <w:spacing w:after="60"/>
      </w:pPr>
      <w:r>
        <w:t>Fornecedor de KYC (D1).</w:t>
      </w:r>
    </w:p>
    <w:p>
      <w:pPr>
        <w:pStyle w:val="ListNumber"/>
        <w:spacing w:after="60"/>
      </w:pPr>
      <w:r>
        <w:t>Provedor de mapas e política de raio do piloto.</w:t>
      </w:r>
    </w:p>
    <w:p>
      <w:pPr>
        <w:pStyle w:val="ListNumber"/>
        <w:spacing w:after="60"/>
      </w:pPr>
      <w:r>
        <w:t>Comissões finais (12/8/5%) e preços dos planos (500/1.500 MZN).</w:t>
      </w:r>
    </w:p>
    <w:p>
      <w:pPr>
        <w:pStyle w:val="ListNumber"/>
        <w:spacing w:after="60"/>
      </w:pPr>
      <w:r>
        <w:t>Aceitação de dinheiro em mão durante o piloto (D6).</w:t>
      </w:r>
    </w:p>
    <w:p>
      <w:pPr>
        <w:pStyle w:val="ListNumber"/>
        <w:spacing w:after="60"/>
      </w:pPr>
      <w:r>
        <w:t>Constituição da entidade e contas M-Pesa/e-Mola (D2/D4).</w:t>
      </w:r>
    </w:p>
    <w:p>
      <w:pPr>
        <w:pStyle w:val="ListNumber"/>
        <w:spacing w:after="60"/>
      </w:pPr>
      <w:r>
        <w:t>Contas Google Play e Apple (D5).</w:t>
      </w:r>
    </w:p>
    <w:p>
      <w:pPr>
        <w:pStyle w:val="Heading1"/>
      </w:pPr>
      <w:r>
        <w:t>Anexo C —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91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Mestre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Profissional com perfil activo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Pedido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Necessidade do cliente (imediato ou com orçamentos)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Trabalho (job)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Contratação em execução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Escrow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Retenção do valor até conclusão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KYC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Verificação de identidade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Carteira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Saldo do mestre na plataforma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Boost/destaque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Pagamento por prioridade em pesquisa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Ronda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Sequência de ofertas a mestres próximos</w:t>
            </w:r>
          </w:p>
        </w:tc>
      </w:tr>
    </w:tbl>
    <w:p>
      <w:pPr>
        <w:spacing w:after="80"/>
      </w:pPr>
    </w:p>
    <w:p/>
    <w:p>
      <w:pPr>
        <w:spacing w:after="120"/>
      </w:pPr>
      <w:r>
        <w:rPr>
          <w:b w:val="0"/>
          <w:i/>
          <w:color w:val="5B6472"/>
          <w:sz w:val="17"/>
        </w:rPr>
        <w:t>Elaborado sem alterar qualquer ficheiro preexistente. Este documento não substitui revisão jurídica.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44C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16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44C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