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DFC"/>
  <w:body>
    <w:p w14:paraId="44263A80" w14:textId="099F0690" w:rsidR="001271CF" w:rsidRPr="001271CF" w:rsidRDefault="001271CF" w:rsidP="001271CF">
      <w:pPr>
        <w:pStyle w:val="Title"/>
        <w:spacing w:before="1760"/>
        <w:jc w:val="center"/>
        <w:rPr>
          <w:rFonts w:ascii="Arial" w:hAnsi="Arial" w:cs="Arial"/>
          <w:sz w:val="52"/>
          <w:szCs w:val="72"/>
        </w:rPr>
      </w:pPr>
      <w:r w:rsidRPr="001271CF">
        <w:rPr>
          <w:rFonts w:ascii="Arial" w:hAnsi="Arial" w:cs="Arial"/>
          <w:noProof/>
        </w:rPr>
        <w:drawing>
          <wp:inline distT="0" distB="0" distL="0" distR="0" wp14:anchorId="34CB6F6C" wp14:editId="2016BFF2">
            <wp:extent cx="2211316" cy="179165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27956" cy="1805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4C5A4" w14:textId="32DF860C" w:rsidR="007A0516" w:rsidRPr="001271CF" w:rsidRDefault="007F3B33" w:rsidP="00434EBB">
      <w:pPr>
        <w:pStyle w:val="Title"/>
        <w:spacing w:before="1760"/>
        <w:ind w:left="426"/>
        <w:jc w:val="center"/>
        <w:rPr>
          <w:rFonts w:ascii="Arial" w:hAnsi="Arial" w:cs="Arial"/>
          <w:sz w:val="48"/>
          <w:szCs w:val="56"/>
        </w:rPr>
      </w:pPr>
      <w:r w:rsidRPr="001271CF">
        <w:rPr>
          <w:rFonts w:ascii="Arial" w:hAnsi="Arial" w:cs="Arial"/>
          <w:sz w:val="48"/>
          <w:szCs w:val="56"/>
        </w:rPr>
        <w:t>Ponto de Situação dos Projectos Estratégicos Seleccionados</w:t>
      </w:r>
    </w:p>
    <w:p w14:paraId="075EE9BE" w14:textId="77777777" w:rsidR="007A0516" w:rsidRPr="001271CF" w:rsidRDefault="007F3B33" w:rsidP="00434EBB">
      <w:pPr>
        <w:pStyle w:val="Subtitle"/>
        <w:ind w:left="426"/>
        <w:jc w:val="center"/>
        <w:rPr>
          <w:rFonts w:ascii="Arial" w:hAnsi="Arial" w:cs="Arial"/>
          <w:sz w:val="24"/>
          <w:szCs w:val="28"/>
        </w:rPr>
      </w:pPr>
      <w:r w:rsidRPr="001271CF">
        <w:rPr>
          <w:rFonts w:ascii="Arial" w:hAnsi="Arial" w:cs="Arial"/>
          <w:sz w:val="24"/>
          <w:szCs w:val="28"/>
        </w:rPr>
        <w:t>ENI 75 MW  |  Central de 40 MW doada pela Argélia  |  Solar de Metoro  |  Eólica de Namaacha  |  SLIGM</w:t>
      </w:r>
    </w:p>
    <w:p w14:paraId="5F39C43C" w14:textId="77777777" w:rsidR="007A0516" w:rsidRPr="001271CF" w:rsidRDefault="007F3B33" w:rsidP="00434EBB">
      <w:pPr>
        <w:spacing w:before="560"/>
        <w:ind w:left="426"/>
        <w:jc w:val="center"/>
        <w:rPr>
          <w:rFonts w:ascii="Arial" w:hAnsi="Arial" w:cs="Arial"/>
          <w:sz w:val="20"/>
          <w:szCs w:val="24"/>
        </w:rPr>
      </w:pPr>
      <w:r w:rsidRPr="001271CF">
        <w:rPr>
          <w:rFonts w:ascii="Arial" w:hAnsi="Arial" w:cs="Arial"/>
          <w:b/>
          <w:sz w:val="24"/>
          <w:szCs w:val="24"/>
        </w:rPr>
        <w:t>Informação resumida para acompanhamento e decisão</w:t>
      </w:r>
    </w:p>
    <w:p w14:paraId="462A2410" w14:textId="77777777" w:rsidR="007A0516" w:rsidRPr="001271CF" w:rsidRDefault="007F3B33" w:rsidP="00434EBB">
      <w:pPr>
        <w:spacing w:before="1440"/>
        <w:ind w:left="426"/>
        <w:jc w:val="center"/>
        <w:rPr>
          <w:rFonts w:ascii="Arial" w:hAnsi="Arial" w:cs="Arial"/>
          <w:sz w:val="22"/>
          <w:szCs w:val="28"/>
        </w:rPr>
      </w:pPr>
      <w:r w:rsidRPr="001271CF">
        <w:rPr>
          <w:rFonts w:ascii="Arial" w:hAnsi="Arial" w:cs="Arial"/>
          <w:b/>
          <w:sz w:val="24"/>
          <w:szCs w:val="28"/>
        </w:rPr>
        <w:t>12 de Setembro de 2026</w:t>
      </w:r>
    </w:p>
    <w:p w14:paraId="59B653BA" w14:textId="77777777" w:rsidR="007A0516" w:rsidRPr="001271CF" w:rsidRDefault="007F3B33" w:rsidP="00434EBB">
      <w:pPr>
        <w:ind w:left="426"/>
        <w:rPr>
          <w:rFonts w:ascii="Arial" w:hAnsi="Arial" w:cs="Arial"/>
          <w:sz w:val="24"/>
          <w:szCs w:val="32"/>
        </w:rPr>
      </w:pPr>
      <w:r w:rsidRPr="001271CF">
        <w:rPr>
          <w:rFonts w:ascii="Arial" w:hAnsi="Arial" w:cs="Arial"/>
          <w:sz w:val="24"/>
          <w:szCs w:val="32"/>
        </w:rPr>
        <w:br w:type="page"/>
      </w:r>
    </w:p>
    <w:p w14:paraId="42B6DF36" w14:textId="64EE8677" w:rsidR="007A0516" w:rsidRPr="001271CF" w:rsidRDefault="007F3B33" w:rsidP="001271CF">
      <w:pPr>
        <w:pStyle w:val="Heading1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1271CF">
        <w:rPr>
          <w:rFonts w:ascii="Arial" w:hAnsi="Arial" w:cs="Arial"/>
          <w:sz w:val="24"/>
          <w:szCs w:val="24"/>
        </w:rPr>
        <w:lastRenderedPageBreak/>
        <w:t xml:space="preserve">Síntese </w:t>
      </w:r>
      <w:r w:rsidRPr="001271CF">
        <w:rPr>
          <w:rFonts w:ascii="Arial" w:hAnsi="Arial" w:cs="Arial"/>
          <w:sz w:val="24"/>
          <w:szCs w:val="24"/>
        </w:rPr>
        <w:t>executiva</w:t>
      </w:r>
    </w:p>
    <w:p w14:paraId="7C9DEFE2" w14:textId="77777777" w:rsidR="007A0516" w:rsidRPr="001271CF" w:rsidRDefault="007F3B33" w:rsidP="00434EBB">
      <w:pPr>
        <w:spacing w:after="120" w:line="269" w:lineRule="auto"/>
        <w:ind w:left="426"/>
        <w:rPr>
          <w:rFonts w:ascii="Arial" w:hAnsi="Arial" w:cs="Arial"/>
          <w:sz w:val="24"/>
          <w:szCs w:val="24"/>
        </w:rPr>
      </w:pPr>
      <w:r w:rsidRPr="001271CF">
        <w:rPr>
          <w:rFonts w:ascii="Arial" w:hAnsi="Arial" w:cs="Arial"/>
          <w:sz w:val="24"/>
          <w:szCs w:val="24"/>
        </w:rPr>
        <w:t>O presente relatório concentra-se em cinco projectos prioritários. A ENI 75 MW e a central de 40 MW doada pela Argélia respondem à necessidade imediata de reforço da geração em Temane. Os projectos Solar de Metoro e Eólico de Namaacha dependem da</w:t>
      </w:r>
      <w:r w:rsidRPr="001271CF">
        <w:rPr>
          <w:rFonts w:ascii="Arial" w:hAnsi="Arial" w:cs="Arial"/>
          <w:sz w:val="24"/>
          <w:szCs w:val="24"/>
        </w:rPr>
        <w:t xml:space="preserve"> conclusão das respectivas reestruturações contratuais e financeiras. A SLIGM constitui uma solução estruturante para assegurar o fornecimento futuro de gás às centrais existentes e futuras.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7002"/>
        <w:gridCol w:w="4961"/>
      </w:tblGrid>
      <w:tr w:rsidR="007A0516" w:rsidRPr="001271CF" w14:paraId="05B70D9A" w14:textId="77777777" w:rsidTr="00434EBB">
        <w:trPr>
          <w:tblHeader/>
          <w:jc w:val="center"/>
        </w:trPr>
        <w:tc>
          <w:tcPr>
            <w:tcW w:w="243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941D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208A610" w14:textId="77777777" w:rsidR="007A0516" w:rsidRPr="001271CF" w:rsidRDefault="007F3B33" w:rsidP="00434EBB">
            <w:pPr>
              <w:spacing w:after="0" w:line="245" w:lineRule="auto"/>
              <w:ind w:left="426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b/>
                <w:color w:val="FFFFFF"/>
                <w:sz w:val="24"/>
                <w:szCs w:val="24"/>
              </w:rPr>
              <w:t>Projecto</w:t>
            </w:r>
          </w:p>
        </w:tc>
        <w:tc>
          <w:tcPr>
            <w:tcW w:w="70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941D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0D7A27C" w14:textId="77777777" w:rsidR="007A0516" w:rsidRPr="001271CF" w:rsidRDefault="007F3B33" w:rsidP="00434EBB">
            <w:pPr>
              <w:spacing w:after="0" w:line="245" w:lineRule="auto"/>
              <w:ind w:left="426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b/>
                <w:color w:val="FFFFFF"/>
                <w:sz w:val="24"/>
                <w:szCs w:val="24"/>
              </w:rPr>
              <w:t>Situação actual</w:t>
            </w:r>
          </w:p>
        </w:tc>
        <w:tc>
          <w:tcPr>
            <w:tcW w:w="49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941D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B812D63" w14:textId="77777777" w:rsidR="007A0516" w:rsidRPr="001271CF" w:rsidRDefault="007F3B33" w:rsidP="00434EBB">
            <w:pPr>
              <w:spacing w:after="0" w:line="245" w:lineRule="auto"/>
              <w:ind w:left="426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b/>
                <w:color w:val="FFFFFF"/>
                <w:sz w:val="24"/>
                <w:szCs w:val="24"/>
              </w:rPr>
              <w:t>Decisão ou acção prioritária</w:t>
            </w:r>
          </w:p>
        </w:tc>
      </w:tr>
      <w:tr w:rsidR="007A0516" w:rsidRPr="001271CF" w14:paraId="6843387E" w14:textId="77777777" w:rsidTr="00434EBB">
        <w:trPr>
          <w:jc w:val="center"/>
        </w:trPr>
        <w:tc>
          <w:tcPr>
            <w:tcW w:w="243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A91903B" w14:textId="77777777" w:rsidR="007A0516" w:rsidRPr="001271CF" w:rsidRDefault="007F3B33" w:rsidP="00434EBB">
            <w:pPr>
              <w:spacing w:after="0" w:line="245" w:lineRule="auto"/>
              <w:ind w:left="426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sz w:val="24"/>
                <w:szCs w:val="24"/>
              </w:rPr>
              <w:t>ENI 75 MW</w:t>
            </w:r>
          </w:p>
        </w:tc>
        <w:tc>
          <w:tcPr>
            <w:tcW w:w="70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D57059F" w14:textId="77777777" w:rsidR="007A0516" w:rsidRPr="001271CF" w:rsidRDefault="007F3B33" w:rsidP="00434EBB">
            <w:pPr>
              <w:spacing w:after="0" w:line="245" w:lineRule="auto"/>
              <w:ind w:left="426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sz w:val="24"/>
                <w:szCs w:val="24"/>
              </w:rPr>
              <w:t>Preparação do JDA e dos estudos de base; operação comercial prevista para Dezembro de 2028.</w:t>
            </w:r>
          </w:p>
        </w:tc>
        <w:tc>
          <w:tcPr>
            <w:tcW w:w="49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E7F649A" w14:textId="60287BD3" w:rsidR="007A0516" w:rsidRPr="001271CF" w:rsidRDefault="002364E8" w:rsidP="00434EBB">
            <w:pPr>
              <w:spacing w:after="0" w:line="245" w:lineRule="auto"/>
              <w:ind w:left="426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sz w:val="24"/>
                <w:szCs w:val="24"/>
              </w:rPr>
              <w:t>Definição</w:t>
            </w:r>
            <w:r w:rsidR="007F3B33" w:rsidRPr="001271CF">
              <w:rPr>
                <w:rFonts w:ascii="Arial" w:hAnsi="Arial" w:cs="Arial"/>
                <w:sz w:val="24"/>
                <w:szCs w:val="24"/>
              </w:rPr>
              <w:t xml:space="preserve"> da estrutura</w:t>
            </w:r>
            <w:r w:rsidRPr="001271CF">
              <w:rPr>
                <w:rFonts w:ascii="Arial" w:hAnsi="Arial" w:cs="Arial"/>
                <w:sz w:val="24"/>
                <w:szCs w:val="24"/>
              </w:rPr>
              <w:t xml:space="preserve"> de implementação mais adequada</w:t>
            </w:r>
            <w:r w:rsidR="007F3B33" w:rsidRPr="001271CF">
              <w:rPr>
                <w:rFonts w:ascii="Arial" w:hAnsi="Arial" w:cs="Arial"/>
                <w:sz w:val="24"/>
                <w:szCs w:val="24"/>
              </w:rPr>
              <w:t xml:space="preserve">, concluir o JDA e avançar com estudos e </w:t>
            </w:r>
            <w:r w:rsidR="007F3B33" w:rsidRPr="001271CF">
              <w:rPr>
                <w:rFonts w:ascii="Arial" w:hAnsi="Arial" w:cs="Arial"/>
                <w:i/>
                <w:iCs/>
                <w:sz w:val="24"/>
                <w:szCs w:val="24"/>
              </w:rPr>
              <w:t>procurement</w:t>
            </w:r>
            <w:r w:rsidR="007F3B33" w:rsidRPr="001271CF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7A0516" w:rsidRPr="001271CF" w14:paraId="0E6F70FD" w14:textId="77777777" w:rsidTr="00434EBB">
        <w:trPr>
          <w:jc w:val="center"/>
        </w:trPr>
        <w:tc>
          <w:tcPr>
            <w:tcW w:w="243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3E6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5DB1DBA" w14:textId="77777777" w:rsidR="007A0516" w:rsidRPr="001271CF" w:rsidRDefault="007F3B33" w:rsidP="00434EBB">
            <w:pPr>
              <w:spacing w:after="0" w:line="245" w:lineRule="auto"/>
              <w:ind w:left="426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sz w:val="24"/>
                <w:szCs w:val="24"/>
              </w:rPr>
              <w:t>Central 40 MW Argélia</w:t>
            </w:r>
          </w:p>
        </w:tc>
        <w:tc>
          <w:tcPr>
            <w:tcW w:w="70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3E6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2104E3F" w14:textId="440A5CDE" w:rsidR="007A0516" w:rsidRPr="001271CF" w:rsidRDefault="007F3B33" w:rsidP="00434EBB">
            <w:pPr>
              <w:spacing w:after="0" w:line="245" w:lineRule="auto"/>
              <w:ind w:left="426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sz w:val="24"/>
                <w:szCs w:val="24"/>
              </w:rPr>
              <w:t>Validações técnicas e institucionais avançadas; f</w:t>
            </w:r>
            <w:r w:rsidRPr="001271CF">
              <w:rPr>
                <w:rFonts w:ascii="Arial" w:hAnsi="Arial" w:cs="Arial"/>
                <w:sz w:val="24"/>
                <w:szCs w:val="24"/>
              </w:rPr>
              <w:t>alta o parecer do Ministério das Finanças</w:t>
            </w:r>
            <w:r w:rsidR="002364E8" w:rsidRPr="001271CF">
              <w:rPr>
                <w:rFonts w:ascii="Arial" w:hAnsi="Arial" w:cs="Arial"/>
                <w:sz w:val="24"/>
                <w:szCs w:val="24"/>
              </w:rPr>
              <w:t>/Autoridade Tributária sobre as isenções de impostos e direitos aduaneiros na importação da central</w:t>
            </w:r>
            <w:r w:rsidRPr="001271CF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49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3E6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696B374" w14:textId="3EBC6F9B" w:rsidR="007A0516" w:rsidRPr="001271CF" w:rsidRDefault="007F3B33" w:rsidP="00434EBB">
            <w:pPr>
              <w:spacing w:after="0" w:line="245" w:lineRule="auto"/>
              <w:ind w:left="426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sz w:val="24"/>
                <w:szCs w:val="24"/>
              </w:rPr>
              <w:t>Concluir o pacote de pareceres e assinar o Acordo Intergovernamental</w:t>
            </w:r>
            <w:r w:rsidR="002364E8" w:rsidRPr="001271CF">
              <w:rPr>
                <w:rFonts w:ascii="Arial" w:hAnsi="Arial" w:cs="Arial"/>
                <w:sz w:val="24"/>
                <w:szCs w:val="24"/>
              </w:rPr>
              <w:t xml:space="preserve"> com o governo argelino</w:t>
            </w:r>
            <w:r w:rsidRPr="001271CF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7A0516" w:rsidRPr="001271CF" w14:paraId="7B0DD761" w14:textId="77777777" w:rsidTr="00434EBB">
        <w:trPr>
          <w:jc w:val="center"/>
        </w:trPr>
        <w:tc>
          <w:tcPr>
            <w:tcW w:w="243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44E5986" w14:textId="77777777" w:rsidR="007A0516" w:rsidRPr="001271CF" w:rsidRDefault="007F3B33" w:rsidP="00434EBB">
            <w:pPr>
              <w:spacing w:after="0" w:line="245" w:lineRule="auto"/>
              <w:ind w:left="426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sz w:val="24"/>
                <w:szCs w:val="24"/>
              </w:rPr>
              <w:t>Solar de Metoro 40 MWp</w:t>
            </w:r>
          </w:p>
        </w:tc>
        <w:tc>
          <w:tcPr>
            <w:tcW w:w="70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CCD4BB0" w14:textId="49074A9F" w:rsidR="007A0516" w:rsidRPr="001271CF" w:rsidRDefault="007F3B33" w:rsidP="00434EBB">
            <w:pPr>
              <w:spacing w:after="0" w:line="245" w:lineRule="auto"/>
              <w:ind w:left="426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sz w:val="24"/>
                <w:szCs w:val="24"/>
              </w:rPr>
              <w:t>TotalEnergies assumiu o projecto; reestruturação financeira e adendas em negociação</w:t>
            </w:r>
            <w:r w:rsidR="002364E8" w:rsidRPr="001271CF">
              <w:rPr>
                <w:rFonts w:ascii="Arial" w:hAnsi="Arial" w:cs="Arial"/>
                <w:sz w:val="24"/>
                <w:szCs w:val="24"/>
              </w:rPr>
              <w:t xml:space="preserve"> já a mais de 2 anos pela insistência da TotalEnergies na revisão da tarifa do projecto antes da tomada da decisão de financiamento</w:t>
            </w:r>
            <w:r w:rsidR="00434EBB" w:rsidRPr="001271CF">
              <w:rPr>
                <w:rFonts w:ascii="Arial" w:hAnsi="Arial" w:cs="Arial"/>
                <w:sz w:val="24"/>
                <w:szCs w:val="24"/>
              </w:rPr>
              <w:t>, de modo que os beneficios da saida dos Financiadores (perdão de 70% da divida) não apoie a redução da tarifa da EDM</w:t>
            </w:r>
            <w:r w:rsidRPr="001271CF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49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ADD68E4" w14:textId="1D10FC76" w:rsidR="007A0516" w:rsidRPr="001271CF" w:rsidRDefault="007F3B33" w:rsidP="00434EBB">
            <w:pPr>
              <w:spacing w:after="0" w:line="245" w:lineRule="auto"/>
              <w:ind w:left="426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sz w:val="24"/>
                <w:szCs w:val="24"/>
              </w:rPr>
              <w:t xml:space="preserve">Resolver o impasse </w:t>
            </w:r>
            <w:r w:rsidRPr="001271CF">
              <w:rPr>
                <w:rFonts w:ascii="Arial" w:hAnsi="Arial" w:cs="Arial"/>
                <w:sz w:val="24"/>
                <w:szCs w:val="24"/>
              </w:rPr>
              <w:t>tarifário e acordar a repartição dos benefícios decorrentes da saída dos financiadores.</w:t>
            </w:r>
            <w:r w:rsidR="00434EBB" w:rsidRPr="001271CF">
              <w:rPr>
                <w:rFonts w:ascii="Arial" w:hAnsi="Arial" w:cs="Arial"/>
                <w:sz w:val="24"/>
                <w:szCs w:val="24"/>
              </w:rPr>
              <w:t xml:space="preserve"> A TotalEnergies deve tomar uma decisão final sobre o seu interesse no projecto e nas condições que encontrou no acto da compra da participação da Neoen.</w:t>
            </w:r>
          </w:p>
        </w:tc>
      </w:tr>
      <w:tr w:rsidR="007A0516" w:rsidRPr="001271CF" w14:paraId="38EFEAF6" w14:textId="77777777" w:rsidTr="00434EBB">
        <w:trPr>
          <w:jc w:val="center"/>
        </w:trPr>
        <w:tc>
          <w:tcPr>
            <w:tcW w:w="243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3E6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D0C9B4C" w14:textId="77777777" w:rsidR="007A0516" w:rsidRPr="001271CF" w:rsidRDefault="007F3B33" w:rsidP="00434EBB">
            <w:pPr>
              <w:spacing w:after="0" w:line="245" w:lineRule="auto"/>
              <w:ind w:left="426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sz w:val="24"/>
                <w:szCs w:val="24"/>
              </w:rPr>
              <w:t>Eólica de Namaacha 120 MW</w:t>
            </w:r>
          </w:p>
        </w:tc>
        <w:tc>
          <w:tcPr>
            <w:tcW w:w="70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3E6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B330333" w14:textId="5D87C747" w:rsidR="00434EBB" w:rsidRPr="001271CF" w:rsidRDefault="007F3B33" w:rsidP="00434EBB">
            <w:pPr>
              <w:spacing w:after="0" w:line="245" w:lineRule="auto"/>
              <w:ind w:left="426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sz w:val="24"/>
                <w:szCs w:val="24"/>
              </w:rPr>
              <w:t xml:space="preserve">Adendas contratuais e concursos para a linha e </w:t>
            </w:r>
            <w:r w:rsidR="00434EBB" w:rsidRPr="001271CF">
              <w:rPr>
                <w:rFonts w:ascii="Arial" w:hAnsi="Arial" w:cs="Arial"/>
                <w:sz w:val="24"/>
                <w:szCs w:val="24"/>
              </w:rPr>
              <w:t xml:space="preserve">a central </w:t>
            </w:r>
            <w:r w:rsidRPr="001271CF">
              <w:rPr>
                <w:rFonts w:ascii="Arial" w:hAnsi="Arial" w:cs="Arial"/>
                <w:sz w:val="24"/>
                <w:szCs w:val="24"/>
              </w:rPr>
              <w:t>em curso</w:t>
            </w:r>
            <w:r w:rsidR="00434EBB" w:rsidRPr="001271CF">
              <w:rPr>
                <w:rFonts w:ascii="Arial" w:hAnsi="Arial" w:cs="Arial"/>
                <w:sz w:val="24"/>
                <w:szCs w:val="24"/>
              </w:rPr>
              <w:t xml:space="preserve"> de modo a transferir a obrigação de construção da linha para a EDM, 2x43km a 66KV</w:t>
            </w:r>
            <w:r w:rsidRPr="001271CF">
              <w:rPr>
                <w:rFonts w:ascii="Arial" w:hAnsi="Arial" w:cs="Arial"/>
                <w:sz w:val="24"/>
                <w:szCs w:val="24"/>
              </w:rPr>
              <w:t>.</w:t>
            </w:r>
            <w:r w:rsidR="00434EBB" w:rsidRPr="001271CF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47AEA493" w14:textId="6F79B574" w:rsidR="007A0516" w:rsidRPr="001271CF" w:rsidRDefault="00434EBB" w:rsidP="00434EBB">
            <w:pPr>
              <w:spacing w:after="0" w:line="245" w:lineRule="auto"/>
              <w:ind w:left="426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sz w:val="24"/>
                <w:szCs w:val="24"/>
              </w:rPr>
              <w:t>Lançado o concurso pubico para a Empreitada da linha, escopo a ser desenvolvido pela EDM.</w:t>
            </w:r>
          </w:p>
        </w:tc>
        <w:tc>
          <w:tcPr>
            <w:tcW w:w="49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3E6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1EC7FCF" w14:textId="0FC97569" w:rsidR="007A0516" w:rsidRPr="001271CF" w:rsidRDefault="007F3B33" w:rsidP="00434EBB">
            <w:pPr>
              <w:spacing w:after="0" w:line="245" w:lineRule="auto"/>
              <w:ind w:left="426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sz w:val="24"/>
                <w:szCs w:val="24"/>
              </w:rPr>
              <w:t>Concluir concursos, actualizar custos</w:t>
            </w:r>
            <w:r w:rsidR="00434EBB" w:rsidRPr="001271CF">
              <w:rPr>
                <w:rFonts w:ascii="Arial" w:hAnsi="Arial" w:cs="Arial"/>
                <w:sz w:val="24"/>
                <w:szCs w:val="24"/>
              </w:rPr>
              <w:t>, concluir as adendas dos contratos</w:t>
            </w:r>
            <w:r w:rsidRPr="001271CF">
              <w:rPr>
                <w:rFonts w:ascii="Arial" w:hAnsi="Arial" w:cs="Arial"/>
                <w:sz w:val="24"/>
                <w:szCs w:val="24"/>
              </w:rPr>
              <w:t xml:space="preserve"> e fechar o modelo financeiro e a tarifa.</w:t>
            </w:r>
          </w:p>
        </w:tc>
      </w:tr>
      <w:tr w:rsidR="007A0516" w:rsidRPr="001271CF" w14:paraId="69D4E136" w14:textId="77777777" w:rsidTr="00434EBB">
        <w:trPr>
          <w:jc w:val="center"/>
        </w:trPr>
        <w:tc>
          <w:tcPr>
            <w:tcW w:w="243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715B323" w14:textId="77777777" w:rsidR="007A0516" w:rsidRPr="001271CF" w:rsidRDefault="007F3B33" w:rsidP="00434EBB">
            <w:pPr>
              <w:spacing w:after="0" w:line="245" w:lineRule="auto"/>
              <w:ind w:left="426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sz w:val="24"/>
                <w:szCs w:val="24"/>
              </w:rPr>
              <w:t>SLIGM</w:t>
            </w:r>
          </w:p>
        </w:tc>
        <w:tc>
          <w:tcPr>
            <w:tcW w:w="70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6862267" w14:textId="1B68A823" w:rsidR="007A0516" w:rsidRPr="001271CF" w:rsidRDefault="007F3B33" w:rsidP="00434EBB">
            <w:pPr>
              <w:spacing w:after="0" w:line="245" w:lineRule="auto"/>
              <w:ind w:left="426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sz w:val="24"/>
                <w:szCs w:val="24"/>
              </w:rPr>
              <w:t>Acordos societário</w:t>
            </w:r>
            <w:r w:rsidR="00434EBB" w:rsidRPr="001271CF">
              <w:rPr>
                <w:rFonts w:ascii="Arial" w:hAnsi="Arial" w:cs="Arial"/>
                <w:sz w:val="24"/>
                <w:szCs w:val="24"/>
              </w:rPr>
              <w:t xml:space="preserve"> e de desenvolvimento conjunto</w:t>
            </w:r>
            <w:r w:rsidRPr="001271C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271CF">
              <w:rPr>
                <w:rFonts w:ascii="Arial" w:hAnsi="Arial" w:cs="Arial"/>
                <w:sz w:val="24"/>
                <w:szCs w:val="24"/>
              </w:rPr>
              <w:lastRenderedPageBreak/>
              <w:t>assinados</w:t>
            </w:r>
            <w:r w:rsidR="00434EBB" w:rsidRPr="001271CF">
              <w:rPr>
                <w:rFonts w:ascii="Arial" w:hAnsi="Arial" w:cs="Arial"/>
                <w:sz w:val="24"/>
                <w:szCs w:val="24"/>
              </w:rPr>
              <w:t xml:space="preserve"> entre a ENH, EDM, CFM e HCB,</w:t>
            </w:r>
            <w:r w:rsidRPr="001271CF">
              <w:rPr>
                <w:rFonts w:ascii="Arial" w:hAnsi="Arial" w:cs="Arial"/>
                <w:sz w:val="24"/>
                <w:szCs w:val="24"/>
              </w:rPr>
              <w:t xml:space="preserve"> e comités constituídos; veículo de propósito específico em criação</w:t>
            </w:r>
            <w:r w:rsidR="00434EBB" w:rsidRPr="001271CF">
              <w:rPr>
                <w:rFonts w:ascii="Arial" w:hAnsi="Arial" w:cs="Arial"/>
                <w:sz w:val="24"/>
                <w:szCs w:val="24"/>
              </w:rPr>
              <w:t xml:space="preserve"> para acelerar o processo de desenvolvimento</w:t>
            </w:r>
            <w:r w:rsidRPr="001271CF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49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2E29758" w14:textId="77777777" w:rsidR="007A0516" w:rsidRPr="001271CF" w:rsidRDefault="007F3B33" w:rsidP="00434EBB">
            <w:pPr>
              <w:spacing w:after="0" w:line="245" w:lineRule="auto"/>
              <w:ind w:left="426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sz w:val="24"/>
                <w:szCs w:val="24"/>
              </w:rPr>
              <w:lastRenderedPageBreak/>
              <w:t xml:space="preserve">Formalizar a sociedade e garantir o </w:t>
            </w:r>
            <w:r w:rsidRPr="001271CF">
              <w:rPr>
                <w:rFonts w:ascii="Arial" w:hAnsi="Arial" w:cs="Arial"/>
                <w:sz w:val="24"/>
                <w:szCs w:val="24"/>
              </w:rPr>
              <w:lastRenderedPageBreak/>
              <w:t>enquadramento do gás doméstico para o projecto.</w:t>
            </w:r>
          </w:p>
        </w:tc>
      </w:tr>
    </w:tbl>
    <w:p w14:paraId="26D0B115" w14:textId="77777777" w:rsidR="007A0516" w:rsidRPr="001271CF" w:rsidRDefault="007A0516" w:rsidP="00434EBB">
      <w:pPr>
        <w:spacing w:after="20"/>
        <w:ind w:left="426"/>
        <w:rPr>
          <w:rFonts w:ascii="Arial" w:hAnsi="Arial" w:cs="Arial"/>
          <w:sz w:val="24"/>
          <w:szCs w:val="24"/>
        </w:rPr>
      </w:pPr>
    </w:p>
    <w:p w14:paraId="2F262BA7" w14:textId="7A3E1609" w:rsidR="007A0516" w:rsidRPr="001271CF" w:rsidRDefault="007F3B33" w:rsidP="00434EBB">
      <w:pPr>
        <w:pStyle w:val="Heading1"/>
        <w:ind w:left="426"/>
        <w:rPr>
          <w:rFonts w:ascii="Arial" w:hAnsi="Arial" w:cs="Arial"/>
          <w:sz w:val="24"/>
          <w:szCs w:val="24"/>
        </w:rPr>
      </w:pPr>
      <w:r w:rsidRPr="001271CF">
        <w:rPr>
          <w:rFonts w:ascii="Arial" w:hAnsi="Arial" w:cs="Arial"/>
          <w:sz w:val="24"/>
          <w:szCs w:val="24"/>
        </w:rPr>
        <w:t>1</w:t>
      </w:r>
      <w:r w:rsidR="001271CF">
        <w:rPr>
          <w:rFonts w:ascii="Arial" w:hAnsi="Arial" w:cs="Arial"/>
          <w:sz w:val="24"/>
          <w:szCs w:val="24"/>
        </w:rPr>
        <w:t>.1</w:t>
      </w:r>
      <w:r w:rsidRPr="001271CF">
        <w:rPr>
          <w:rFonts w:ascii="Arial" w:hAnsi="Arial" w:cs="Arial"/>
          <w:sz w:val="24"/>
          <w:szCs w:val="24"/>
        </w:rPr>
        <w:t xml:space="preserve"> Projecto ENI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11737"/>
      </w:tblGrid>
      <w:tr w:rsidR="007A0516" w:rsidRPr="001271CF" w14:paraId="30014122" w14:textId="77777777" w:rsidTr="00434EBB">
        <w:trPr>
          <w:tblHeader/>
          <w:jc w:val="center"/>
        </w:trPr>
        <w:tc>
          <w:tcPr>
            <w:tcW w:w="23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941D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66561E9" w14:textId="77777777" w:rsidR="007A0516" w:rsidRPr="001271CF" w:rsidRDefault="007F3B33" w:rsidP="00434EBB">
            <w:pPr>
              <w:spacing w:after="0" w:line="245" w:lineRule="auto"/>
              <w:ind w:left="426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b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117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941D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A6A02FB" w14:textId="77777777" w:rsidR="007A0516" w:rsidRPr="001271CF" w:rsidRDefault="007F3B33" w:rsidP="00434EBB">
            <w:pPr>
              <w:spacing w:after="0" w:line="245" w:lineRule="auto"/>
              <w:ind w:left="426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b/>
                <w:color w:val="FFFFFF"/>
                <w:sz w:val="24"/>
                <w:szCs w:val="24"/>
              </w:rPr>
              <w:t>Síntese</w:t>
            </w:r>
          </w:p>
        </w:tc>
      </w:tr>
      <w:tr w:rsidR="007A0516" w:rsidRPr="001271CF" w14:paraId="29893C50" w14:textId="77777777" w:rsidTr="00434EBB">
        <w:trPr>
          <w:jc w:val="center"/>
        </w:trPr>
        <w:tc>
          <w:tcPr>
            <w:tcW w:w="23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B2C890C" w14:textId="77777777" w:rsidR="007A0516" w:rsidRPr="001271CF" w:rsidRDefault="007F3B33" w:rsidP="00434EBB">
            <w:pPr>
              <w:spacing w:after="0" w:line="245" w:lineRule="auto"/>
              <w:ind w:left="426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sz w:val="24"/>
                <w:szCs w:val="24"/>
              </w:rPr>
              <w:t>Capacidade</w:t>
            </w:r>
          </w:p>
        </w:tc>
        <w:tc>
          <w:tcPr>
            <w:tcW w:w="117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6926714" w14:textId="77777777" w:rsidR="007A0516" w:rsidRPr="001271CF" w:rsidRDefault="007F3B33" w:rsidP="00434EBB">
            <w:pPr>
              <w:spacing w:after="0" w:line="245" w:lineRule="auto"/>
              <w:ind w:left="426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sz w:val="24"/>
                <w:szCs w:val="24"/>
              </w:rPr>
              <w:t>75 MW</w:t>
            </w:r>
          </w:p>
        </w:tc>
      </w:tr>
      <w:tr w:rsidR="007A0516" w:rsidRPr="001271CF" w14:paraId="72511309" w14:textId="77777777" w:rsidTr="00434EBB">
        <w:trPr>
          <w:jc w:val="center"/>
        </w:trPr>
        <w:tc>
          <w:tcPr>
            <w:tcW w:w="23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3E6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0DB9EEF" w14:textId="77777777" w:rsidR="007A0516" w:rsidRPr="001271CF" w:rsidRDefault="007F3B33" w:rsidP="00434EBB">
            <w:pPr>
              <w:spacing w:after="0" w:line="245" w:lineRule="auto"/>
              <w:ind w:left="426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sz w:val="24"/>
                <w:szCs w:val="24"/>
              </w:rPr>
              <w:t>Objectivo e benefício</w:t>
            </w:r>
          </w:p>
        </w:tc>
        <w:tc>
          <w:tcPr>
            <w:tcW w:w="117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3E6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46CF071" w14:textId="77777777" w:rsidR="007A0516" w:rsidRPr="001271CF" w:rsidRDefault="007F3B33" w:rsidP="00434EBB">
            <w:pPr>
              <w:spacing w:after="0" w:line="245" w:lineRule="auto"/>
              <w:ind w:left="426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sz w:val="24"/>
                <w:szCs w:val="24"/>
              </w:rPr>
              <w:t xml:space="preserve">Instalação de uma central em Temane para reduzir o défice de geração provocado pela baixa disponibilidade hídrica e reforçar a segurança do Sistema Eléctrico Nacional. O projecto decorre de um compromisso assumido pela ENI </w:t>
            </w:r>
            <w:r w:rsidRPr="001271CF">
              <w:rPr>
                <w:rFonts w:ascii="Arial" w:hAnsi="Arial" w:cs="Arial"/>
                <w:sz w:val="24"/>
                <w:szCs w:val="24"/>
              </w:rPr>
              <w:t>perante o Governo no âmbito da tributação das mais-valias da venda parcial da sua participação na ENI East Africa.</w:t>
            </w:r>
          </w:p>
        </w:tc>
      </w:tr>
      <w:tr w:rsidR="007A0516" w:rsidRPr="001271CF" w14:paraId="272C6EB1" w14:textId="77777777" w:rsidTr="00434EBB">
        <w:trPr>
          <w:jc w:val="center"/>
        </w:trPr>
        <w:tc>
          <w:tcPr>
            <w:tcW w:w="23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B54475E" w14:textId="77777777" w:rsidR="007A0516" w:rsidRPr="001271CF" w:rsidRDefault="007F3B33" w:rsidP="00434EBB">
            <w:pPr>
              <w:spacing w:after="0" w:line="245" w:lineRule="auto"/>
              <w:ind w:left="426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sz w:val="24"/>
                <w:szCs w:val="24"/>
              </w:rPr>
              <w:t>Ponto de situação</w:t>
            </w:r>
          </w:p>
        </w:tc>
        <w:tc>
          <w:tcPr>
            <w:tcW w:w="117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BF0AA9C" w14:textId="77777777" w:rsidR="00E460CE" w:rsidRPr="001271CF" w:rsidRDefault="007F3B33" w:rsidP="00434EBB">
            <w:pPr>
              <w:spacing w:after="0" w:line="245" w:lineRule="auto"/>
              <w:ind w:left="426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sz w:val="24"/>
                <w:szCs w:val="24"/>
              </w:rPr>
              <w:t>Foi assinado o NDA entre ENH, EDM e ENI. Temane foi aprovado como local da central e foi seleccionada tecnologia baseada e</w:t>
            </w:r>
            <w:r w:rsidRPr="001271CF">
              <w:rPr>
                <w:rFonts w:ascii="Arial" w:hAnsi="Arial" w:cs="Arial"/>
                <w:sz w:val="24"/>
                <w:szCs w:val="24"/>
              </w:rPr>
              <w:t xml:space="preserve">m motores de combustão. O escopo, os critérios de </w:t>
            </w:r>
            <w:r w:rsidRPr="001271CF">
              <w:rPr>
                <w:rFonts w:ascii="Arial" w:hAnsi="Arial" w:cs="Arial"/>
                <w:i/>
                <w:iCs/>
                <w:sz w:val="24"/>
                <w:szCs w:val="24"/>
              </w:rPr>
              <w:t>procurement</w:t>
            </w:r>
            <w:r w:rsidRPr="001271CF">
              <w:rPr>
                <w:rFonts w:ascii="Arial" w:hAnsi="Arial" w:cs="Arial"/>
                <w:sz w:val="24"/>
                <w:szCs w:val="24"/>
              </w:rPr>
              <w:t xml:space="preserve"> e as especificações técnicas dos equipamentos foram definidos. O JDA está em preparação </w:t>
            </w:r>
            <w:r w:rsidR="00E460CE" w:rsidRPr="001271CF">
              <w:rPr>
                <w:rFonts w:ascii="Arial" w:hAnsi="Arial" w:cs="Arial"/>
                <w:sz w:val="24"/>
                <w:szCs w:val="24"/>
              </w:rPr>
              <w:t xml:space="preserve">bem como </w:t>
            </w:r>
            <w:r w:rsidRPr="001271CF">
              <w:rPr>
                <w:rFonts w:ascii="Arial" w:hAnsi="Arial" w:cs="Arial"/>
                <w:sz w:val="24"/>
                <w:szCs w:val="24"/>
              </w:rPr>
              <w:t xml:space="preserve">a documentação para contratar os estudos geotécnico e topográfico. </w:t>
            </w:r>
          </w:p>
          <w:p w14:paraId="5B42A7CE" w14:textId="26468F35" w:rsidR="007A0516" w:rsidRPr="001271CF" w:rsidRDefault="007F3B33" w:rsidP="00434EBB">
            <w:pPr>
              <w:spacing w:after="0" w:line="245" w:lineRule="auto"/>
              <w:ind w:left="426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sz w:val="24"/>
                <w:szCs w:val="24"/>
              </w:rPr>
              <w:t>Prevê-se a aloca</w:t>
            </w:r>
            <w:r w:rsidRPr="001271CF">
              <w:rPr>
                <w:rFonts w:ascii="Arial" w:hAnsi="Arial" w:cs="Arial"/>
                <w:sz w:val="24"/>
                <w:szCs w:val="24"/>
              </w:rPr>
              <w:t>ção de recursos e o lançamento do concurso EPC no primeiro semestre de 2027, a adjudicação e o início das obras no terceiro trimestre de 2027 e a operação comercial em Dezembro de 2028.</w:t>
            </w:r>
          </w:p>
        </w:tc>
      </w:tr>
      <w:tr w:rsidR="007A0516" w:rsidRPr="001271CF" w14:paraId="705363C8" w14:textId="77777777" w:rsidTr="00434EBB">
        <w:trPr>
          <w:jc w:val="center"/>
        </w:trPr>
        <w:tc>
          <w:tcPr>
            <w:tcW w:w="23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3E6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E9F4282" w14:textId="77777777" w:rsidR="007A0516" w:rsidRPr="001271CF" w:rsidRDefault="007F3B33" w:rsidP="00434EBB">
            <w:pPr>
              <w:spacing w:after="0" w:line="245" w:lineRule="auto"/>
              <w:ind w:left="426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sz w:val="24"/>
                <w:szCs w:val="24"/>
              </w:rPr>
              <w:t>Principais constrangimentos</w:t>
            </w:r>
          </w:p>
        </w:tc>
        <w:tc>
          <w:tcPr>
            <w:tcW w:w="117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3E6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EC756A1" w14:textId="7370738D" w:rsidR="007A0516" w:rsidRPr="001271CF" w:rsidRDefault="007F3B33" w:rsidP="00434EBB">
            <w:pPr>
              <w:spacing w:after="0" w:line="245" w:lineRule="auto"/>
              <w:ind w:left="426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sz w:val="24"/>
                <w:szCs w:val="24"/>
              </w:rPr>
              <w:t>A coordenação repartida entre ENH e EDM t</w:t>
            </w:r>
            <w:r w:rsidRPr="001271CF">
              <w:rPr>
                <w:rFonts w:ascii="Arial" w:hAnsi="Arial" w:cs="Arial"/>
                <w:sz w:val="24"/>
                <w:szCs w:val="24"/>
              </w:rPr>
              <w:t>em tornado mais lenta a aprovação dos documentos e das fases do projecto. A implementação depende ainda da conclusão do JDA</w:t>
            </w:r>
            <w:r w:rsidR="00E460CE" w:rsidRPr="001271CF">
              <w:rPr>
                <w:rFonts w:ascii="Arial" w:hAnsi="Arial" w:cs="Arial"/>
                <w:sz w:val="24"/>
                <w:szCs w:val="24"/>
              </w:rPr>
              <w:t>, onde a ENI tem trazido exigencias incompativeis com o espírito de doação</w:t>
            </w:r>
            <w:r w:rsidRPr="001271CF">
              <w:rPr>
                <w:rFonts w:ascii="Arial" w:hAnsi="Arial" w:cs="Arial"/>
                <w:sz w:val="24"/>
                <w:szCs w:val="24"/>
              </w:rPr>
              <w:t>, dos estudos de base e da programação financeira.</w:t>
            </w:r>
          </w:p>
        </w:tc>
      </w:tr>
      <w:tr w:rsidR="007A0516" w:rsidRPr="001271CF" w14:paraId="5039F49B" w14:textId="77777777" w:rsidTr="00434EBB">
        <w:trPr>
          <w:jc w:val="center"/>
        </w:trPr>
        <w:tc>
          <w:tcPr>
            <w:tcW w:w="23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A27F541" w14:textId="77777777" w:rsidR="007A0516" w:rsidRPr="001271CF" w:rsidRDefault="007F3B33" w:rsidP="00434EBB">
            <w:pPr>
              <w:spacing w:after="0" w:line="245" w:lineRule="auto"/>
              <w:ind w:left="426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sz w:val="24"/>
                <w:szCs w:val="24"/>
              </w:rPr>
              <w:t>Próximos passos prioritários</w:t>
            </w:r>
          </w:p>
        </w:tc>
        <w:tc>
          <w:tcPr>
            <w:tcW w:w="117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9F8935B" w14:textId="77777777" w:rsidR="007A0516" w:rsidRPr="001271CF" w:rsidRDefault="007F3B33" w:rsidP="00434EBB">
            <w:pPr>
              <w:spacing w:after="0" w:line="245" w:lineRule="auto"/>
              <w:ind w:left="426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sz w:val="24"/>
                <w:szCs w:val="24"/>
              </w:rPr>
              <w:t>Definir claramente a EDM como líder da estruturação,</w:t>
            </w:r>
            <w:r w:rsidRPr="001271CF">
              <w:rPr>
                <w:rFonts w:ascii="Arial" w:hAnsi="Arial" w:cs="Arial"/>
                <w:sz w:val="24"/>
                <w:szCs w:val="24"/>
              </w:rPr>
              <w:t xml:space="preserve"> mantendo a ENH como fornecedora de gás; concluir e assinar o JDA; contratar os estudos geotécnico e topográfico; e confirmar o calendário financeiro e de procurement.</w:t>
            </w:r>
          </w:p>
        </w:tc>
      </w:tr>
    </w:tbl>
    <w:p w14:paraId="5A69C389" w14:textId="77777777" w:rsidR="007A0516" w:rsidRPr="001271CF" w:rsidRDefault="007A0516" w:rsidP="00434EBB">
      <w:pPr>
        <w:spacing w:after="20"/>
        <w:ind w:left="426"/>
        <w:rPr>
          <w:rFonts w:ascii="Arial" w:hAnsi="Arial" w:cs="Arial"/>
          <w:sz w:val="24"/>
          <w:szCs w:val="24"/>
        </w:rPr>
      </w:pPr>
    </w:p>
    <w:p w14:paraId="267F47D2" w14:textId="7BACE1C4" w:rsidR="007A0516" w:rsidRPr="001271CF" w:rsidRDefault="001271CF" w:rsidP="00434EBB">
      <w:pPr>
        <w:pStyle w:val="Heading1"/>
        <w:ind w:left="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1.</w:t>
      </w:r>
      <w:r w:rsidR="007F3B33" w:rsidRPr="001271CF">
        <w:rPr>
          <w:rFonts w:ascii="Arial" w:hAnsi="Arial" w:cs="Arial"/>
          <w:sz w:val="24"/>
          <w:szCs w:val="24"/>
        </w:rPr>
        <w:t>2 Central de Temane doada pela Argélia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11595"/>
      </w:tblGrid>
      <w:tr w:rsidR="007A0516" w:rsidRPr="001271CF" w14:paraId="10FACFD0" w14:textId="77777777" w:rsidTr="00E460CE">
        <w:trPr>
          <w:tblHeader/>
          <w:jc w:val="center"/>
        </w:trPr>
        <w:tc>
          <w:tcPr>
            <w:tcW w:w="23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941D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BF31016" w14:textId="77777777" w:rsidR="007A0516" w:rsidRPr="001271CF" w:rsidRDefault="007F3B33" w:rsidP="00434EBB">
            <w:pPr>
              <w:spacing w:after="0" w:line="245" w:lineRule="auto"/>
              <w:ind w:left="426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b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11595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941D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6BD232A" w14:textId="77777777" w:rsidR="007A0516" w:rsidRPr="001271CF" w:rsidRDefault="007F3B33" w:rsidP="00434EBB">
            <w:pPr>
              <w:spacing w:after="0" w:line="245" w:lineRule="auto"/>
              <w:ind w:left="426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b/>
                <w:color w:val="FFFFFF"/>
                <w:sz w:val="24"/>
                <w:szCs w:val="24"/>
              </w:rPr>
              <w:t>Síntese</w:t>
            </w:r>
          </w:p>
        </w:tc>
      </w:tr>
      <w:tr w:rsidR="007A0516" w:rsidRPr="001271CF" w14:paraId="1EBEAED7" w14:textId="77777777" w:rsidTr="00E460CE">
        <w:trPr>
          <w:jc w:val="center"/>
        </w:trPr>
        <w:tc>
          <w:tcPr>
            <w:tcW w:w="23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10311F8" w14:textId="77777777" w:rsidR="007A0516" w:rsidRPr="001271CF" w:rsidRDefault="007F3B33" w:rsidP="00434EBB">
            <w:pPr>
              <w:spacing w:after="0" w:line="245" w:lineRule="auto"/>
              <w:ind w:left="426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sz w:val="24"/>
                <w:szCs w:val="24"/>
              </w:rPr>
              <w:t>Capacidade</w:t>
            </w:r>
          </w:p>
        </w:tc>
        <w:tc>
          <w:tcPr>
            <w:tcW w:w="11595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DD4FB6E" w14:textId="5BB6D7DF" w:rsidR="007A0516" w:rsidRPr="001271CF" w:rsidRDefault="007F3B33" w:rsidP="00434EBB">
            <w:pPr>
              <w:spacing w:after="0" w:line="245" w:lineRule="auto"/>
              <w:ind w:left="426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sz w:val="24"/>
                <w:szCs w:val="24"/>
              </w:rPr>
              <w:t xml:space="preserve">40 MW, </w:t>
            </w:r>
            <w:r w:rsidRPr="001271CF">
              <w:rPr>
                <w:rFonts w:ascii="Arial" w:hAnsi="Arial" w:cs="Arial"/>
                <w:sz w:val="24"/>
                <w:szCs w:val="24"/>
              </w:rPr>
              <w:t>constituídos por duas turbinas móveis de 20 MW</w:t>
            </w:r>
            <w:r w:rsidR="007C07F8" w:rsidRPr="001271CF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7A0516" w:rsidRPr="001271CF" w14:paraId="69347084" w14:textId="77777777" w:rsidTr="00E460CE">
        <w:trPr>
          <w:jc w:val="center"/>
        </w:trPr>
        <w:tc>
          <w:tcPr>
            <w:tcW w:w="23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3E6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4462122" w14:textId="77777777" w:rsidR="007A0516" w:rsidRPr="001271CF" w:rsidRDefault="007F3B33" w:rsidP="00434EBB">
            <w:pPr>
              <w:spacing w:after="0" w:line="245" w:lineRule="auto"/>
              <w:ind w:left="426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sz w:val="24"/>
                <w:szCs w:val="24"/>
              </w:rPr>
              <w:t>Objectivo e benefício</w:t>
            </w:r>
          </w:p>
        </w:tc>
        <w:tc>
          <w:tcPr>
            <w:tcW w:w="11595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3E6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171E393" w14:textId="77777777" w:rsidR="007A0516" w:rsidRPr="001271CF" w:rsidRDefault="007F3B33" w:rsidP="00434EBB">
            <w:pPr>
              <w:spacing w:after="0" w:line="245" w:lineRule="auto"/>
              <w:ind w:left="426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sz w:val="24"/>
                <w:szCs w:val="24"/>
              </w:rPr>
              <w:t>Reforçar rapidamente a capacidade de geração em Temane e mitigar o défice do Sistema Eléctrico Nacional decorrente da baixa disponibilidade hídrica.</w:t>
            </w:r>
          </w:p>
        </w:tc>
      </w:tr>
      <w:tr w:rsidR="007A0516" w:rsidRPr="001271CF" w14:paraId="18D2E683" w14:textId="77777777" w:rsidTr="00E460CE">
        <w:trPr>
          <w:jc w:val="center"/>
        </w:trPr>
        <w:tc>
          <w:tcPr>
            <w:tcW w:w="23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BCD6A4C" w14:textId="77777777" w:rsidR="007A0516" w:rsidRPr="001271CF" w:rsidRDefault="007F3B33" w:rsidP="00434EBB">
            <w:pPr>
              <w:spacing w:after="0" w:line="245" w:lineRule="auto"/>
              <w:ind w:left="426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sz w:val="24"/>
                <w:szCs w:val="24"/>
              </w:rPr>
              <w:t>Ponto de situação</w:t>
            </w:r>
          </w:p>
        </w:tc>
        <w:tc>
          <w:tcPr>
            <w:tcW w:w="11595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273A021" w14:textId="77777777" w:rsidR="007A0516" w:rsidRPr="001271CF" w:rsidRDefault="007F3B33" w:rsidP="00434EBB">
            <w:pPr>
              <w:spacing w:after="0" w:line="245" w:lineRule="auto"/>
              <w:ind w:left="426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sz w:val="24"/>
                <w:szCs w:val="24"/>
              </w:rPr>
              <w:t xml:space="preserve">O MoU </w:t>
            </w:r>
            <w:r w:rsidRPr="001271CF">
              <w:rPr>
                <w:rFonts w:ascii="Arial" w:hAnsi="Arial" w:cs="Arial"/>
                <w:sz w:val="24"/>
                <w:szCs w:val="24"/>
              </w:rPr>
              <w:t>EDM-Sonelgaz foi assinado em Outubro de 2025 e a Unidade de Implementação criada em Novembro de 2025. Foram realizadas reuniões de alto nível e missões técnicas em Temane e na Argélia, bem como estudos preliminares e a definição das responsabilidades opera</w:t>
            </w:r>
            <w:r w:rsidRPr="001271CF">
              <w:rPr>
                <w:rFonts w:ascii="Arial" w:hAnsi="Arial" w:cs="Arial"/>
                <w:sz w:val="24"/>
                <w:szCs w:val="24"/>
              </w:rPr>
              <w:t>cionais. O Acordo Intergovernamental foi submetido ao Governo argelino e validado institucionalmente entre os ministros responsáveis pela energia. O MIREME indicou um ponto focal e o MINEC emitiu parecer favorável.</w:t>
            </w:r>
          </w:p>
        </w:tc>
      </w:tr>
      <w:tr w:rsidR="007A0516" w:rsidRPr="001271CF" w14:paraId="001B3880" w14:textId="77777777" w:rsidTr="00E460CE">
        <w:trPr>
          <w:jc w:val="center"/>
        </w:trPr>
        <w:tc>
          <w:tcPr>
            <w:tcW w:w="23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3E6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DE1DEDE" w14:textId="77777777" w:rsidR="007A0516" w:rsidRPr="001271CF" w:rsidRDefault="007F3B33" w:rsidP="00434EBB">
            <w:pPr>
              <w:spacing w:after="0" w:line="245" w:lineRule="auto"/>
              <w:ind w:left="426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sz w:val="24"/>
                <w:szCs w:val="24"/>
              </w:rPr>
              <w:t>Principais constrangimentos</w:t>
            </w:r>
          </w:p>
        </w:tc>
        <w:tc>
          <w:tcPr>
            <w:tcW w:w="11595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3E6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D2FDC18" w14:textId="58D6DBB9" w:rsidR="007A0516" w:rsidRPr="001271CF" w:rsidRDefault="007F3B33" w:rsidP="00434EBB">
            <w:pPr>
              <w:spacing w:after="0" w:line="245" w:lineRule="auto"/>
              <w:ind w:left="426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sz w:val="24"/>
                <w:szCs w:val="24"/>
              </w:rPr>
              <w:t>A concretiza</w:t>
            </w:r>
            <w:r w:rsidRPr="001271CF">
              <w:rPr>
                <w:rFonts w:ascii="Arial" w:hAnsi="Arial" w:cs="Arial"/>
                <w:sz w:val="24"/>
                <w:szCs w:val="24"/>
              </w:rPr>
              <w:t xml:space="preserve">ção do donativo depende da conclusão </w:t>
            </w:r>
            <w:r w:rsidR="007C07F8" w:rsidRPr="001271CF">
              <w:rPr>
                <w:rFonts w:ascii="Arial" w:hAnsi="Arial" w:cs="Arial"/>
                <w:sz w:val="24"/>
                <w:szCs w:val="24"/>
              </w:rPr>
              <w:t xml:space="preserve">e assinatura </w:t>
            </w:r>
            <w:r w:rsidRPr="001271CF">
              <w:rPr>
                <w:rFonts w:ascii="Arial" w:hAnsi="Arial" w:cs="Arial"/>
                <w:sz w:val="24"/>
                <w:szCs w:val="24"/>
              </w:rPr>
              <w:t>do Acordo Intergovernamental. Encontra-se pendente o parecer do Ministério das Finanças</w:t>
            </w:r>
            <w:r w:rsidR="007C07F8" w:rsidRPr="001271CF">
              <w:rPr>
                <w:rFonts w:ascii="Arial" w:hAnsi="Arial" w:cs="Arial"/>
                <w:sz w:val="24"/>
                <w:szCs w:val="24"/>
              </w:rPr>
              <w:t xml:space="preserve"> (e Autoridade Tribnutária) sobre as isenções dos impostos e encargos aduaneiros sobre a importação dos equipamentos</w:t>
            </w:r>
            <w:r w:rsidRPr="001271CF">
              <w:rPr>
                <w:rFonts w:ascii="Arial" w:hAnsi="Arial" w:cs="Arial"/>
                <w:sz w:val="24"/>
                <w:szCs w:val="24"/>
              </w:rPr>
              <w:t>, necessário para fechar o pacote de validações.</w:t>
            </w:r>
          </w:p>
        </w:tc>
      </w:tr>
      <w:tr w:rsidR="007A0516" w:rsidRPr="001271CF" w14:paraId="5103B3C6" w14:textId="77777777" w:rsidTr="00E460CE">
        <w:trPr>
          <w:jc w:val="center"/>
        </w:trPr>
        <w:tc>
          <w:tcPr>
            <w:tcW w:w="23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F532752" w14:textId="77777777" w:rsidR="007A0516" w:rsidRPr="001271CF" w:rsidRDefault="007F3B33" w:rsidP="00434EBB">
            <w:pPr>
              <w:spacing w:after="0" w:line="245" w:lineRule="auto"/>
              <w:ind w:left="426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sz w:val="24"/>
                <w:szCs w:val="24"/>
              </w:rPr>
              <w:t>Próximos passos prioritários</w:t>
            </w:r>
          </w:p>
        </w:tc>
        <w:tc>
          <w:tcPr>
            <w:tcW w:w="11595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4183DB3" w14:textId="40997016" w:rsidR="007A0516" w:rsidRPr="001271CF" w:rsidRDefault="007F3B33" w:rsidP="00434EBB">
            <w:pPr>
              <w:spacing w:after="0" w:line="245" w:lineRule="auto"/>
              <w:ind w:left="426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sz w:val="24"/>
                <w:szCs w:val="24"/>
              </w:rPr>
              <w:t>Obter o parecer do Ministério das Finança</w:t>
            </w:r>
            <w:r w:rsidR="007C07F8" w:rsidRPr="001271CF">
              <w:rPr>
                <w:rFonts w:ascii="Arial" w:hAnsi="Arial" w:cs="Arial"/>
                <w:sz w:val="24"/>
                <w:szCs w:val="24"/>
              </w:rPr>
              <w:t>s e AT</w:t>
            </w:r>
            <w:r w:rsidRPr="001271CF">
              <w:rPr>
                <w:rFonts w:ascii="Arial" w:hAnsi="Arial" w:cs="Arial"/>
                <w:sz w:val="24"/>
                <w:szCs w:val="24"/>
              </w:rPr>
              <w:t xml:space="preserve">; concluir </w:t>
            </w:r>
            <w:r w:rsidRPr="001271CF">
              <w:rPr>
                <w:rFonts w:ascii="Arial" w:hAnsi="Arial" w:cs="Arial"/>
                <w:sz w:val="24"/>
                <w:szCs w:val="24"/>
              </w:rPr>
              <w:t>e assinar o Acordo Intergovernamental</w:t>
            </w:r>
            <w:r w:rsidR="007C07F8" w:rsidRPr="001271CF">
              <w:rPr>
                <w:rFonts w:ascii="Arial" w:hAnsi="Arial" w:cs="Arial"/>
                <w:sz w:val="24"/>
                <w:szCs w:val="24"/>
              </w:rPr>
              <w:t xml:space="preserve"> com o governo Argelino</w:t>
            </w:r>
            <w:r w:rsidRPr="001271CF">
              <w:rPr>
                <w:rFonts w:ascii="Arial" w:hAnsi="Arial" w:cs="Arial"/>
                <w:sz w:val="24"/>
                <w:szCs w:val="24"/>
              </w:rPr>
              <w:t>; confirmar o plano logístico e de instalação; e consolidar o cronograma conjunto EDM-Sonelgaz.</w:t>
            </w:r>
          </w:p>
        </w:tc>
      </w:tr>
    </w:tbl>
    <w:p w14:paraId="1614922B" w14:textId="77777777" w:rsidR="007A0516" w:rsidRPr="001271CF" w:rsidRDefault="007A0516" w:rsidP="00434EBB">
      <w:pPr>
        <w:spacing w:after="20"/>
        <w:ind w:left="426"/>
        <w:rPr>
          <w:rFonts w:ascii="Arial" w:hAnsi="Arial" w:cs="Arial"/>
          <w:sz w:val="24"/>
          <w:szCs w:val="24"/>
        </w:rPr>
      </w:pPr>
    </w:p>
    <w:p w14:paraId="2E3829EE" w14:textId="5E6C1F6D" w:rsidR="007A0516" w:rsidRPr="001271CF" w:rsidRDefault="001271CF" w:rsidP="00434EBB">
      <w:pPr>
        <w:pStyle w:val="Heading1"/>
        <w:ind w:left="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</w:t>
      </w:r>
      <w:r w:rsidR="007F3B33" w:rsidRPr="001271CF">
        <w:rPr>
          <w:rFonts w:ascii="Arial" w:hAnsi="Arial" w:cs="Arial"/>
          <w:sz w:val="24"/>
          <w:szCs w:val="24"/>
        </w:rPr>
        <w:t>3 Central Solar de Metoro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11595"/>
      </w:tblGrid>
      <w:tr w:rsidR="007A0516" w:rsidRPr="001271CF" w14:paraId="3C1B1119" w14:textId="77777777" w:rsidTr="001271CF">
        <w:trPr>
          <w:tblHeader/>
          <w:jc w:val="center"/>
        </w:trPr>
        <w:tc>
          <w:tcPr>
            <w:tcW w:w="23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941D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BAD4CAE" w14:textId="77777777" w:rsidR="007A0516" w:rsidRPr="001271CF" w:rsidRDefault="007F3B33" w:rsidP="00434EBB">
            <w:pPr>
              <w:spacing w:after="0" w:line="245" w:lineRule="auto"/>
              <w:ind w:left="426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b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11595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941D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263720D" w14:textId="77777777" w:rsidR="007A0516" w:rsidRPr="001271CF" w:rsidRDefault="007F3B33" w:rsidP="00434EBB">
            <w:pPr>
              <w:spacing w:after="0" w:line="245" w:lineRule="auto"/>
              <w:ind w:left="426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b/>
                <w:color w:val="FFFFFF"/>
                <w:sz w:val="24"/>
                <w:szCs w:val="24"/>
              </w:rPr>
              <w:t>Síntese</w:t>
            </w:r>
          </w:p>
        </w:tc>
      </w:tr>
      <w:tr w:rsidR="007A0516" w:rsidRPr="001271CF" w14:paraId="106B9F54" w14:textId="77777777" w:rsidTr="001271CF">
        <w:trPr>
          <w:jc w:val="center"/>
        </w:trPr>
        <w:tc>
          <w:tcPr>
            <w:tcW w:w="23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56BC4A6" w14:textId="77777777" w:rsidR="007A0516" w:rsidRPr="001271CF" w:rsidRDefault="007F3B33" w:rsidP="00434EBB">
            <w:pPr>
              <w:spacing w:after="0" w:line="245" w:lineRule="auto"/>
              <w:ind w:left="426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sz w:val="24"/>
                <w:szCs w:val="24"/>
              </w:rPr>
              <w:t>Capacidade</w:t>
            </w:r>
          </w:p>
        </w:tc>
        <w:tc>
          <w:tcPr>
            <w:tcW w:w="11595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263F99C" w14:textId="77777777" w:rsidR="007A0516" w:rsidRPr="001271CF" w:rsidRDefault="007F3B33" w:rsidP="00434EBB">
            <w:pPr>
              <w:spacing w:after="0" w:line="245" w:lineRule="auto"/>
              <w:ind w:left="426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sz w:val="24"/>
                <w:szCs w:val="24"/>
              </w:rPr>
              <w:t>40 MWp</w:t>
            </w:r>
          </w:p>
        </w:tc>
      </w:tr>
      <w:tr w:rsidR="007A0516" w:rsidRPr="001271CF" w14:paraId="4DFB555C" w14:textId="77777777" w:rsidTr="001271CF">
        <w:trPr>
          <w:jc w:val="center"/>
        </w:trPr>
        <w:tc>
          <w:tcPr>
            <w:tcW w:w="23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3E6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BCC2233" w14:textId="77777777" w:rsidR="007A0516" w:rsidRPr="001271CF" w:rsidRDefault="007F3B33" w:rsidP="00434EBB">
            <w:pPr>
              <w:spacing w:after="0" w:line="245" w:lineRule="auto"/>
              <w:ind w:left="426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sz w:val="24"/>
                <w:szCs w:val="24"/>
              </w:rPr>
              <w:t>Objectivo e benefício</w:t>
            </w:r>
          </w:p>
        </w:tc>
        <w:tc>
          <w:tcPr>
            <w:tcW w:w="11595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3E6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148B959" w14:textId="77777777" w:rsidR="007A0516" w:rsidRPr="001271CF" w:rsidRDefault="007F3B33" w:rsidP="00434EBB">
            <w:pPr>
              <w:spacing w:after="0" w:line="245" w:lineRule="auto"/>
              <w:ind w:left="426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sz w:val="24"/>
                <w:szCs w:val="24"/>
              </w:rPr>
              <w:t xml:space="preserve">Melhorar a </w:t>
            </w:r>
            <w:r w:rsidRPr="001271CF">
              <w:rPr>
                <w:rFonts w:ascii="Arial" w:hAnsi="Arial" w:cs="Arial"/>
                <w:sz w:val="24"/>
                <w:szCs w:val="24"/>
              </w:rPr>
              <w:t>disponibilidade, estabilidade e segurança do fornecimento de energia na região Norte e apoiar a continuidade do programa de acesso universal.</w:t>
            </w:r>
          </w:p>
        </w:tc>
      </w:tr>
      <w:tr w:rsidR="007A0516" w:rsidRPr="001271CF" w14:paraId="7E7E7AAC" w14:textId="77777777" w:rsidTr="001271CF">
        <w:trPr>
          <w:jc w:val="center"/>
        </w:trPr>
        <w:tc>
          <w:tcPr>
            <w:tcW w:w="23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E0695F2" w14:textId="77777777" w:rsidR="007A0516" w:rsidRPr="001271CF" w:rsidRDefault="007F3B33" w:rsidP="00434EBB">
            <w:pPr>
              <w:spacing w:after="0" w:line="245" w:lineRule="auto"/>
              <w:ind w:left="426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sz w:val="24"/>
                <w:szCs w:val="24"/>
              </w:rPr>
              <w:t xml:space="preserve">Ponto de </w:t>
            </w:r>
            <w:r w:rsidRPr="001271CF">
              <w:rPr>
                <w:rFonts w:ascii="Arial" w:hAnsi="Arial" w:cs="Arial"/>
                <w:sz w:val="24"/>
                <w:szCs w:val="24"/>
              </w:rPr>
              <w:lastRenderedPageBreak/>
              <w:t>situação</w:t>
            </w:r>
          </w:p>
        </w:tc>
        <w:tc>
          <w:tcPr>
            <w:tcW w:w="11595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DB3317E" w14:textId="77777777" w:rsidR="007A0516" w:rsidRPr="001271CF" w:rsidRDefault="007F3B33" w:rsidP="00434EBB">
            <w:pPr>
              <w:spacing w:after="0" w:line="245" w:lineRule="auto"/>
              <w:ind w:left="426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sz w:val="24"/>
                <w:szCs w:val="24"/>
              </w:rPr>
              <w:lastRenderedPageBreak/>
              <w:t xml:space="preserve">A TotalEnergies adquiriu a participação da NEOEN e assumiu a liderança privada da </w:t>
            </w:r>
            <w:r w:rsidRPr="001271CF">
              <w:rPr>
                <w:rFonts w:ascii="Arial" w:hAnsi="Arial" w:cs="Arial"/>
                <w:sz w:val="24"/>
                <w:szCs w:val="24"/>
              </w:rPr>
              <w:t xml:space="preserve">retoma. O </w:t>
            </w:r>
            <w:r w:rsidRPr="001271CF">
              <w:rPr>
                <w:rFonts w:ascii="Arial" w:hAnsi="Arial" w:cs="Arial"/>
                <w:sz w:val="24"/>
                <w:szCs w:val="24"/>
              </w:rPr>
              <w:lastRenderedPageBreak/>
              <w:t>projecto requer reestruturação financeira após a saída do empreiteiro EFACEC, que provocou paralisação, degradação e vandalização de activos. Os custos adicionais foram estimados em USD 8,1 milhões, prevendo-se que a contribuição da EDM ocorra at</w:t>
            </w:r>
            <w:r w:rsidRPr="001271CF">
              <w:rPr>
                <w:rFonts w:ascii="Arial" w:hAnsi="Arial" w:cs="Arial"/>
                <w:sz w:val="24"/>
                <w:szCs w:val="24"/>
              </w:rPr>
              <w:t>ravés da diluição da sua participação. A AFD e a PROPARCO propuseram o perdão de 70% da exposição e o pagamento imediato dos 30% remanescentes. A TotalEnergies e a EDM negociam as adendas aos contratos do projecto.</w:t>
            </w:r>
          </w:p>
        </w:tc>
      </w:tr>
      <w:tr w:rsidR="007A0516" w:rsidRPr="001271CF" w14:paraId="395548F4" w14:textId="77777777" w:rsidTr="001271CF">
        <w:trPr>
          <w:jc w:val="center"/>
        </w:trPr>
        <w:tc>
          <w:tcPr>
            <w:tcW w:w="23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3E6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53518C3" w14:textId="77777777" w:rsidR="007A0516" w:rsidRPr="001271CF" w:rsidRDefault="007F3B33" w:rsidP="00434EBB">
            <w:pPr>
              <w:spacing w:after="0" w:line="245" w:lineRule="auto"/>
              <w:ind w:left="426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sz w:val="24"/>
                <w:szCs w:val="24"/>
              </w:rPr>
              <w:lastRenderedPageBreak/>
              <w:t>Principais constrangimentos</w:t>
            </w:r>
          </w:p>
        </w:tc>
        <w:tc>
          <w:tcPr>
            <w:tcW w:w="11595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3E6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103C97A" w14:textId="58CAA2F8" w:rsidR="007A0516" w:rsidRPr="001271CF" w:rsidRDefault="007F3B33" w:rsidP="00434EBB">
            <w:pPr>
              <w:spacing w:after="0" w:line="245" w:lineRule="auto"/>
              <w:ind w:left="426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sz w:val="24"/>
                <w:szCs w:val="24"/>
              </w:rPr>
              <w:t>A retoma dep</w:t>
            </w:r>
            <w:r w:rsidRPr="001271CF">
              <w:rPr>
                <w:rFonts w:ascii="Arial" w:hAnsi="Arial" w:cs="Arial"/>
                <w:sz w:val="24"/>
                <w:szCs w:val="24"/>
              </w:rPr>
              <w:t xml:space="preserve">ende da resolução do impasse entre os accionistas, da estrutura financeira, das condições de segurança e do PPA. A TotalEnergies </w:t>
            </w:r>
            <w:r w:rsidR="007C07F8" w:rsidRPr="001271CF">
              <w:rPr>
                <w:rFonts w:ascii="Arial" w:hAnsi="Arial" w:cs="Arial"/>
                <w:sz w:val="24"/>
                <w:szCs w:val="24"/>
              </w:rPr>
              <w:t>exige</w:t>
            </w:r>
            <w:r w:rsidRPr="001271CF">
              <w:rPr>
                <w:rFonts w:ascii="Arial" w:hAnsi="Arial" w:cs="Arial"/>
                <w:sz w:val="24"/>
                <w:szCs w:val="24"/>
              </w:rPr>
              <w:t xml:space="preserve"> alterar o perfil tarifário de forma a reter um eventual benefício decorrente da saída dos financiadores; nos termos do P</w:t>
            </w:r>
            <w:r w:rsidRPr="001271CF">
              <w:rPr>
                <w:rFonts w:ascii="Arial" w:hAnsi="Arial" w:cs="Arial"/>
                <w:sz w:val="24"/>
                <w:szCs w:val="24"/>
              </w:rPr>
              <w:t>PA vigente, esse benefício</w:t>
            </w:r>
            <w:r w:rsidR="007C07F8" w:rsidRPr="001271CF">
              <w:rPr>
                <w:rFonts w:ascii="Arial" w:hAnsi="Arial" w:cs="Arial"/>
                <w:sz w:val="24"/>
                <w:szCs w:val="24"/>
              </w:rPr>
              <w:t xml:space="preserve"> contratualmente se</w:t>
            </w:r>
            <w:r w:rsidRPr="001271CF">
              <w:rPr>
                <w:rFonts w:ascii="Arial" w:hAnsi="Arial" w:cs="Arial"/>
                <w:sz w:val="24"/>
                <w:szCs w:val="24"/>
              </w:rPr>
              <w:t xml:space="preserve"> revert</w:t>
            </w:r>
            <w:r w:rsidR="007C07F8" w:rsidRPr="001271CF">
              <w:rPr>
                <w:rFonts w:ascii="Arial" w:hAnsi="Arial" w:cs="Arial"/>
                <w:sz w:val="24"/>
                <w:szCs w:val="24"/>
              </w:rPr>
              <w:t>er</w:t>
            </w:r>
            <w:r w:rsidRPr="001271CF">
              <w:rPr>
                <w:rFonts w:ascii="Arial" w:hAnsi="Arial" w:cs="Arial"/>
                <w:sz w:val="24"/>
                <w:szCs w:val="24"/>
              </w:rPr>
              <w:t xml:space="preserve"> para a</w:t>
            </w:r>
            <w:r w:rsidR="007C07F8" w:rsidRPr="001271CF">
              <w:rPr>
                <w:rFonts w:ascii="Arial" w:hAnsi="Arial" w:cs="Arial"/>
                <w:sz w:val="24"/>
                <w:szCs w:val="24"/>
              </w:rPr>
              <w:t xml:space="preserve"> redução da tarifa da</w:t>
            </w:r>
            <w:r w:rsidRPr="001271CF">
              <w:rPr>
                <w:rFonts w:ascii="Arial" w:hAnsi="Arial" w:cs="Arial"/>
                <w:sz w:val="24"/>
                <w:szCs w:val="24"/>
              </w:rPr>
              <w:t xml:space="preserve"> EDM</w:t>
            </w:r>
            <w:r w:rsidR="007C07F8" w:rsidRPr="001271CF">
              <w:rPr>
                <w:rFonts w:ascii="Arial" w:hAnsi="Arial" w:cs="Arial"/>
                <w:sz w:val="24"/>
                <w:szCs w:val="24"/>
              </w:rPr>
              <w:t>, posição não aceite pela EDM e dai que processo ficou parado sem decisão final por parte da TotalEnergies.</w:t>
            </w:r>
          </w:p>
        </w:tc>
      </w:tr>
      <w:tr w:rsidR="007A0516" w:rsidRPr="001271CF" w14:paraId="5A3826A1" w14:textId="77777777" w:rsidTr="001271CF">
        <w:trPr>
          <w:jc w:val="center"/>
        </w:trPr>
        <w:tc>
          <w:tcPr>
            <w:tcW w:w="23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7DC8765" w14:textId="77777777" w:rsidR="007A0516" w:rsidRPr="001271CF" w:rsidRDefault="007F3B33" w:rsidP="00434EBB">
            <w:pPr>
              <w:spacing w:after="0" w:line="245" w:lineRule="auto"/>
              <w:ind w:left="426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sz w:val="24"/>
                <w:szCs w:val="24"/>
              </w:rPr>
              <w:t>Próximos passos prioritários</w:t>
            </w:r>
          </w:p>
        </w:tc>
        <w:tc>
          <w:tcPr>
            <w:tcW w:w="11595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242DD80" w14:textId="3CFA9BE0" w:rsidR="007A0516" w:rsidRPr="001271CF" w:rsidRDefault="007F3B33" w:rsidP="00434EBB">
            <w:pPr>
              <w:spacing w:after="0" w:line="245" w:lineRule="auto"/>
              <w:ind w:left="426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sz w:val="24"/>
                <w:szCs w:val="24"/>
              </w:rPr>
              <w:t xml:space="preserve">Concluir o trabalho interinstitucional orientado pelo MIREME; acordar uma solução </w:t>
            </w:r>
            <w:r w:rsidR="007C07F8" w:rsidRPr="001271CF">
              <w:rPr>
                <w:rFonts w:ascii="Arial" w:hAnsi="Arial" w:cs="Arial"/>
                <w:sz w:val="24"/>
                <w:szCs w:val="24"/>
              </w:rPr>
              <w:t xml:space="preserve">entre a EDM e a TotalEnergies; </w:t>
            </w:r>
            <w:r w:rsidRPr="001271CF">
              <w:rPr>
                <w:rFonts w:ascii="Arial" w:hAnsi="Arial" w:cs="Arial"/>
                <w:sz w:val="24"/>
                <w:szCs w:val="24"/>
              </w:rPr>
              <w:t>fechar a reestruturação financeira e as adendas; e aprovar um plano de segurança, recuperação dos activos e remobilização.</w:t>
            </w:r>
          </w:p>
        </w:tc>
      </w:tr>
    </w:tbl>
    <w:p w14:paraId="372ED1FF" w14:textId="77777777" w:rsidR="007A0516" w:rsidRPr="001271CF" w:rsidRDefault="007A0516" w:rsidP="00434EBB">
      <w:pPr>
        <w:spacing w:after="20"/>
        <w:ind w:left="426"/>
        <w:rPr>
          <w:rFonts w:ascii="Arial" w:hAnsi="Arial" w:cs="Arial"/>
          <w:sz w:val="24"/>
          <w:szCs w:val="24"/>
        </w:rPr>
      </w:pPr>
    </w:p>
    <w:p w14:paraId="1A3AF683" w14:textId="60C6A0DE" w:rsidR="007A0516" w:rsidRPr="001271CF" w:rsidRDefault="001271CF" w:rsidP="00434EBB">
      <w:pPr>
        <w:pStyle w:val="Heading1"/>
        <w:ind w:left="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</w:t>
      </w:r>
      <w:r w:rsidR="007F3B33" w:rsidRPr="001271CF">
        <w:rPr>
          <w:rFonts w:ascii="Arial" w:hAnsi="Arial" w:cs="Arial"/>
          <w:sz w:val="24"/>
          <w:szCs w:val="24"/>
        </w:rPr>
        <w:t>4 Central Eólica de Namaacha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11737"/>
      </w:tblGrid>
      <w:tr w:rsidR="007A0516" w:rsidRPr="001271CF" w14:paraId="60305C20" w14:textId="77777777" w:rsidTr="001271CF">
        <w:trPr>
          <w:tblHeader/>
          <w:jc w:val="center"/>
        </w:trPr>
        <w:tc>
          <w:tcPr>
            <w:tcW w:w="23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941D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30FAF05" w14:textId="77777777" w:rsidR="007A0516" w:rsidRPr="001271CF" w:rsidRDefault="007F3B33" w:rsidP="00434EBB">
            <w:pPr>
              <w:spacing w:after="0" w:line="245" w:lineRule="auto"/>
              <w:ind w:left="426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b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117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941D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BBA2BD4" w14:textId="77777777" w:rsidR="007A0516" w:rsidRPr="001271CF" w:rsidRDefault="007F3B33" w:rsidP="00434EBB">
            <w:pPr>
              <w:spacing w:after="0" w:line="245" w:lineRule="auto"/>
              <w:ind w:left="426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b/>
                <w:color w:val="FFFFFF"/>
                <w:sz w:val="24"/>
                <w:szCs w:val="24"/>
              </w:rPr>
              <w:t>Síntese</w:t>
            </w:r>
          </w:p>
        </w:tc>
      </w:tr>
      <w:tr w:rsidR="007A0516" w:rsidRPr="001271CF" w14:paraId="49A784AF" w14:textId="77777777" w:rsidTr="001271CF">
        <w:trPr>
          <w:jc w:val="center"/>
        </w:trPr>
        <w:tc>
          <w:tcPr>
            <w:tcW w:w="23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A4B180F" w14:textId="77777777" w:rsidR="007A0516" w:rsidRPr="001271CF" w:rsidRDefault="007F3B33" w:rsidP="00434EBB">
            <w:pPr>
              <w:spacing w:after="0" w:line="245" w:lineRule="auto"/>
              <w:ind w:left="426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sz w:val="24"/>
                <w:szCs w:val="24"/>
              </w:rPr>
              <w:t>Capacidade</w:t>
            </w:r>
          </w:p>
        </w:tc>
        <w:tc>
          <w:tcPr>
            <w:tcW w:w="117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DE6C885" w14:textId="77777777" w:rsidR="007A0516" w:rsidRPr="001271CF" w:rsidRDefault="007F3B33" w:rsidP="00434EBB">
            <w:pPr>
              <w:spacing w:after="0" w:line="245" w:lineRule="auto"/>
              <w:ind w:left="426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sz w:val="24"/>
                <w:szCs w:val="24"/>
              </w:rPr>
              <w:t>120 MW</w:t>
            </w:r>
          </w:p>
        </w:tc>
      </w:tr>
      <w:tr w:rsidR="007A0516" w:rsidRPr="001271CF" w14:paraId="5CFDEDD4" w14:textId="77777777" w:rsidTr="001271CF">
        <w:trPr>
          <w:jc w:val="center"/>
        </w:trPr>
        <w:tc>
          <w:tcPr>
            <w:tcW w:w="23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3E6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A9A1CD8" w14:textId="77777777" w:rsidR="007A0516" w:rsidRPr="001271CF" w:rsidRDefault="007F3B33" w:rsidP="00434EBB">
            <w:pPr>
              <w:spacing w:after="0" w:line="245" w:lineRule="auto"/>
              <w:ind w:left="426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sz w:val="24"/>
                <w:szCs w:val="24"/>
              </w:rPr>
              <w:t>Objectivo e benefício</w:t>
            </w:r>
          </w:p>
        </w:tc>
        <w:tc>
          <w:tcPr>
            <w:tcW w:w="117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3E6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5515A31" w14:textId="77777777" w:rsidR="007A0516" w:rsidRPr="001271CF" w:rsidRDefault="007F3B33" w:rsidP="00434EBB">
            <w:pPr>
              <w:spacing w:after="0" w:line="245" w:lineRule="auto"/>
              <w:ind w:left="426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sz w:val="24"/>
                <w:szCs w:val="24"/>
              </w:rPr>
              <w:t xml:space="preserve">Diversificar a matriz </w:t>
            </w:r>
            <w:r w:rsidRPr="001271CF">
              <w:rPr>
                <w:rFonts w:ascii="Arial" w:hAnsi="Arial" w:cs="Arial"/>
                <w:sz w:val="24"/>
                <w:szCs w:val="24"/>
              </w:rPr>
              <w:t>energética, disponibilizar energia prioritariamente ao mercado nacional e exportar os excedentes.</w:t>
            </w:r>
          </w:p>
        </w:tc>
      </w:tr>
      <w:tr w:rsidR="007A0516" w:rsidRPr="001271CF" w14:paraId="11B16962" w14:textId="77777777" w:rsidTr="001271CF">
        <w:trPr>
          <w:jc w:val="center"/>
        </w:trPr>
        <w:tc>
          <w:tcPr>
            <w:tcW w:w="23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499CAAA" w14:textId="77777777" w:rsidR="007A0516" w:rsidRPr="001271CF" w:rsidRDefault="007F3B33" w:rsidP="00434EBB">
            <w:pPr>
              <w:spacing w:after="0" w:line="245" w:lineRule="auto"/>
              <w:ind w:left="426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sz w:val="24"/>
                <w:szCs w:val="24"/>
              </w:rPr>
              <w:t>Ponto de situação</w:t>
            </w:r>
          </w:p>
        </w:tc>
        <w:tc>
          <w:tcPr>
            <w:tcW w:w="117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B009DC4" w14:textId="77777777" w:rsidR="007A0516" w:rsidRPr="001271CF" w:rsidRDefault="007F3B33" w:rsidP="00434EBB">
            <w:pPr>
              <w:spacing w:after="0" w:line="245" w:lineRule="auto"/>
              <w:ind w:left="426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sz w:val="24"/>
                <w:szCs w:val="24"/>
              </w:rPr>
              <w:t xml:space="preserve">A CEN e a EDM negociam adendas ao PPA, SHA, COA e Contrato de Concessão. A nova abordagem transfere para a EDM a construção da linha de </w:t>
            </w:r>
            <w:r w:rsidRPr="001271CF">
              <w:rPr>
                <w:rFonts w:ascii="Arial" w:hAnsi="Arial" w:cs="Arial"/>
                <w:sz w:val="24"/>
                <w:szCs w:val="24"/>
              </w:rPr>
              <w:t>interligação, financiada por uma subvenção do BAD e sujeita às regras de contratação pública. A EDM lançou o concurso para seleccionar o empreiteiro da linha. A CEN lançou o concurso para o BoP da central; os resultados permitirão actualizar o custo, o mod</w:t>
            </w:r>
            <w:r w:rsidRPr="001271CF">
              <w:rPr>
                <w:rFonts w:ascii="Arial" w:hAnsi="Arial" w:cs="Arial"/>
                <w:sz w:val="24"/>
                <w:szCs w:val="24"/>
              </w:rPr>
              <w:t>elo financeiro e a tarifa final.</w:t>
            </w:r>
          </w:p>
        </w:tc>
      </w:tr>
      <w:tr w:rsidR="007A0516" w:rsidRPr="001271CF" w14:paraId="60CD9844" w14:textId="77777777" w:rsidTr="001271CF">
        <w:trPr>
          <w:jc w:val="center"/>
        </w:trPr>
        <w:tc>
          <w:tcPr>
            <w:tcW w:w="23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3E6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E248DC5" w14:textId="77777777" w:rsidR="007A0516" w:rsidRPr="001271CF" w:rsidRDefault="007F3B33" w:rsidP="00434EBB">
            <w:pPr>
              <w:spacing w:after="0" w:line="245" w:lineRule="auto"/>
              <w:ind w:left="426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sz w:val="24"/>
                <w:szCs w:val="24"/>
              </w:rPr>
              <w:lastRenderedPageBreak/>
              <w:t>Principais constrangimentos</w:t>
            </w:r>
          </w:p>
        </w:tc>
        <w:tc>
          <w:tcPr>
            <w:tcW w:w="117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3E6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B5FAF1C" w14:textId="77777777" w:rsidR="007A0516" w:rsidRPr="001271CF" w:rsidRDefault="007F3B33" w:rsidP="00434EBB">
            <w:pPr>
              <w:spacing w:after="0" w:line="245" w:lineRule="auto"/>
              <w:ind w:left="426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sz w:val="24"/>
                <w:szCs w:val="24"/>
              </w:rPr>
              <w:t xml:space="preserve">A janela de financiamento anteriormente disponível, incluindo um donativo aproximado de USD 1 milhão associado ao IFC, caducou devido à demora no desenvolvimento. Esta perda aumenta a </w:t>
            </w:r>
            <w:r w:rsidRPr="001271CF">
              <w:rPr>
                <w:rFonts w:ascii="Arial" w:hAnsi="Arial" w:cs="Arial"/>
                <w:sz w:val="24"/>
                <w:szCs w:val="24"/>
              </w:rPr>
              <w:t>dificuldade de atingir uma tarifa sustentável. O fecho contratual depende ainda dos resultados dos concursos e da actualização do modelo financeiro.</w:t>
            </w:r>
          </w:p>
        </w:tc>
      </w:tr>
      <w:tr w:rsidR="007A0516" w:rsidRPr="001271CF" w14:paraId="69107C68" w14:textId="77777777" w:rsidTr="001271CF">
        <w:trPr>
          <w:jc w:val="center"/>
        </w:trPr>
        <w:tc>
          <w:tcPr>
            <w:tcW w:w="23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A575367" w14:textId="77777777" w:rsidR="007A0516" w:rsidRPr="001271CF" w:rsidRDefault="007F3B33" w:rsidP="00434EBB">
            <w:pPr>
              <w:spacing w:after="0" w:line="245" w:lineRule="auto"/>
              <w:ind w:left="426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sz w:val="24"/>
                <w:szCs w:val="24"/>
              </w:rPr>
              <w:t>Próximos passos prioritários</w:t>
            </w:r>
          </w:p>
        </w:tc>
        <w:tc>
          <w:tcPr>
            <w:tcW w:w="117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3276313" w14:textId="77777777" w:rsidR="007A0516" w:rsidRPr="001271CF" w:rsidRDefault="007F3B33" w:rsidP="00434EBB">
            <w:pPr>
              <w:spacing w:after="0" w:line="245" w:lineRule="auto"/>
              <w:ind w:left="426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sz w:val="24"/>
                <w:szCs w:val="24"/>
              </w:rPr>
              <w:t>Concluir os concursos da linha e do BoP; actualizar o orçamento e o modelo fi</w:t>
            </w:r>
            <w:r w:rsidRPr="001271CF">
              <w:rPr>
                <w:rFonts w:ascii="Arial" w:hAnsi="Arial" w:cs="Arial"/>
                <w:sz w:val="24"/>
                <w:szCs w:val="24"/>
              </w:rPr>
              <w:t>nanceiro; finalizar as adendas contratuais; confirmar fontes alternativas de financiamento concessional ou donativos; e acordar uma tarifa sustentável para a EDM.</w:t>
            </w:r>
          </w:p>
        </w:tc>
      </w:tr>
    </w:tbl>
    <w:p w14:paraId="38819DF0" w14:textId="77777777" w:rsidR="007A0516" w:rsidRPr="001271CF" w:rsidRDefault="007A0516" w:rsidP="00434EBB">
      <w:pPr>
        <w:spacing w:after="20"/>
        <w:ind w:left="426"/>
        <w:rPr>
          <w:rFonts w:ascii="Arial" w:hAnsi="Arial" w:cs="Arial"/>
          <w:sz w:val="24"/>
          <w:szCs w:val="24"/>
        </w:rPr>
      </w:pPr>
    </w:p>
    <w:p w14:paraId="5F94D933" w14:textId="53EC4D22" w:rsidR="007A0516" w:rsidRPr="001271CF" w:rsidRDefault="001271CF" w:rsidP="00434EBB">
      <w:pPr>
        <w:pStyle w:val="Heading1"/>
        <w:ind w:left="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</w:t>
      </w:r>
      <w:r w:rsidR="007F3B33" w:rsidRPr="001271CF">
        <w:rPr>
          <w:rFonts w:ascii="Arial" w:hAnsi="Arial" w:cs="Arial"/>
          <w:sz w:val="24"/>
          <w:szCs w:val="24"/>
        </w:rPr>
        <w:t>5 SLIGM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11979"/>
      </w:tblGrid>
      <w:tr w:rsidR="007A0516" w:rsidRPr="001271CF" w14:paraId="61E883A8" w14:textId="77777777" w:rsidTr="001271CF">
        <w:trPr>
          <w:tblHeader/>
          <w:jc w:val="center"/>
        </w:trPr>
        <w:tc>
          <w:tcPr>
            <w:tcW w:w="23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941D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C5D71A3" w14:textId="77777777" w:rsidR="007A0516" w:rsidRPr="001271CF" w:rsidRDefault="007F3B33" w:rsidP="00434EBB">
            <w:pPr>
              <w:spacing w:after="0" w:line="245" w:lineRule="auto"/>
              <w:ind w:left="426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b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1197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941D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7DD5A92" w14:textId="77777777" w:rsidR="007A0516" w:rsidRPr="001271CF" w:rsidRDefault="007F3B33" w:rsidP="00434EBB">
            <w:pPr>
              <w:spacing w:after="0" w:line="245" w:lineRule="auto"/>
              <w:ind w:left="426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b/>
                <w:color w:val="FFFFFF"/>
                <w:sz w:val="24"/>
                <w:szCs w:val="24"/>
              </w:rPr>
              <w:t>Síntese</w:t>
            </w:r>
          </w:p>
        </w:tc>
      </w:tr>
      <w:tr w:rsidR="007A0516" w:rsidRPr="001271CF" w14:paraId="08D961A4" w14:textId="77777777" w:rsidTr="001271CF">
        <w:trPr>
          <w:jc w:val="center"/>
        </w:trPr>
        <w:tc>
          <w:tcPr>
            <w:tcW w:w="23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00F9E19" w14:textId="77777777" w:rsidR="007A0516" w:rsidRPr="001271CF" w:rsidRDefault="007F3B33" w:rsidP="00434EBB">
            <w:pPr>
              <w:spacing w:after="0" w:line="245" w:lineRule="auto"/>
              <w:ind w:left="426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sz w:val="24"/>
                <w:szCs w:val="24"/>
              </w:rPr>
              <w:t>Capacidade</w:t>
            </w:r>
          </w:p>
        </w:tc>
        <w:tc>
          <w:tcPr>
            <w:tcW w:w="1197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230E54B" w14:textId="77777777" w:rsidR="007A0516" w:rsidRPr="001271CF" w:rsidRDefault="007F3B33" w:rsidP="00434EBB">
            <w:pPr>
              <w:spacing w:after="0" w:line="245" w:lineRule="auto"/>
              <w:ind w:left="426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sz w:val="24"/>
                <w:szCs w:val="24"/>
              </w:rPr>
              <w:t xml:space="preserve">Unidade Flutuante de Armazenamento e </w:t>
            </w:r>
            <w:r w:rsidRPr="001271CF">
              <w:rPr>
                <w:rFonts w:ascii="Arial" w:hAnsi="Arial" w:cs="Arial"/>
                <w:sz w:val="24"/>
                <w:szCs w:val="24"/>
              </w:rPr>
              <w:t>Regaseificação na zona Norte de Inhambane</w:t>
            </w:r>
          </w:p>
        </w:tc>
      </w:tr>
      <w:tr w:rsidR="007A0516" w:rsidRPr="001271CF" w14:paraId="1985A92D" w14:textId="77777777" w:rsidTr="001271CF">
        <w:trPr>
          <w:jc w:val="center"/>
        </w:trPr>
        <w:tc>
          <w:tcPr>
            <w:tcW w:w="23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3E6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6837991" w14:textId="77777777" w:rsidR="007A0516" w:rsidRPr="001271CF" w:rsidRDefault="007F3B33" w:rsidP="00434EBB">
            <w:pPr>
              <w:spacing w:after="0" w:line="245" w:lineRule="auto"/>
              <w:ind w:left="426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sz w:val="24"/>
                <w:szCs w:val="24"/>
              </w:rPr>
              <w:t>Objectivo e benefício</w:t>
            </w:r>
          </w:p>
        </w:tc>
        <w:tc>
          <w:tcPr>
            <w:tcW w:w="1197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3E6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CDB70DD" w14:textId="6C2D3326" w:rsidR="007A0516" w:rsidRPr="001271CF" w:rsidRDefault="007F3B33" w:rsidP="00434EBB">
            <w:pPr>
              <w:spacing w:after="0" w:line="245" w:lineRule="auto"/>
              <w:ind w:left="426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sz w:val="24"/>
                <w:szCs w:val="24"/>
              </w:rPr>
              <w:t>Converter GNL proveniente dos projectos da Bacia do Rovuma em gás natural para abastecer centrais existentes e futuras</w:t>
            </w:r>
            <w:r w:rsidR="00EB6879" w:rsidRPr="001271CF">
              <w:rPr>
                <w:rFonts w:ascii="Arial" w:hAnsi="Arial" w:cs="Arial"/>
                <w:sz w:val="24"/>
                <w:szCs w:val="24"/>
              </w:rPr>
              <w:t xml:space="preserve"> na região sul e centro do País</w:t>
            </w:r>
            <w:r w:rsidRPr="001271CF">
              <w:rPr>
                <w:rFonts w:ascii="Arial" w:hAnsi="Arial" w:cs="Arial"/>
                <w:sz w:val="24"/>
                <w:szCs w:val="24"/>
              </w:rPr>
              <w:t>, à medida que se esgotam as reservas de Pande e Temane. A infra-estrutur</w:t>
            </w:r>
            <w:r w:rsidRPr="001271CF">
              <w:rPr>
                <w:rFonts w:ascii="Arial" w:hAnsi="Arial" w:cs="Arial"/>
                <w:sz w:val="24"/>
                <w:szCs w:val="24"/>
              </w:rPr>
              <w:t>a também pode viabilizar a utilização da quota doméstica de gás e atrair investimento para as cadeias de gás e electricidade.</w:t>
            </w:r>
          </w:p>
        </w:tc>
      </w:tr>
      <w:tr w:rsidR="007A0516" w:rsidRPr="001271CF" w14:paraId="01AEE711" w14:textId="77777777" w:rsidTr="001271CF">
        <w:trPr>
          <w:jc w:val="center"/>
        </w:trPr>
        <w:tc>
          <w:tcPr>
            <w:tcW w:w="23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7B7E37D" w14:textId="77777777" w:rsidR="007A0516" w:rsidRPr="001271CF" w:rsidRDefault="007F3B33" w:rsidP="00434EBB">
            <w:pPr>
              <w:spacing w:after="0" w:line="245" w:lineRule="auto"/>
              <w:ind w:left="426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sz w:val="24"/>
                <w:szCs w:val="24"/>
              </w:rPr>
              <w:t>Ponto de situação</w:t>
            </w:r>
          </w:p>
        </w:tc>
        <w:tc>
          <w:tcPr>
            <w:tcW w:w="1197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49EF878" w14:textId="77777777" w:rsidR="007A0516" w:rsidRPr="001271CF" w:rsidRDefault="007F3B33" w:rsidP="00434EBB">
            <w:pPr>
              <w:spacing w:after="0" w:line="245" w:lineRule="auto"/>
              <w:ind w:left="426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sz w:val="24"/>
                <w:szCs w:val="24"/>
              </w:rPr>
              <w:t xml:space="preserve">Foram assinados o SHA e o JDA entre EDM, ENH, CFM e HCB. Foram constituídos os Comités de Gestão e </w:t>
            </w:r>
            <w:r w:rsidRPr="001271CF">
              <w:rPr>
                <w:rFonts w:ascii="Arial" w:hAnsi="Arial" w:cs="Arial"/>
                <w:sz w:val="24"/>
                <w:szCs w:val="24"/>
              </w:rPr>
              <w:t>Técnico e a Unidade de Implementação do Projecto. Está em curso a constituição do veículo de propósito específico SLIGM.</w:t>
            </w:r>
          </w:p>
        </w:tc>
      </w:tr>
      <w:tr w:rsidR="007A0516" w:rsidRPr="001271CF" w14:paraId="563D0C89" w14:textId="77777777" w:rsidTr="001271CF">
        <w:trPr>
          <w:jc w:val="center"/>
        </w:trPr>
        <w:tc>
          <w:tcPr>
            <w:tcW w:w="23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3E6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DE337FD" w14:textId="77777777" w:rsidR="007A0516" w:rsidRPr="001271CF" w:rsidRDefault="007F3B33" w:rsidP="00434EBB">
            <w:pPr>
              <w:spacing w:after="0" w:line="245" w:lineRule="auto"/>
              <w:ind w:left="426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sz w:val="24"/>
                <w:szCs w:val="24"/>
              </w:rPr>
              <w:t>Principais constrangimentos</w:t>
            </w:r>
          </w:p>
        </w:tc>
        <w:tc>
          <w:tcPr>
            <w:tcW w:w="1197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3E6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0E7C354" w14:textId="77777777" w:rsidR="007A0516" w:rsidRPr="001271CF" w:rsidRDefault="007F3B33" w:rsidP="00434EBB">
            <w:pPr>
              <w:spacing w:after="0" w:line="245" w:lineRule="auto"/>
              <w:ind w:left="426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sz w:val="24"/>
                <w:szCs w:val="24"/>
              </w:rPr>
              <w:t>Sem uma alternativa de abastecimento, existe risco de paralisação das centrais CTRG, Kuvaninga, CTM e Giga</w:t>
            </w:r>
            <w:r w:rsidRPr="001271CF">
              <w:rPr>
                <w:rFonts w:ascii="Arial" w:hAnsi="Arial" w:cs="Arial"/>
                <w:sz w:val="24"/>
                <w:szCs w:val="24"/>
              </w:rPr>
              <w:t>watt após o esgotamento do gás de Pande e Temane, previsto para depois de 2028, afectando cerca de 450 MW. Persistem incertezas quanto à alocação da quota doméstica do gás do Rovuma e à inexistência de infra-estruturas de transporte de gás.</w:t>
            </w:r>
          </w:p>
        </w:tc>
      </w:tr>
      <w:tr w:rsidR="007A0516" w:rsidRPr="001271CF" w14:paraId="5DD5957E" w14:textId="77777777" w:rsidTr="001271CF">
        <w:trPr>
          <w:jc w:val="center"/>
        </w:trPr>
        <w:tc>
          <w:tcPr>
            <w:tcW w:w="23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F16C540" w14:textId="77777777" w:rsidR="007A0516" w:rsidRPr="001271CF" w:rsidRDefault="007F3B33" w:rsidP="00434EBB">
            <w:pPr>
              <w:spacing w:after="0" w:line="245" w:lineRule="auto"/>
              <w:ind w:left="426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sz w:val="24"/>
                <w:szCs w:val="24"/>
              </w:rPr>
              <w:t>Próximos passo</w:t>
            </w:r>
            <w:r w:rsidRPr="001271CF">
              <w:rPr>
                <w:rFonts w:ascii="Arial" w:hAnsi="Arial" w:cs="Arial"/>
                <w:sz w:val="24"/>
                <w:szCs w:val="24"/>
              </w:rPr>
              <w:t xml:space="preserve">s </w:t>
            </w:r>
            <w:r w:rsidRPr="001271CF">
              <w:rPr>
                <w:rFonts w:ascii="Arial" w:hAnsi="Arial" w:cs="Arial"/>
                <w:sz w:val="24"/>
                <w:szCs w:val="24"/>
              </w:rPr>
              <w:lastRenderedPageBreak/>
              <w:t>prioritários</w:t>
            </w:r>
          </w:p>
        </w:tc>
        <w:tc>
          <w:tcPr>
            <w:tcW w:w="1197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79A199E" w14:textId="5260CE28" w:rsidR="007A0516" w:rsidRPr="001271CF" w:rsidRDefault="007F3B33" w:rsidP="00434EBB">
            <w:pPr>
              <w:spacing w:after="0" w:line="245" w:lineRule="auto"/>
              <w:ind w:left="426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sz w:val="24"/>
                <w:szCs w:val="24"/>
              </w:rPr>
              <w:lastRenderedPageBreak/>
              <w:t xml:space="preserve">Concluir a constituição da SLIGM e a governação societária; assegurar a alocação de gás doméstico; desenvolver a solução logística e de transporte; actualizar os estudos técnico-económicos; e definir o </w:t>
            </w:r>
            <w:r w:rsidRPr="001271CF">
              <w:rPr>
                <w:rFonts w:ascii="Arial" w:hAnsi="Arial" w:cs="Arial"/>
                <w:sz w:val="24"/>
                <w:szCs w:val="24"/>
              </w:rPr>
              <w:lastRenderedPageBreak/>
              <w:t xml:space="preserve">modelo financeiro </w:t>
            </w:r>
            <w:r w:rsidR="005335EF" w:rsidRPr="001271CF">
              <w:rPr>
                <w:rFonts w:ascii="Arial" w:hAnsi="Arial" w:cs="Arial"/>
                <w:sz w:val="24"/>
                <w:szCs w:val="24"/>
              </w:rPr>
              <w:t xml:space="preserve">e a necessidade de parceiros estratégicos, estabelecer </w:t>
            </w:r>
            <w:r w:rsidRPr="001271CF">
              <w:rPr>
                <w:rFonts w:ascii="Arial" w:hAnsi="Arial" w:cs="Arial"/>
                <w:sz w:val="24"/>
                <w:szCs w:val="24"/>
              </w:rPr>
              <w:t xml:space="preserve">o calendário de </w:t>
            </w:r>
            <w:r w:rsidR="005335EF" w:rsidRPr="001271CF">
              <w:rPr>
                <w:rFonts w:ascii="Arial" w:hAnsi="Arial" w:cs="Arial"/>
                <w:sz w:val="24"/>
                <w:szCs w:val="24"/>
              </w:rPr>
              <w:t xml:space="preserve">financiamento e </w:t>
            </w:r>
            <w:r w:rsidRPr="001271CF">
              <w:rPr>
                <w:rFonts w:ascii="Arial" w:hAnsi="Arial" w:cs="Arial"/>
                <w:sz w:val="24"/>
                <w:szCs w:val="24"/>
              </w:rPr>
              <w:t>imp</w:t>
            </w:r>
            <w:r w:rsidRPr="001271CF">
              <w:rPr>
                <w:rFonts w:ascii="Arial" w:hAnsi="Arial" w:cs="Arial"/>
                <w:sz w:val="24"/>
                <w:szCs w:val="24"/>
              </w:rPr>
              <w:t>lementação.</w:t>
            </w:r>
          </w:p>
        </w:tc>
      </w:tr>
    </w:tbl>
    <w:p w14:paraId="65D4ED78" w14:textId="77777777" w:rsidR="007A0516" w:rsidRPr="001271CF" w:rsidRDefault="007A0516" w:rsidP="00434EBB">
      <w:pPr>
        <w:spacing w:after="20"/>
        <w:ind w:left="426"/>
        <w:rPr>
          <w:rFonts w:ascii="Arial" w:hAnsi="Arial" w:cs="Arial"/>
          <w:sz w:val="24"/>
          <w:szCs w:val="24"/>
        </w:rPr>
      </w:pPr>
    </w:p>
    <w:p w14:paraId="34A7079C" w14:textId="532DA06C" w:rsidR="007A0516" w:rsidRPr="001271CF" w:rsidRDefault="007F3B33" w:rsidP="001271CF">
      <w:pPr>
        <w:pStyle w:val="Heading1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1271CF">
        <w:rPr>
          <w:rFonts w:ascii="Arial" w:hAnsi="Arial" w:cs="Arial"/>
          <w:sz w:val="24"/>
          <w:szCs w:val="24"/>
        </w:rPr>
        <w:t>Prioridades transversais</w:t>
      </w:r>
    </w:p>
    <w:tbl>
      <w:tblPr>
        <w:tblW w:w="14338" w:type="dxa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11390"/>
      </w:tblGrid>
      <w:tr w:rsidR="007A0516" w:rsidRPr="001271CF" w14:paraId="555CDFE6" w14:textId="77777777" w:rsidTr="001271CF">
        <w:trPr>
          <w:tblHeader/>
          <w:jc w:val="center"/>
        </w:trPr>
        <w:tc>
          <w:tcPr>
            <w:tcW w:w="294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941D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6DBBE8C" w14:textId="77777777" w:rsidR="007A0516" w:rsidRPr="001271CF" w:rsidRDefault="007F3B33" w:rsidP="00434EBB">
            <w:pPr>
              <w:spacing w:after="0" w:line="245" w:lineRule="auto"/>
              <w:ind w:left="426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b/>
                <w:color w:val="FFFFFF"/>
                <w:sz w:val="24"/>
                <w:szCs w:val="24"/>
              </w:rPr>
              <w:t>Prioridade</w:t>
            </w:r>
          </w:p>
        </w:tc>
        <w:tc>
          <w:tcPr>
            <w:tcW w:w="1139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941D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729B04A" w14:textId="77777777" w:rsidR="007A0516" w:rsidRPr="001271CF" w:rsidRDefault="007F3B33" w:rsidP="00434EBB">
            <w:pPr>
              <w:spacing w:after="0" w:line="245" w:lineRule="auto"/>
              <w:ind w:left="426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b/>
                <w:color w:val="FFFFFF"/>
                <w:sz w:val="24"/>
                <w:szCs w:val="24"/>
              </w:rPr>
              <w:t>Aplicação</w:t>
            </w:r>
          </w:p>
        </w:tc>
      </w:tr>
      <w:tr w:rsidR="001271CF" w:rsidRPr="001271CF" w14:paraId="5A859163" w14:textId="77777777" w:rsidTr="001271CF">
        <w:trPr>
          <w:jc w:val="center"/>
        </w:trPr>
        <w:tc>
          <w:tcPr>
            <w:tcW w:w="294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3E6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CE7D3BD" w14:textId="7918AA83" w:rsidR="001271CF" w:rsidRPr="001271CF" w:rsidRDefault="001271CF" w:rsidP="00434EBB">
            <w:pPr>
              <w:spacing w:after="0" w:line="245" w:lineRule="auto"/>
              <w:ind w:left="42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Governo/MIREME</w:t>
            </w:r>
          </w:p>
        </w:tc>
        <w:tc>
          <w:tcPr>
            <w:tcW w:w="1139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3E6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4B2CD95" w14:textId="379A89F0" w:rsidR="001271CF" w:rsidRPr="001271CF" w:rsidRDefault="001271CF" w:rsidP="00434EBB">
            <w:pPr>
              <w:spacing w:after="0" w:line="245" w:lineRule="auto"/>
              <w:ind w:left="42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Acelerar processo de assinatura do Acordo Intergovernamental para permitir a transfencia da central de 40MW da Argelia para Moçambique.</w:t>
            </w:r>
          </w:p>
        </w:tc>
      </w:tr>
      <w:tr w:rsidR="007A0516" w:rsidRPr="001271CF" w14:paraId="48FA7281" w14:textId="77777777" w:rsidTr="001271CF">
        <w:trPr>
          <w:jc w:val="center"/>
        </w:trPr>
        <w:tc>
          <w:tcPr>
            <w:tcW w:w="294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3E6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248F3C0" w14:textId="77777777" w:rsidR="007A0516" w:rsidRPr="001271CF" w:rsidRDefault="007F3B33" w:rsidP="00434EBB">
            <w:pPr>
              <w:spacing w:after="0" w:line="245" w:lineRule="auto"/>
              <w:ind w:left="426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sz w:val="24"/>
                <w:szCs w:val="24"/>
              </w:rPr>
              <w:t xml:space="preserve">Sustentabilidade </w:t>
            </w:r>
            <w:r w:rsidRPr="001271CF">
              <w:rPr>
                <w:rFonts w:ascii="Arial" w:hAnsi="Arial" w:cs="Arial"/>
                <w:sz w:val="24"/>
                <w:szCs w:val="24"/>
              </w:rPr>
              <w:t>financeira</w:t>
            </w:r>
          </w:p>
        </w:tc>
        <w:tc>
          <w:tcPr>
            <w:tcW w:w="1139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3E6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3BBDC2D" w14:textId="77777777" w:rsidR="007A0516" w:rsidRPr="001271CF" w:rsidRDefault="007F3B33" w:rsidP="00434EBB">
            <w:pPr>
              <w:spacing w:after="0" w:line="245" w:lineRule="auto"/>
              <w:ind w:left="426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sz w:val="24"/>
                <w:szCs w:val="24"/>
              </w:rPr>
              <w:t>Preservar tarifas comportáveis para a EDM, procurar financiamento concessional e assegurar uma repartição equilibrada de custos e benefícios.</w:t>
            </w:r>
          </w:p>
        </w:tc>
      </w:tr>
      <w:tr w:rsidR="007A0516" w:rsidRPr="001271CF" w14:paraId="238D60B0" w14:textId="77777777" w:rsidTr="001271CF">
        <w:trPr>
          <w:jc w:val="center"/>
        </w:trPr>
        <w:tc>
          <w:tcPr>
            <w:tcW w:w="294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B0795A1" w14:textId="77777777" w:rsidR="007A0516" w:rsidRPr="001271CF" w:rsidRDefault="007F3B33" w:rsidP="00434EBB">
            <w:pPr>
              <w:spacing w:after="0" w:line="245" w:lineRule="auto"/>
              <w:ind w:left="426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sz w:val="24"/>
                <w:szCs w:val="24"/>
              </w:rPr>
              <w:t>Contratação e execução</w:t>
            </w:r>
          </w:p>
        </w:tc>
        <w:tc>
          <w:tcPr>
            <w:tcW w:w="1139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D04285D" w14:textId="77777777" w:rsidR="007A0516" w:rsidRPr="001271CF" w:rsidRDefault="007F3B33" w:rsidP="00434EBB">
            <w:pPr>
              <w:spacing w:after="0" w:line="245" w:lineRule="auto"/>
              <w:ind w:left="426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sz w:val="24"/>
                <w:szCs w:val="24"/>
              </w:rPr>
              <w:t xml:space="preserve">Acelerar JDA, PPA, adendas, concursos e estudos, sem comprometer as </w:t>
            </w:r>
            <w:r w:rsidRPr="001271CF">
              <w:rPr>
                <w:rFonts w:ascii="Arial" w:hAnsi="Arial" w:cs="Arial"/>
                <w:sz w:val="24"/>
                <w:szCs w:val="24"/>
              </w:rPr>
              <w:t>regras de contratação pública e a qualidade técnica.</w:t>
            </w:r>
          </w:p>
        </w:tc>
      </w:tr>
      <w:tr w:rsidR="007A0516" w:rsidRPr="001271CF" w14:paraId="4D7FCC7C" w14:textId="77777777" w:rsidTr="001271CF">
        <w:trPr>
          <w:jc w:val="center"/>
        </w:trPr>
        <w:tc>
          <w:tcPr>
            <w:tcW w:w="294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3E6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1C2FECE" w14:textId="77777777" w:rsidR="007A0516" w:rsidRPr="001271CF" w:rsidRDefault="007F3B33" w:rsidP="00434EBB">
            <w:pPr>
              <w:spacing w:after="0" w:line="245" w:lineRule="auto"/>
              <w:ind w:left="426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sz w:val="24"/>
                <w:szCs w:val="24"/>
              </w:rPr>
              <w:t>Segurança e protecção de activos</w:t>
            </w:r>
          </w:p>
        </w:tc>
        <w:tc>
          <w:tcPr>
            <w:tcW w:w="1139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3E6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0B5E786" w14:textId="77777777" w:rsidR="007A0516" w:rsidRPr="001271CF" w:rsidRDefault="007F3B33" w:rsidP="00434EBB">
            <w:pPr>
              <w:spacing w:after="0" w:line="245" w:lineRule="auto"/>
              <w:ind w:left="426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sz w:val="24"/>
                <w:szCs w:val="24"/>
              </w:rPr>
              <w:t>Incorporar medidas de segurança e conservação, sobretudo em Metoro, antes da remobilização dos empreiteiros.</w:t>
            </w:r>
          </w:p>
        </w:tc>
      </w:tr>
      <w:tr w:rsidR="007A0516" w:rsidRPr="001271CF" w14:paraId="40CDDC5A" w14:textId="77777777" w:rsidTr="001271CF">
        <w:trPr>
          <w:jc w:val="center"/>
        </w:trPr>
        <w:tc>
          <w:tcPr>
            <w:tcW w:w="294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AD4827F" w14:textId="77777777" w:rsidR="007A0516" w:rsidRPr="001271CF" w:rsidRDefault="007F3B33" w:rsidP="00434EBB">
            <w:pPr>
              <w:spacing w:after="0" w:line="245" w:lineRule="auto"/>
              <w:ind w:left="426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sz w:val="24"/>
                <w:szCs w:val="24"/>
              </w:rPr>
              <w:t>Acompanhamento</w:t>
            </w:r>
          </w:p>
        </w:tc>
        <w:tc>
          <w:tcPr>
            <w:tcW w:w="1139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59F06A0" w14:textId="74322D6C" w:rsidR="007A0516" w:rsidRPr="001271CF" w:rsidRDefault="007F3B33" w:rsidP="00434EBB">
            <w:pPr>
              <w:spacing w:after="0" w:line="245" w:lineRule="auto"/>
              <w:ind w:left="426"/>
              <w:rPr>
                <w:rFonts w:ascii="Arial" w:hAnsi="Arial" w:cs="Arial"/>
                <w:sz w:val="24"/>
                <w:szCs w:val="24"/>
              </w:rPr>
            </w:pPr>
            <w:r w:rsidRPr="001271CF">
              <w:rPr>
                <w:rFonts w:ascii="Arial" w:hAnsi="Arial" w:cs="Arial"/>
                <w:sz w:val="24"/>
                <w:szCs w:val="24"/>
              </w:rPr>
              <w:t xml:space="preserve">Adoptar um quadro </w:t>
            </w:r>
            <w:r w:rsidR="001271CF">
              <w:rPr>
                <w:rFonts w:ascii="Arial" w:hAnsi="Arial" w:cs="Arial"/>
                <w:sz w:val="24"/>
                <w:szCs w:val="24"/>
              </w:rPr>
              <w:t>de acompanhamento regular</w:t>
            </w:r>
            <w:r w:rsidRPr="001271CF">
              <w:rPr>
                <w:rFonts w:ascii="Arial" w:hAnsi="Arial" w:cs="Arial"/>
                <w:sz w:val="24"/>
                <w:szCs w:val="24"/>
              </w:rPr>
              <w:t xml:space="preserve"> com marcos, r</w:t>
            </w:r>
            <w:r w:rsidRPr="001271CF">
              <w:rPr>
                <w:rFonts w:ascii="Arial" w:hAnsi="Arial" w:cs="Arial"/>
                <w:sz w:val="24"/>
                <w:szCs w:val="24"/>
              </w:rPr>
              <w:t>esponsáveis, riscos, decisões pendentes e datas previstas de operação comercial.</w:t>
            </w:r>
          </w:p>
        </w:tc>
      </w:tr>
    </w:tbl>
    <w:p w14:paraId="348B3353" w14:textId="77777777" w:rsidR="007A0516" w:rsidRPr="001271CF" w:rsidRDefault="007A0516" w:rsidP="00434EBB">
      <w:pPr>
        <w:spacing w:after="20"/>
        <w:ind w:left="426"/>
        <w:rPr>
          <w:rFonts w:ascii="Arial" w:hAnsi="Arial" w:cs="Arial"/>
          <w:sz w:val="22"/>
          <w:szCs w:val="28"/>
        </w:rPr>
      </w:pPr>
    </w:p>
    <w:sectPr w:rsidR="007A0516" w:rsidRPr="001271CF" w:rsidSect="001271CF">
      <w:headerReference w:type="default" r:id="rId9"/>
      <w:footerReference w:type="default" r:id="rId10"/>
      <w:pgSz w:w="16838" w:h="11906" w:orient="landscape"/>
      <w:pgMar w:top="850" w:right="1529" w:bottom="709" w:left="850" w:header="255" w:footer="25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0556AD" w14:textId="77777777" w:rsidR="007F3B33" w:rsidRDefault="007F3B33">
      <w:pPr>
        <w:spacing w:after="0" w:line="240" w:lineRule="auto"/>
      </w:pPr>
      <w:r>
        <w:separator/>
      </w:r>
    </w:p>
  </w:endnote>
  <w:endnote w:type="continuationSeparator" w:id="0">
    <w:p w14:paraId="6015A5AA" w14:textId="77777777" w:rsidR="007F3B33" w:rsidRDefault="007F3B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989A1" w14:textId="77777777" w:rsidR="007A0516" w:rsidRDefault="007F3B33">
    <w:pPr>
      <w:jc w:val="right"/>
    </w:pPr>
    <w:r>
      <w:rPr>
        <w:b/>
        <w:color w:val="F7941D"/>
        <w:sz w:val="15"/>
      </w:rPr>
      <w:t xml:space="preserve">ELECTRICIDADE DE MOÇAMBIQUE E P  |  12 DE SETEMBRO DE 2026  |  </w:t>
    </w:r>
    <w:r>
      <w:fldChar w:fldCharType="begin"/>
    </w:r>
    <w:r>
      <w:instrText>PAGE</w:instrText>
    </w:r>
    <w:r>
      <w:fldChar w:fldCharType="separate"/>
    </w:r>
    <w:r w:rsidR="002364E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316D5B" w14:textId="77777777" w:rsidR="007F3B33" w:rsidRDefault="007F3B33">
      <w:pPr>
        <w:spacing w:after="0" w:line="240" w:lineRule="auto"/>
      </w:pPr>
      <w:r>
        <w:separator/>
      </w:r>
    </w:p>
  </w:footnote>
  <w:footnote w:type="continuationSeparator" w:id="0">
    <w:p w14:paraId="063E8191" w14:textId="77777777" w:rsidR="007F3B33" w:rsidRDefault="007F3B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2381"/>
      <w:gridCol w:w="11539"/>
    </w:tblGrid>
    <w:tr w:rsidR="007A0516" w14:paraId="6EF2D0BE" w14:textId="77777777" w:rsidTr="001271CF">
      <w:trPr>
        <w:jc w:val="center"/>
      </w:trPr>
      <w:tc>
        <w:tcPr>
          <w:tcW w:w="2381" w:type="dxa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shd w:val="clear" w:color="auto" w:fill="FFFFFF"/>
          <w:tcMar>
            <w:top w:w="50" w:type="dxa"/>
            <w:left w:w="50" w:type="dxa"/>
            <w:bottom w:w="50" w:type="dxa"/>
            <w:right w:w="50" w:type="dxa"/>
          </w:tcMar>
          <w:vAlign w:val="center"/>
        </w:tcPr>
        <w:p w14:paraId="59F70510" w14:textId="37216C4E" w:rsidR="007A0516" w:rsidRDefault="001271CF">
          <w:r>
            <w:t xml:space="preserve">                </w:t>
          </w:r>
          <w:r>
            <w:rPr>
              <w:noProof/>
            </w:rPr>
            <w:drawing>
              <wp:inline distT="0" distB="0" distL="0" distR="0" wp14:anchorId="1844B279" wp14:editId="1E7F8009">
                <wp:extent cx="846000" cy="685445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6000" cy="6854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539" w:type="dxa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shd w:val="clear" w:color="auto" w:fill="FFFFFF"/>
          <w:tcMar>
            <w:top w:w="50" w:type="dxa"/>
            <w:left w:w="50" w:type="dxa"/>
            <w:bottom w:w="50" w:type="dxa"/>
            <w:right w:w="50" w:type="dxa"/>
          </w:tcMar>
          <w:vAlign w:val="center"/>
        </w:tcPr>
        <w:p w14:paraId="748A0BC7" w14:textId="77777777" w:rsidR="007A0516" w:rsidRDefault="007F3B33">
          <w:pPr>
            <w:jc w:val="right"/>
          </w:pPr>
          <w:r>
            <w:rPr>
              <w:b/>
              <w:color w:val="333333"/>
            </w:rPr>
            <w:t>PONTO DE SITUAÇÃO DOS PROJECTOS ESTRATÉGICOS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A956E1"/>
    <w:multiLevelType w:val="hybridMultilevel"/>
    <w:tmpl w:val="C2388D62"/>
    <w:lvl w:ilvl="0" w:tplc="B1B4E9B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506" w:hanging="360"/>
      </w:pPr>
    </w:lvl>
    <w:lvl w:ilvl="2" w:tplc="1C09001B" w:tentative="1">
      <w:start w:val="1"/>
      <w:numFmt w:val="lowerRoman"/>
      <w:lvlText w:val="%3."/>
      <w:lvlJc w:val="right"/>
      <w:pPr>
        <w:ind w:left="2226" w:hanging="180"/>
      </w:pPr>
    </w:lvl>
    <w:lvl w:ilvl="3" w:tplc="1C09000F" w:tentative="1">
      <w:start w:val="1"/>
      <w:numFmt w:val="decimal"/>
      <w:lvlText w:val="%4."/>
      <w:lvlJc w:val="left"/>
      <w:pPr>
        <w:ind w:left="2946" w:hanging="360"/>
      </w:pPr>
    </w:lvl>
    <w:lvl w:ilvl="4" w:tplc="1C090019" w:tentative="1">
      <w:start w:val="1"/>
      <w:numFmt w:val="lowerLetter"/>
      <w:lvlText w:val="%5."/>
      <w:lvlJc w:val="left"/>
      <w:pPr>
        <w:ind w:left="3666" w:hanging="360"/>
      </w:pPr>
    </w:lvl>
    <w:lvl w:ilvl="5" w:tplc="1C09001B" w:tentative="1">
      <w:start w:val="1"/>
      <w:numFmt w:val="lowerRoman"/>
      <w:lvlText w:val="%6."/>
      <w:lvlJc w:val="right"/>
      <w:pPr>
        <w:ind w:left="4386" w:hanging="180"/>
      </w:pPr>
    </w:lvl>
    <w:lvl w:ilvl="6" w:tplc="1C09000F" w:tentative="1">
      <w:start w:val="1"/>
      <w:numFmt w:val="decimal"/>
      <w:lvlText w:val="%7."/>
      <w:lvlJc w:val="left"/>
      <w:pPr>
        <w:ind w:left="5106" w:hanging="360"/>
      </w:pPr>
    </w:lvl>
    <w:lvl w:ilvl="7" w:tplc="1C090019" w:tentative="1">
      <w:start w:val="1"/>
      <w:numFmt w:val="lowerLetter"/>
      <w:lvlText w:val="%8."/>
      <w:lvlJc w:val="left"/>
      <w:pPr>
        <w:ind w:left="5826" w:hanging="360"/>
      </w:pPr>
    </w:lvl>
    <w:lvl w:ilvl="8" w:tplc="1C0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71CF"/>
    <w:rsid w:val="0015074B"/>
    <w:rsid w:val="002364E8"/>
    <w:rsid w:val="0029639D"/>
    <w:rsid w:val="00326F90"/>
    <w:rsid w:val="00434EBB"/>
    <w:rsid w:val="005335EF"/>
    <w:rsid w:val="007A0516"/>
    <w:rsid w:val="007C07F8"/>
    <w:rsid w:val="007F3B33"/>
    <w:rsid w:val="00AA1D8D"/>
    <w:rsid w:val="00B47730"/>
    <w:rsid w:val="00CB0664"/>
    <w:rsid w:val="00E460CE"/>
    <w:rsid w:val="00EB68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54DACD31"/>
  <w14:defaultImageDpi w14:val="300"/>
  <w15:docId w15:val="{F1C56FBC-1401-4616-8436-142BF19D9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 Narrow" w:hAnsi="Arial Narrow"/>
      <w:color w:val="000000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</w:pPr>
    <w:rPr>
      <w:rFonts w:asciiTheme="majorHAnsi" w:eastAsiaTheme="majorEastAsia" w:hAnsiTheme="majorHAnsi" w:cstheme="majorBidi"/>
      <w:i/>
      <w:iCs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7</Pages>
  <Words>1582</Words>
  <Characters>9023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Ponto de Situação dos Projectos Estratégicos em Formato EDM</vt:lpstr>
    </vt:vector>
  </TitlesOfParts>
  <Manager/>
  <Company/>
  <LinksUpToDate>false</LinksUpToDate>
  <CharactersWithSpaces>10584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Ponto de Situação dos Projectos Estratégicos em Formato EDM</dc:title>
  <dc:subject>ENI 75 MW, Central de 40 MW doada pela Argélia, Solar de Metoro, Eólica de Namaacha e SLIGM</dc:subject>
  <dc:creator>python-docx</dc:creator>
  <cp:keywords/>
  <dc:description>generated by python-docx</dc:description>
  <cp:lastModifiedBy>Luis Ganje</cp:lastModifiedBy>
  <cp:revision>3</cp:revision>
  <dcterms:created xsi:type="dcterms:W3CDTF">2013-12-23T23:15:00Z</dcterms:created>
  <dcterms:modified xsi:type="dcterms:W3CDTF">2026-09-14T13:13:00Z</dcterms:modified>
  <cp:category/>
</cp:coreProperties>
</file>