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635DE" w:rsidRDefault="000635DE">
      <w:pPr>
        <w:widowControl w:val="0"/>
        <w:pBdr>
          <w:top w:val="nil"/>
          <w:left w:val="nil"/>
          <w:bottom w:val="nil"/>
          <w:right w:val="nil"/>
          <w:between w:val="nil"/>
        </w:pBdr>
        <w:spacing w:after="0" w:line="276" w:lineRule="auto"/>
      </w:pPr>
    </w:p>
    <w:p w:rsidR="000635DE" w:rsidRDefault="00A90B96">
      <w:r>
        <w:rPr>
          <w:noProof/>
        </w:rPr>
        <mc:AlternateContent>
          <mc:Choice Requires="wps">
            <w:drawing>
              <wp:anchor distT="0" distB="0" distL="114300" distR="114300" simplePos="0" relativeHeight="251658240" behindDoc="0" locked="0" layoutInCell="1" hidden="0" allowOverlap="1" wp14:anchorId="30858159" wp14:editId="0CBFF99E">
                <wp:simplePos x="0" y="0"/>
                <wp:positionH relativeFrom="page">
                  <wp:posOffset>4898073</wp:posOffset>
                </wp:positionH>
                <wp:positionV relativeFrom="page">
                  <wp:posOffset>286068</wp:posOffset>
                </wp:positionV>
                <wp:extent cx="2885440" cy="3027045"/>
                <wp:effectExtent l="0" t="0" r="0" b="0"/>
                <wp:wrapNone/>
                <wp:docPr id="473" name="Rectangle 473"/>
                <wp:cNvGraphicFramePr/>
                <a:graphic xmlns:a="http://schemas.openxmlformats.org/drawingml/2006/main">
                  <a:graphicData uri="http://schemas.microsoft.com/office/word/2010/wordprocessingShape">
                    <wps:wsp>
                      <wps:cNvSpPr/>
                      <wps:spPr>
                        <a:xfrm>
                          <a:off x="3908043" y="2271240"/>
                          <a:ext cx="2875915" cy="3017520"/>
                        </a:xfrm>
                        <a:prstGeom prst="rect">
                          <a:avLst/>
                        </a:prstGeom>
                        <a:solidFill>
                          <a:schemeClr val="dk2"/>
                        </a:solidFill>
                        <a:ln>
                          <a:noFill/>
                        </a:ln>
                      </wps:spPr>
                      <wps:txbx>
                        <w:txbxContent>
                          <w:p w:rsidR="000635DE" w:rsidRDefault="00A90B96">
                            <w:pPr>
                              <w:spacing w:before="240" w:line="258" w:lineRule="auto"/>
                              <w:jc w:val="center"/>
                              <w:textDirection w:val="btLr"/>
                            </w:pPr>
                            <w:r>
                              <w:rPr>
                                <w:color w:val="FFFFFF"/>
                                <w:sz w:val="36"/>
                              </w:rPr>
                              <w:t>CONSELHO DE ADMINISTRAÇÃO</w:t>
                            </w:r>
                          </w:p>
                        </w:txbxContent>
                      </wps:txbx>
                      <wps:bodyPr spcFirstLastPara="1" wrap="square" lIns="182875" tIns="182875" rIns="182875" bIns="365750" anchor="b" anchorCtr="0">
                        <a:noAutofit/>
                      </wps:bodyPr>
                    </wps:wsp>
                  </a:graphicData>
                </a:graphic>
              </wp:anchor>
            </w:drawing>
          </mc:Choice>
          <mc:Fallback>
            <w:pict>
              <v:rect w14:anchorId="30858159" id="Rectangle 473" o:spid="_x0000_s1026" style="position:absolute;margin-left:385.7pt;margin-top:22.55pt;width:227.2pt;height:238.35pt;z-index:251658240;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" fillcolor="#44546a [3202]" stroked="f">
                <v:textbox inset="5.07986mm,5.07986mm,5.07986mm,10.1597mm">
                  <w:txbxContent>
                    <w:p w:rsidR="000635DE" w:rsidRDefault="00A90B96">
                      <w:pPr>
                        <w:spacing w:before="240" w:line="258" w:lineRule="auto"/>
                        <w:jc w:val="center"/>
                        <w:textDirection w:val="btLr"/>
                      </w:pPr>
                      <w:r>
                        <w:rPr>
                          <w:color w:val="FFFFFF"/>
                          <w:sz w:val="36"/>
                        </w:rPr>
                        <w:t>CONSELHO DE ADMINISTRAÇÃO</w:t>
                      </w:r>
                    </w:p>
                  </w:txbxContent>
                </v:textbox>
                <w10:wrap anchorx="page" anchory="page"/>
              </v:rect>
            </w:pict>
          </mc:Fallback>
        </mc:AlternateContent>
      </w:r>
      <w:r>
        <w:rPr>
          <w:noProof/>
        </w:rPr>
        <mc:AlternateContent>
          <mc:Choice Requires="wps">
            <w:drawing>
              <wp:anchor distT="0" distB="0" distL="0" distR="0" simplePos="0" relativeHeight="251659264" behindDoc="1" locked="0" layoutInCell="1" hidden="0" allowOverlap="1" wp14:anchorId="3BD7E469" wp14:editId="64626AF5">
                <wp:simplePos x="0" y="0"/>
                <wp:positionH relativeFrom="page">
                  <wp:align>center</wp:align>
                </wp:positionH>
                <wp:positionV relativeFrom="page">
                  <wp:align>center</wp:align>
                </wp:positionV>
                <wp:extent cx="7393305" cy="9565005"/>
                <wp:effectExtent l="0" t="0" r="0" b="0"/>
                <wp:wrapNone/>
                <wp:docPr id="474" name="Rectangle 474"/>
                <wp:cNvGraphicFramePr/>
                <a:graphic xmlns:a="http://schemas.openxmlformats.org/drawingml/2006/main">
                  <a:graphicData uri="http://schemas.microsoft.com/office/word/2010/wordprocessingShape">
                    <wps:wsp>
                      <wps:cNvSpPr/>
                      <wps:spPr>
                        <a:xfrm>
                          <a:off x="1654110" y="0"/>
                          <a:ext cx="7383780" cy="7560000"/>
                        </a:xfrm>
                        <a:prstGeom prst="rect">
                          <a:avLst/>
                        </a:prstGeom>
                        <a:solidFill>
                          <a:srgbClr val="F7CAAC"/>
                        </a:solidFill>
                        <a:ln>
                          <a:noFill/>
                        </a:ln>
                      </wps:spPr>
                      <wps:txbx>
                        <w:txbxContent>
                          <w:p w:rsidR="000635DE" w:rsidRDefault="000635DE">
                            <w:pPr>
                              <w:spacing w:line="258" w:lineRule="auto"/>
                              <w:textDirection w:val="btLr"/>
                            </w:pPr>
                          </w:p>
                        </w:txbxContent>
                      </wps:txbx>
                      <wps:bodyPr spcFirstLastPara="1" wrap="square" lIns="274300" tIns="45700" rIns="274300" bIns="45700" anchor="ctr" anchorCtr="0">
                        <a:noAutofit/>
                      </wps:bodyPr>
                    </wps:wsp>
                  </a:graphicData>
                </a:graphic>
              </wp:anchor>
            </w:drawing>
          </mc:Choice>
          <mc:Fallback>
            <w:pict>
              <v:rect w14:anchorId="3BD7E469" id="Rectangle 474" o:spid="_x0000_s1027" style="position:absolute;margin-left:0;margin-top:0;width:582.15pt;height:753.15pt;z-index:-251657216;visibility:visible;mso-wrap-style:square;mso-wrap-distance-left:0;mso-wrap-distance-top:0;mso-wrap-distance-right:0;mso-wrap-distance-bottom:0;mso-position-horizontal:center;mso-position-horizontal-relative:page;mso-position-vertical:center;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" fillcolor="#f7caac" stroked="f">
                <v:textbox inset="7.61944mm,1.2694mm,7.61944mm,1.2694mm">
                  <w:txbxContent>
                    <w:p w:rsidR="000635DE" w:rsidRDefault="000635DE">
                      <w:pPr>
                        <w:spacing w:line="258" w:lineRule="auto"/>
                        <w:textDirection w:val="btLr"/>
                      </w:pPr>
                    </w:p>
                  </w:txbxContent>
                </v:textbox>
                <w10:wrap anchorx="page" anchory="page"/>
              </v:rect>
            </w:pict>
          </mc:Fallback>
        </mc:AlternateContent>
      </w:r>
      <w:r>
        <w:rPr>
          <w:noProof/>
        </w:rPr>
        <mc:AlternateContent>
          <mc:Choice Requires="wps">
            <w:drawing>
              <wp:anchor distT="0" distB="0" distL="114300" distR="114300" simplePos="0" relativeHeight="251660288" behindDoc="0" locked="0" layoutInCell="1" hidden="0" allowOverlap="1" wp14:anchorId="2EAE188A" wp14:editId="67F0304F">
                <wp:simplePos x="0" y="0"/>
                <wp:positionH relativeFrom="page">
                  <wp:posOffset>4696143</wp:posOffset>
                </wp:positionH>
                <wp:positionV relativeFrom="page">
                  <wp:posOffset>180658</wp:posOffset>
                </wp:positionV>
                <wp:extent cx="3124835" cy="7056755"/>
                <wp:effectExtent l="0" t="0" r="0" b="0"/>
                <wp:wrapNone/>
                <wp:docPr id="471" name="Rectangle 471"/>
                <wp:cNvGraphicFramePr/>
                <a:graphic xmlns:a="http://schemas.openxmlformats.org/drawingml/2006/main">
                  <a:graphicData uri="http://schemas.microsoft.com/office/word/2010/wordprocessingShape">
                    <wps:wsp>
                      <wps:cNvSpPr/>
                      <wps:spPr>
                        <a:xfrm>
                          <a:off x="3791520" y="259560"/>
                          <a:ext cx="3108960" cy="7040880"/>
                        </a:xfrm>
                        <a:prstGeom prst="rect">
                          <a:avLst/>
                        </a:prstGeom>
                        <a:solidFill>
                          <a:schemeClr val="lt1"/>
                        </a:solidFill>
                        <a:ln w="15875" cap="flat" cmpd="sng">
                          <a:solidFill>
                            <a:srgbClr val="757070"/>
                          </a:solidFill>
                          <a:prstDash val="solid"/>
                          <a:miter lim="8000"/>
                          <a:headEnd type="none" w="sm" len="sm"/>
                          <a:tailEnd type="none" w="sm" len="sm"/>
                        </a:ln>
                      </wps:spPr>
                      <wps:txbx>
                        <w:txbxContent>
                          <w:p w:rsidR="000635DE" w:rsidRDefault="000635D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2EAE188A" id="Rectangle 471" o:spid="_x0000_s1028" style="position:absolute;margin-left:369.8pt;margin-top:14.25pt;width:246.05pt;height:555.65pt;z-index:251660288;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" fillcolor="white [3201]" strokecolor="#757070" strokeweight="1.25pt">
                <v:stroke startarrowwidth="narrow" startarrowlength="short" endarrowwidth="narrow" endarrowlength="short" miterlimit="5243f"/>
                <v:textbox inset="2.53958mm,2.53958mm,2.53958mm,2.53958mm">
                  <w:txbxContent>
                    <w:p w:rsidR="000635DE" w:rsidRDefault="000635DE">
                      <w:pPr>
                        <w:spacing w:after="0" w:line="240" w:lineRule="auto"/>
                        <w:textDirection w:val="btLr"/>
                      </w:pPr>
                    </w:p>
                  </w:txbxContent>
                </v:textbox>
                <w10:wrap anchorx="page" anchory="page"/>
              </v:rect>
            </w:pict>
          </mc:Fallback>
        </mc:AlternateContent>
      </w:r>
      <w:r>
        <w:rPr>
          <w:noProof/>
        </w:rPr>
        <mc:AlternateContent>
          <mc:Choice Requires="wps">
            <w:drawing>
              <wp:anchor distT="0" distB="0" distL="114300" distR="114300" simplePos="0" relativeHeight="251661312" behindDoc="0" locked="0" layoutInCell="1" hidden="0" allowOverlap="1" wp14:anchorId="047A4029" wp14:editId="60FC293A">
                <wp:simplePos x="0" y="0"/>
                <wp:positionH relativeFrom="page">
                  <wp:posOffset>4859973</wp:posOffset>
                </wp:positionH>
                <wp:positionV relativeFrom="page">
                  <wp:posOffset>5211763</wp:posOffset>
                </wp:positionV>
                <wp:extent cx="2885440" cy="128270"/>
                <wp:effectExtent l="0" t="0" r="0" b="0"/>
                <wp:wrapNone/>
                <wp:docPr id="475" name="Rectangle 475"/>
                <wp:cNvGraphicFramePr/>
                <a:graphic xmlns:a="http://schemas.openxmlformats.org/drawingml/2006/main">
                  <a:graphicData uri="http://schemas.microsoft.com/office/word/2010/wordprocessingShape">
                    <wps:wsp>
                      <wps:cNvSpPr/>
                      <wps:spPr>
                        <a:xfrm>
                          <a:off x="3908043" y="3720628"/>
                          <a:ext cx="2875915" cy="118745"/>
                        </a:xfrm>
                        <a:prstGeom prst="rect">
                          <a:avLst/>
                        </a:prstGeom>
                        <a:solidFill>
                          <a:schemeClr val="accent1"/>
                        </a:solidFill>
                        <a:ln>
                          <a:noFill/>
                        </a:ln>
                      </wps:spPr>
                      <wps:txbx>
                        <w:txbxContent>
                          <w:p w:rsidR="000635DE" w:rsidRDefault="000635D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047A4029" id="Rectangle 475" o:spid="_x0000_s1029" style="position:absolute;margin-left:382.7pt;margin-top:410.4pt;width:227.2pt;height:10.1pt;z-index:251661312;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" fillcolor="#5b9bd5 [3204]" stroked="f">
                <v:textbox inset="2.53958mm,2.53958mm,2.53958mm,2.53958mm">
                  <w:txbxContent>
                    <w:p w:rsidR="000635DE" w:rsidRDefault="000635DE">
                      <w:pPr>
                        <w:spacing w:after="0" w:line="240" w:lineRule="auto"/>
                        <w:textDirection w:val="btLr"/>
                      </w:pPr>
                    </w:p>
                  </w:txbxContent>
                </v:textbox>
                <w10:wrap anchorx="page" anchory="page"/>
              </v:rect>
            </w:pict>
          </mc:Fallback>
        </mc:AlternateContent>
      </w:r>
      <w:r>
        <w:rPr>
          <w:noProof/>
        </w:rPr>
        <w:drawing>
          <wp:anchor distT="0" distB="0" distL="114300" distR="114300" simplePos="0" relativeHeight="251662336" behindDoc="0" locked="0" layoutInCell="1" hidden="0" allowOverlap="1" wp14:anchorId="44C68916" wp14:editId="0F85E3DE">
            <wp:simplePos x="0" y="0"/>
            <wp:positionH relativeFrom="column">
              <wp:posOffset>5135880</wp:posOffset>
            </wp:positionH>
            <wp:positionV relativeFrom="paragraph">
              <wp:posOffset>0</wp:posOffset>
            </wp:positionV>
            <wp:extent cx="1709420" cy="1383665"/>
            <wp:effectExtent l="0" t="0" r="0" b="0"/>
            <wp:wrapSquare wrapText="bothSides" distT="0" distB="0" distL="114300" distR="114300"/>
            <wp:docPr id="477"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6"/>
                    <a:srcRect/>
                    <a:stretch>
                      <a:fillRect/>
                    </a:stretch>
                  </pic:blipFill>
                  <pic:spPr>
                    <a:xfrm>
                      <a:off x="0" y="0"/>
                      <a:ext cx="1709420" cy="1383665"/>
                    </a:xfrm>
                    <a:prstGeom prst="rect">
                      <a:avLst/>
                    </a:prstGeom>
                    <a:ln/>
                  </pic:spPr>
                </pic:pic>
              </a:graphicData>
            </a:graphic>
          </wp:anchor>
        </w:drawing>
      </w:r>
    </w:p>
    <w:p w:rsidR="000635DE" w:rsidRDefault="00A90B96">
      <w:pPr>
        <w:rPr>
          <w:rFonts w:ascii="Times New Roman" w:eastAsia="Times New Roman" w:hAnsi="Times New Roman" w:cs="Times New Roman"/>
          <w:b/>
          <w:bCs/>
          <w:color w:val="4472C4"/>
        </w:rPr>
      </w:pPr>
      <w:r>
        <w:rPr>
          <w:noProof/>
        </w:rPr>
        <mc:AlternateContent>
          <mc:Choice Requires="wps">
            <w:drawing>
              <wp:anchor distT="0" distB="0" distL="114300" distR="114300" simplePos="0" relativeHeight="251663360" behindDoc="0" locked="0" layoutInCell="1" hidden="0" allowOverlap="1" wp14:anchorId="1E836B15" wp14:editId="32AFB748">
                <wp:simplePos x="0" y="0"/>
                <wp:positionH relativeFrom="page">
                  <wp:posOffset>4859338</wp:posOffset>
                </wp:positionH>
                <wp:positionV relativeFrom="page">
                  <wp:posOffset>2643188</wp:posOffset>
                </wp:positionV>
                <wp:extent cx="2807335" cy="1330325"/>
                <wp:effectExtent l="0" t="0" r="0" b="0"/>
                <wp:wrapSquare wrapText="bothSides" distT="0" distB="0" distL="114300" distR="114300"/>
                <wp:docPr id="476" name="Rectangle 476"/>
                <wp:cNvGraphicFramePr/>
                <a:graphic xmlns:a="http://schemas.openxmlformats.org/drawingml/2006/main">
                  <a:graphicData uri="http://schemas.microsoft.com/office/word/2010/wordprocessingShape">
                    <wps:wsp>
                      <wps:cNvSpPr/>
                      <wps:spPr>
                        <a:xfrm>
                          <a:off x="3947095" y="3119600"/>
                          <a:ext cx="2797810" cy="1320800"/>
                        </a:xfrm>
                        <a:prstGeom prst="rect">
                          <a:avLst/>
                        </a:prstGeom>
                        <a:noFill/>
                        <a:ln>
                          <a:noFill/>
                        </a:ln>
                      </wps:spPr>
                      <wps:txbx>
                        <w:txbxContent>
                          <w:p w:rsidR="000635DE" w:rsidRDefault="00A90B96">
                            <w:pPr>
                              <w:spacing w:line="240" w:lineRule="auto"/>
                              <w:jc w:val="center"/>
                              <w:textDirection w:val="btLr"/>
                            </w:pPr>
                            <w:r>
                              <w:rPr>
                                <w:b/>
                                <w:color w:val="5B9BD5"/>
                                <w:sz w:val="28"/>
                              </w:rPr>
                              <w:t>MATRIZES D</w:t>
                            </w:r>
                            <w:r w:rsidR="00344B34">
                              <w:rPr>
                                <w:b/>
                                <w:color w:val="5B9BD5"/>
                                <w:sz w:val="28"/>
                              </w:rPr>
                              <w:t>O PONTO DE SITUAÇÃO DOS PROJECTOS</w:t>
                            </w:r>
                            <w:r>
                              <w:rPr>
                                <w:b/>
                                <w:color w:val="5B9BD5"/>
                                <w:sz w:val="28"/>
                              </w:rPr>
                              <w:t xml:space="preserve"> ESTRATÉGICOS DA ELECTRICIDADE DE MOÇAMBIQUE, E.P. (EDM)</w:t>
                            </w:r>
                          </w:p>
                          <w:p w:rsidR="000635DE" w:rsidRDefault="00A90B96">
                            <w:pPr>
                              <w:spacing w:line="258" w:lineRule="auto"/>
                              <w:jc w:val="both"/>
                              <w:textDirection w:val="btLr"/>
                            </w:pPr>
                            <w:r>
                              <w:rPr>
                                <w:b/>
                                <w:color w:val="44546A"/>
                                <w:sz w:val="12"/>
                              </w:rPr>
                              <w:t xml:space="preserve">     </w:t>
                            </w:r>
                          </w:p>
                        </w:txbxContent>
                      </wps:txbx>
                      <wps:bodyPr spcFirstLastPara="1" wrap="square" lIns="91425" tIns="45700" rIns="91425" bIns="45700" anchor="t" anchorCtr="0">
                        <a:noAutofit/>
                      </wps:bodyPr>
                    </wps:wsp>
                  </a:graphicData>
                </a:graphic>
              </wp:anchor>
            </w:drawing>
          </mc:Choice>
          <mc:Fallback>
            <w:pict>
              <v:rect w14:anchorId="1E836B15" id="Rectangle 476" o:spid="_x0000_s1030" style="position:absolute;margin-left:382.65pt;margin-top:208.15pt;width:221.05pt;height:104.75pt;z-index:251663360;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" filled="f" stroked="f">
                <v:textbox inset="2.53958mm,1.2694mm,2.53958mm,1.2694mm">
                  <w:txbxContent>
                    <w:p w:rsidR="000635DE" w:rsidRDefault="00A90B96">
                      <w:pPr>
                        <w:spacing w:line="240" w:lineRule="auto"/>
                        <w:jc w:val="center"/>
                        <w:textDirection w:val="btLr"/>
                      </w:pPr>
                      <w:r>
                        <w:rPr>
                          <w:b/>
                          <w:color w:val="5B9BD5"/>
                          <w:sz w:val="28"/>
                        </w:rPr>
                        <w:t>MATRIZES D</w:t>
                      </w:r>
                      <w:r w:rsidR="00344B34">
                        <w:rPr>
                          <w:b/>
                          <w:color w:val="5B9BD5"/>
                          <w:sz w:val="28"/>
                        </w:rPr>
                        <w:t>O PONTO DE SITUAÇÃO DOS PROJECTOS</w:t>
                      </w:r>
                      <w:r>
                        <w:rPr>
                          <w:b/>
                          <w:color w:val="5B9BD5"/>
                          <w:sz w:val="28"/>
                        </w:rPr>
                        <w:t xml:space="preserve"> ESTRATÉGICOS DA ELECTRICIDADE DE MOÇAMBIQUE, E.P. (EDM)</w:t>
                      </w:r>
                    </w:p>
                    <w:p w:rsidR="000635DE" w:rsidRDefault="00A90B96">
                      <w:pPr>
                        <w:spacing w:line="258" w:lineRule="auto"/>
                        <w:jc w:val="both"/>
                        <w:textDirection w:val="btLr"/>
                      </w:pPr>
                      <w:r>
                        <w:rPr>
                          <w:b/>
                          <w:color w:val="44546A"/>
                          <w:sz w:val="12"/>
                        </w:rPr>
                        <w:t xml:space="preserve">     </w:t>
                      </w:r>
                    </w:p>
                  </w:txbxContent>
                </v:textbox>
                <w10:wrap type="square" anchorx="page" anchory="page"/>
              </v:rect>
            </w:pict>
          </mc:Fallback>
        </mc:AlternateContent>
      </w:r>
      <w:r>
        <w:rPr>
          <w:noProof/>
        </w:rPr>
        <mc:AlternateContent>
          <mc:Choice Requires="wps">
            <w:drawing>
              <wp:anchor distT="0" distB="0" distL="114300" distR="114300" simplePos="0" relativeHeight="251664384" behindDoc="0" locked="0" layoutInCell="1" hidden="0" allowOverlap="1" wp14:anchorId="1A1716E8" wp14:editId="02D67C48">
                <wp:simplePos x="0" y="0"/>
                <wp:positionH relativeFrom="page">
                  <wp:posOffset>4898073</wp:posOffset>
                </wp:positionH>
                <wp:positionV relativeFrom="page">
                  <wp:posOffset>4673918</wp:posOffset>
                </wp:positionV>
                <wp:extent cx="2807335" cy="278130"/>
                <wp:effectExtent l="0" t="0" r="0" b="0"/>
                <wp:wrapSquare wrapText="bothSides" distT="0" distB="0" distL="114300" distR="114300"/>
                <wp:docPr id="472" name="Rectangle 472"/>
                <wp:cNvGraphicFramePr/>
                <a:graphic xmlns:a="http://schemas.openxmlformats.org/drawingml/2006/main">
                  <a:graphicData uri="http://schemas.microsoft.com/office/word/2010/wordprocessingShape">
                    <wps:wsp>
                      <wps:cNvSpPr/>
                      <wps:spPr>
                        <a:xfrm>
                          <a:off x="3947095" y="3645698"/>
                          <a:ext cx="2797810" cy="268605"/>
                        </a:xfrm>
                        <a:prstGeom prst="rect">
                          <a:avLst/>
                        </a:prstGeom>
                        <a:noFill/>
                        <a:ln>
                          <a:noFill/>
                        </a:ln>
                      </wps:spPr>
                      <wps:txbx>
                        <w:txbxContent>
                          <w:p w:rsidR="000635DE" w:rsidRDefault="00344B34">
                            <w:pPr>
                              <w:spacing w:after="0" w:line="240" w:lineRule="auto"/>
                              <w:jc w:val="center"/>
                              <w:textDirection w:val="btLr"/>
                            </w:pPr>
                            <w:r>
                              <w:rPr>
                                <w:rFonts w:ascii="Arial" w:eastAsia="Arial" w:hAnsi="Arial" w:cs="Arial"/>
                                <w:b/>
                                <w:color w:val="44546A"/>
                                <w:sz w:val="24"/>
                              </w:rPr>
                              <w:t>Maputo, 12</w:t>
                            </w:r>
                            <w:r w:rsidR="00A90B96">
                              <w:rPr>
                                <w:rFonts w:ascii="Arial" w:eastAsia="Arial" w:hAnsi="Arial" w:cs="Arial"/>
                                <w:b/>
                                <w:color w:val="44546A"/>
                                <w:sz w:val="24"/>
                              </w:rPr>
                              <w:t xml:space="preserve"> de </w:t>
                            </w:r>
                            <w:r>
                              <w:rPr>
                                <w:rFonts w:ascii="Arial" w:eastAsia="Arial" w:hAnsi="Arial" w:cs="Arial"/>
                                <w:b/>
                                <w:color w:val="44546A"/>
                                <w:sz w:val="24"/>
                              </w:rPr>
                              <w:t>Setembro de 2026</w:t>
                            </w:r>
                          </w:p>
                        </w:txbxContent>
                      </wps:txbx>
                      <wps:bodyPr spcFirstLastPara="1" wrap="square" lIns="91425" tIns="45700" rIns="91425" bIns="45700" anchor="b" anchorCtr="0">
                        <a:noAutofit/>
                      </wps:bodyPr>
                    </wps:wsp>
                  </a:graphicData>
                </a:graphic>
              </wp:anchor>
            </w:drawing>
          </mc:Choice>
          <mc:Fallback>
            <w:pict>
              <v:rect w14:anchorId="1A1716E8" id="Rectangle 472" o:spid="_x0000_s1031" style="position:absolute;margin-left:385.7pt;margin-top:368.05pt;width:221.05pt;height:21.9pt;z-index:251664384;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" filled="f" stroked="f">
                <v:textbox inset="2.53958mm,1.2694mm,2.53958mm,1.2694mm">
                  <w:txbxContent>
                    <w:p w:rsidR="000635DE" w:rsidRDefault="00344B34">
                      <w:pPr>
                        <w:spacing w:after="0" w:line="240" w:lineRule="auto"/>
                        <w:jc w:val="center"/>
                        <w:textDirection w:val="btLr"/>
                      </w:pPr>
                      <w:r>
                        <w:rPr>
                          <w:rFonts w:ascii="Arial" w:eastAsia="Arial" w:hAnsi="Arial" w:cs="Arial"/>
                          <w:b/>
                          <w:color w:val="44546A"/>
                          <w:sz w:val="24"/>
                        </w:rPr>
                        <w:t>Maputo, 12</w:t>
                      </w:r>
                      <w:r w:rsidR="00A90B96">
                        <w:rPr>
                          <w:rFonts w:ascii="Arial" w:eastAsia="Arial" w:hAnsi="Arial" w:cs="Arial"/>
                          <w:b/>
                          <w:color w:val="44546A"/>
                          <w:sz w:val="24"/>
                        </w:rPr>
                        <w:t xml:space="preserve"> de </w:t>
                      </w:r>
                      <w:r>
                        <w:rPr>
                          <w:rFonts w:ascii="Arial" w:eastAsia="Arial" w:hAnsi="Arial" w:cs="Arial"/>
                          <w:b/>
                          <w:color w:val="44546A"/>
                          <w:sz w:val="24"/>
                        </w:rPr>
                        <w:t>Setembro de 2026</w:t>
                      </w:r>
                    </w:p>
                  </w:txbxContent>
                </v:textbox>
                <w10:wrap type="square" anchorx="page" anchory="page"/>
              </v:rect>
            </w:pict>
          </mc:Fallback>
        </mc:AlternateContent>
      </w:r>
      <w:r>
        <w:br w:type="page"/>
      </w:r>
    </w:p>
    <w:p w:rsidR="00344B34" w:rsidRDefault="00A90B96">
      <w:pPr>
        <w:rPr>
          <w:b/>
          <w:bCs/>
          <w:color w:val="4472C4"/>
          <w:u w:val="single"/>
        </w:rPr>
      </w:pPr>
      <w:r>
        <w:rPr>
          <w:b/>
          <w:bCs/>
          <w:color w:val="4472C4"/>
          <w:u w:val="single"/>
        </w:rPr>
        <w:lastRenderedPageBreak/>
        <w:t>PROJECTOS DE EMERGÊNCIA NA SEQUÊNCIA DA REDUÇÃO DA DISPONIBILIDADE DA HCB  DEVIDO A SECA E PLANO DE REABILITAÇÃO</w:t>
      </w:r>
    </w:p>
    <w:p w:rsidR="00344B34" w:rsidRPr="00344B34" w:rsidRDefault="00344B34" w:rsidP="00344B34">
      <w:pPr>
        <w:spacing w:after="0"/>
      </w:pPr>
    </w:p>
    <w:p w:rsidR="00344B34" w:rsidRDefault="00344B34" w:rsidP="00344B34">
      <w:pPr>
        <w:spacing w:after="0"/>
      </w:pPr>
    </w:p>
    <w:p w:rsidR="00344B34" w:rsidRPr="00344B34" w:rsidRDefault="00344B34" w:rsidP="00344B34">
      <w:pPr>
        <w:tabs>
          <w:tab w:val="left" w:pos="1210"/>
        </w:tabs>
        <w:spacing w:after="0"/>
      </w:pPr>
      <w:r>
        <w:tab/>
      </w:r>
    </w:p>
    <w:tbl>
      <w:tblPr>
        <w:tblStyle w:val="a"/>
        <w:tblW w:w="15180" w:type="dxa"/>
        <w:tblInd w:w="-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15"/>
        <w:gridCol w:w="2700"/>
        <w:gridCol w:w="2729"/>
        <w:gridCol w:w="5536"/>
      </w:tblGrid>
      <w:tr w:rsidR="000635DE" w:rsidTr="000C5FCB">
        <w:trPr>
          <w:tblHeader/>
        </w:trPr>
        <w:tc>
          <w:tcPr>
            <w:tcW w:w="4215" w:type="dxa"/>
            <w:shd w:val="clear" w:color="auto" w:fill="F4B083"/>
            <w:vAlign w:val="center"/>
          </w:tcPr>
          <w:p w:rsidR="000635DE" w:rsidRDefault="00344B34" w:rsidP="00344B34">
            <w:pPr>
              <w:spacing w:after="0" w:line="240" w:lineRule="auto"/>
              <w:rPr>
                <w:rFonts w:ascii="Times New Roman" w:eastAsia="Times New Roman" w:hAnsi="Times New Roman" w:cs="Times New Roman"/>
                <w:b/>
                <w:bCs/>
                <w:sz w:val="21"/>
                <w:szCs w:val="21"/>
              </w:rPr>
            </w:pPr>
            <w:r>
              <w:lastRenderedPageBreak/>
              <w:tab/>
            </w:r>
            <w:r w:rsidR="00A90B96">
              <w:rPr>
                <w:rFonts w:ascii="Times New Roman" w:eastAsia="Times New Roman" w:hAnsi="Times New Roman" w:cs="Times New Roman"/>
                <w:b/>
                <w:bCs/>
                <w:sz w:val="21"/>
                <w:szCs w:val="21"/>
              </w:rPr>
              <w:t>DESCRIÇÃO DO PROJECTO</w:t>
            </w:r>
          </w:p>
        </w:tc>
        <w:tc>
          <w:tcPr>
            <w:tcW w:w="2700" w:type="dxa"/>
            <w:shd w:val="clear" w:color="auto" w:fill="F4B083"/>
            <w:vAlign w:val="center"/>
          </w:tcPr>
          <w:p w:rsidR="000635DE" w:rsidRDefault="00A90B96" w:rsidP="00344B34">
            <w:pPr>
              <w:spacing w:after="0" w:line="240" w:lineRule="auto"/>
              <w:jc w:val="center"/>
              <w:rPr>
                <w:rFonts w:ascii="Times New Roman" w:eastAsia="Times New Roman" w:hAnsi="Times New Roman" w:cs="Times New Roman"/>
                <w:b/>
                <w:bCs/>
                <w:sz w:val="21"/>
                <w:szCs w:val="21"/>
              </w:rPr>
            </w:pPr>
            <w:r>
              <w:rPr>
                <w:rFonts w:ascii="Times New Roman" w:eastAsia="Times New Roman" w:hAnsi="Times New Roman" w:cs="Times New Roman"/>
                <w:b/>
                <w:bCs/>
                <w:sz w:val="21"/>
                <w:szCs w:val="21"/>
              </w:rPr>
              <w:t xml:space="preserve">CONSTRANGIMENTOS </w:t>
            </w:r>
            <w:r>
              <w:rPr>
                <w:rFonts w:ascii="Times New Roman" w:eastAsia="Times New Roman" w:hAnsi="Times New Roman" w:cs="Times New Roman"/>
                <w:sz w:val="21"/>
                <w:szCs w:val="21"/>
              </w:rPr>
              <w:t>(</w:t>
            </w:r>
            <w:r>
              <w:rPr>
                <w:rFonts w:ascii="Times New Roman" w:eastAsia="Times New Roman" w:hAnsi="Times New Roman" w:cs="Times New Roman"/>
                <w:i/>
                <w:iCs/>
                <w:sz w:val="21"/>
                <w:szCs w:val="21"/>
              </w:rPr>
              <w:t>Riscos para Sustentabilidade Financeira</w:t>
            </w:r>
            <w:r>
              <w:rPr>
                <w:rFonts w:ascii="Times New Roman" w:eastAsia="Times New Roman" w:hAnsi="Times New Roman" w:cs="Times New Roman"/>
                <w:sz w:val="21"/>
                <w:szCs w:val="21"/>
              </w:rPr>
              <w:t>)</w:t>
            </w:r>
          </w:p>
        </w:tc>
        <w:tc>
          <w:tcPr>
            <w:tcW w:w="2729" w:type="dxa"/>
            <w:shd w:val="clear" w:color="auto" w:fill="F4B083"/>
            <w:vAlign w:val="center"/>
          </w:tcPr>
          <w:p w:rsidR="000635DE" w:rsidRDefault="00A90B96" w:rsidP="00344B34">
            <w:pPr>
              <w:spacing w:after="0" w:line="240" w:lineRule="auto"/>
              <w:jc w:val="center"/>
              <w:rPr>
                <w:rFonts w:ascii="Times New Roman" w:eastAsia="Times New Roman" w:hAnsi="Times New Roman" w:cs="Times New Roman"/>
                <w:b/>
                <w:bCs/>
                <w:sz w:val="21"/>
                <w:szCs w:val="21"/>
              </w:rPr>
            </w:pPr>
            <w:r>
              <w:rPr>
                <w:rFonts w:ascii="Times New Roman" w:eastAsia="Times New Roman" w:hAnsi="Times New Roman" w:cs="Times New Roman"/>
                <w:b/>
                <w:bCs/>
                <w:sz w:val="21"/>
                <w:szCs w:val="21"/>
              </w:rPr>
              <w:t xml:space="preserve">BENEFÍCIOS </w:t>
            </w:r>
            <w:r>
              <w:rPr>
                <w:rFonts w:ascii="Times New Roman" w:eastAsia="Times New Roman" w:hAnsi="Times New Roman" w:cs="Times New Roman"/>
                <w:i/>
                <w:iCs/>
                <w:sz w:val="21"/>
                <w:szCs w:val="21"/>
              </w:rPr>
              <w:t>(Contribuição para a Sustentabilidade Financeira da EDM</w:t>
            </w:r>
            <w:r>
              <w:rPr>
                <w:rFonts w:ascii="Times New Roman" w:eastAsia="Times New Roman" w:hAnsi="Times New Roman" w:cs="Times New Roman"/>
                <w:b/>
                <w:bCs/>
                <w:sz w:val="21"/>
                <w:szCs w:val="21"/>
              </w:rPr>
              <w:t>)</w:t>
            </w:r>
          </w:p>
        </w:tc>
        <w:tc>
          <w:tcPr>
            <w:tcW w:w="5536" w:type="dxa"/>
            <w:shd w:val="clear" w:color="auto" w:fill="F4B083"/>
            <w:vAlign w:val="center"/>
          </w:tcPr>
          <w:p w:rsidR="000635DE" w:rsidRDefault="00A90B96" w:rsidP="00344B34">
            <w:pPr>
              <w:spacing w:after="0" w:line="240" w:lineRule="auto"/>
              <w:jc w:val="center"/>
              <w:rPr>
                <w:rFonts w:ascii="Times New Roman" w:eastAsia="Times New Roman" w:hAnsi="Times New Roman" w:cs="Times New Roman"/>
                <w:b/>
                <w:bCs/>
                <w:sz w:val="21"/>
                <w:szCs w:val="21"/>
              </w:rPr>
            </w:pPr>
            <w:r>
              <w:rPr>
                <w:rFonts w:ascii="Times New Roman" w:eastAsia="Times New Roman" w:hAnsi="Times New Roman" w:cs="Times New Roman"/>
                <w:b/>
                <w:bCs/>
                <w:sz w:val="21"/>
                <w:szCs w:val="21"/>
              </w:rPr>
              <w:t>Ponto de Situação</w:t>
            </w:r>
          </w:p>
        </w:tc>
      </w:tr>
      <w:tr w:rsidR="000635DE" w:rsidTr="000C5FCB">
        <w:trPr>
          <w:trHeight w:val="2034"/>
          <w:tblHeader/>
        </w:trPr>
        <w:tc>
          <w:tcPr>
            <w:tcW w:w="4215" w:type="dxa"/>
            <w:vAlign w:val="center"/>
          </w:tcPr>
          <w:p w:rsidR="000635DE" w:rsidRPr="00796329" w:rsidRDefault="00A90B96">
            <w:pPr>
              <w:numPr>
                <w:ilvl w:val="0"/>
                <w:numId w:val="21"/>
              </w:numPr>
              <w:pBdr>
                <w:top w:val="nil"/>
                <w:left w:val="nil"/>
                <w:bottom w:val="nil"/>
                <w:right w:val="nil"/>
                <w:between w:val="nil"/>
              </w:pBdr>
              <w:spacing w:after="0" w:line="240" w:lineRule="auto"/>
              <w:ind w:left="230" w:hanging="272"/>
              <w:rPr>
                <w:i/>
                <w:iCs/>
                <w:color w:val="000000"/>
                <w:sz w:val="21"/>
                <w:szCs w:val="21"/>
              </w:rPr>
            </w:pPr>
            <w:r>
              <w:rPr>
                <w:rFonts w:ascii="Times New Roman" w:eastAsia="Times New Roman" w:hAnsi="Times New Roman" w:cs="Times New Roman"/>
                <w:b/>
                <w:bCs/>
                <w:color w:val="00B0F0"/>
                <w:sz w:val="21"/>
                <w:szCs w:val="21"/>
              </w:rPr>
              <w:t xml:space="preserve">PROJECTO I: </w:t>
            </w:r>
            <w:r>
              <w:rPr>
                <w:rFonts w:ascii="Times New Roman" w:eastAsia="Times New Roman" w:hAnsi="Times New Roman" w:cs="Times New Roman"/>
                <w:b/>
                <w:bCs/>
                <w:color w:val="000000"/>
                <w:sz w:val="21"/>
                <w:szCs w:val="21"/>
              </w:rPr>
              <w:t>Expansão da Central Termoeléctrica de Temaninho – de 12 MW para 100 MW</w:t>
            </w:r>
          </w:p>
          <w:p w:rsidR="00796329" w:rsidRDefault="00796329">
            <w:pPr>
              <w:numPr>
                <w:ilvl w:val="0"/>
                <w:numId w:val="21"/>
              </w:numPr>
              <w:pBdr>
                <w:top w:val="nil"/>
                <w:left w:val="nil"/>
                <w:bottom w:val="nil"/>
                <w:right w:val="nil"/>
                <w:between w:val="nil"/>
              </w:pBdr>
              <w:spacing w:after="0" w:line="240" w:lineRule="auto"/>
              <w:ind w:left="230" w:hanging="272"/>
              <w:rPr>
                <w:i/>
                <w:iCs/>
                <w:color w:val="000000"/>
                <w:sz w:val="21"/>
                <w:szCs w:val="21"/>
              </w:rPr>
            </w:pPr>
            <w:r>
              <w:rPr>
                <w:rFonts w:ascii="Times New Roman" w:eastAsia="Times New Roman" w:hAnsi="Times New Roman" w:cs="Times New Roman"/>
                <w:b/>
                <w:bCs/>
                <w:color w:val="00B0F0"/>
                <w:sz w:val="21"/>
                <w:szCs w:val="21"/>
              </w:rPr>
              <w:t>FASE I :</w:t>
            </w:r>
            <w:r>
              <w:rPr>
                <w:i/>
                <w:iCs/>
                <w:color w:val="000000"/>
                <w:sz w:val="21"/>
                <w:szCs w:val="21"/>
              </w:rPr>
              <w:t xml:space="preserve"> </w:t>
            </w:r>
            <w:r w:rsidRPr="00796329">
              <w:rPr>
                <w:b/>
                <w:i/>
                <w:iCs/>
                <w:color w:val="000000"/>
                <w:sz w:val="21"/>
                <w:szCs w:val="21"/>
              </w:rPr>
              <w:t>23MW SADC ENERGY</w:t>
            </w:r>
            <w:r>
              <w:rPr>
                <w:i/>
                <w:iCs/>
                <w:color w:val="000000"/>
                <w:sz w:val="21"/>
                <w:szCs w:val="21"/>
              </w:rPr>
              <w:t xml:space="preserve"> ( a base de motores de combustão)</w:t>
            </w:r>
          </w:p>
          <w:p w:rsidR="000635DE" w:rsidRDefault="00A90B96">
            <w:pPr>
              <w:pBdr>
                <w:top w:val="nil"/>
                <w:left w:val="nil"/>
                <w:bottom w:val="nil"/>
                <w:right w:val="nil"/>
                <w:between w:val="nil"/>
              </w:pBdr>
              <w:spacing w:after="0" w:line="240" w:lineRule="auto"/>
              <w:ind w:left="230"/>
              <w:jc w:val="both"/>
              <w:rPr>
                <w:rFonts w:ascii="Times New Roman" w:eastAsia="Times New Roman" w:hAnsi="Times New Roman" w:cs="Times New Roman"/>
                <w:i/>
                <w:iCs/>
                <w:color w:val="000000"/>
                <w:sz w:val="21"/>
                <w:szCs w:val="21"/>
              </w:rPr>
            </w:pPr>
            <w:r>
              <w:rPr>
                <w:rFonts w:ascii="Times New Roman" w:eastAsia="Times New Roman" w:hAnsi="Times New Roman" w:cs="Times New Roman"/>
                <w:i/>
                <w:iCs/>
                <w:color w:val="000000"/>
                <w:sz w:val="21"/>
                <w:szCs w:val="21"/>
              </w:rPr>
              <w:t xml:space="preserve">Expansão da central à gás para mitigar os riscos no fornecimento (restrições) devido ao </w:t>
            </w:r>
            <w:r>
              <w:rPr>
                <w:rFonts w:ascii="Times New Roman" w:eastAsia="Times New Roman" w:hAnsi="Times New Roman" w:cs="Times New Roman"/>
                <w:i/>
                <w:iCs/>
                <w:sz w:val="21"/>
                <w:szCs w:val="21"/>
              </w:rPr>
              <w:t>déficit</w:t>
            </w:r>
            <w:r>
              <w:rPr>
                <w:rFonts w:ascii="Times New Roman" w:eastAsia="Times New Roman" w:hAnsi="Times New Roman" w:cs="Times New Roman"/>
                <w:i/>
                <w:iCs/>
                <w:color w:val="000000"/>
                <w:sz w:val="21"/>
                <w:szCs w:val="21"/>
              </w:rPr>
              <w:t xml:space="preserve"> de geração no sistema Centro-Norte causado por problemas hidrológicos nas bacias hidroeléctricas da HCB, Chicamba e Mavuzi desde </w:t>
            </w:r>
            <w:r>
              <w:rPr>
                <w:rFonts w:ascii="Times New Roman" w:eastAsia="Times New Roman" w:hAnsi="Times New Roman" w:cs="Times New Roman"/>
                <w:i/>
                <w:iCs/>
                <w:sz w:val="21"/>
                <w:szCs w:val="21"/>
              </w:rPr>
              <w:t>início</w:t>
            </w:r>
            <w:r>
              <w:rPr>
                <w:rFonts w:ascii="Times New Roman" w:eastAsia="Times New Roman" w:hAnsi="Times New Roman" w:cs="Times New Roman"/>
                <w:i/>
                <w:iCs/>
                <w:color w:val="000000"/>
                <w:sz w:val="21"/>
                <w:szCs w:val="21"/>
              </w:rPr>
              <w:t xml:space="preserve"> de 2024, com rdução da capacidade de produção em cerca de 500MW.</w:t>
            </w:r>
          </w:p>
        </w:tc>
        <w:tc>
          <w:tcPr>
            <w:tcW w:w="2700" w:type="dxa"/>
            <w:vAlign w:val="center"/>
          </w:tcPr>
          <w:p w:rsidR="000635DE" w:rsidRDefault="00A90B96" w:rsidP="00796329">
            <w:pPr>
              <w:numPr>
                <w:ilvl w:val="0"/>
                <w:numId w:val="13"/>
              </w:numPr>
              <w:pBdr>
                <w:top w:val="nil"/>
                <w:left w:val="nil"/>
                <w:bottom w:val="nil"/>
                <w:right w:val="nil"/>
                <w:between w:val="nil"/>
              </w:pBdr>
              <w:spacing w:after="0" w:line="240" w:lineRule="auto"/>
              <w:ind w:left="385" w:hanging="284"/>
              <w:jc w:val="both"/>
              <w:rPr>
                <w:rFonts w:ascii="Times New Roman" w:eastAsia="Times New Roman" w:hAnsi="Times New Roman" w:cs="Times New Roman"/>
                <w:b/>
                <w:bCs/>
                <w:color w:val="000000"/>
                <w:sz w:val="21"/>
                <w:szCs w:val="21"/>
              </w:rPr>
            </w:pPr>
            <w:r>
              <w:rPr>
                <w:rFonts w:ascii="Times New Roman" w:eastAsia="Times New Roman" w:hAnsi="Times New Roman" w:cs="Times New Roman"/>
                <w:color w:val="000000"/>
                <w:sz w:val="21"/>
                <w:szCs w:val="21"/>
              </w:rPr>
              <w:t>Necessidade de negociações contratuais rápidas</w:t>
            </w:r>
            <w:r w:rsidR="00796329">
              <w:rPr>
                <w:rFonts w:ascii="Times New Roman" w:eastAsia="Times New Roman" w:hAnsi="Times New Roman" w:cs="Times New Roman"/>
                <w:color w:val="000000"/>
                <w:sz w:val="21"/>
                <w:szCs w:val="21"/>
              </w:rPr>
              <w:t xml:space="preserve"> (JDA e GSA)</w:t>
            </w:r>
          </w:p>
        </w:tc>
        <w:tc>
          <w:tcPr>
            <w:tcW w:w="2729" w:type="dxa"/>
            <w:vAlign w:val="center"/>
          </w:tcPr>
          <w:p w:rsidR="000635DE" w:rsidRDefault="00A90B96">
            <w:pPr>
              <w:numPr>
                <w:ilvl w:val="0"/>
                <w:numId w:val="14"/>
              </w:numPr>
              <w:spacing w:after="0" w:line="240" w:lineRule="auto"/>
              <w:ind w:left="385" w:hanging="283"/>
              <w:rPr>
                <w:rFonts w:ascii="Times New Roman" w:eastAsia="Times New Roman" w:hAnsi="Times New Roman" w:cs="Times New Roman"/>
                <w:sz w:val="21"/>
                <w:szCs w:val="21"/>
              </w:rPr>
            </w:pPr>
            <w:r>
              <w:rPr>
                <w:rFonts w:ascii="Times New Roman" w:eastAsia="Times New Roman" w:hAnsi="Times New Roman" w:cs="Times New Roman"/>
                <w:sz w:val="21"/>
                <w:szCs w:val="21"/>
              </w:rPr>
              <w:t>Mitiga o défice de geração no Centro-Norte causado pelo</w:t>
            </w:r>
            <w:sdt>
              <w:sdtPr>
                <w:tag w:val="goog_rdk_0"/>
                <w:id w:val="717854754"/>
                <w:showingPlcHdr/>
              </w:sdtPr>
              <w:sdtEndPr/>
              <w:sdtContent>
                <w:r w:rsidR="007217CB">
                  <w:t xml:space="preserve">     </w:t>
                </w:r>
              </w:sdtContent>
            </w:sdt>
            <w:r>
              <w:rPr>
                <w:rFonts w:ascii="Times New Roman" w:eastAsia="Times New Roman" w:hAnsi="Times New Roman" w:cs="Times New Roman"/>
                <w:sz w:val="21"/>
                <w:szCs w:val="21"/>
              </w:rPr>
              <w:t>baixo nível hidrográfico.</w:t>
            </w:r>
          </w:p>
          <w:p w:rsidR="000635DE" w:rsidRDefault="00A90B96">
            <w:pPr>
              <w:numPr>
                <w:ilvl w:val="0"/>
                <w:numId w:val="14"/>
              </w:numPr>
              <w:spacing w:after="0" w:line="240" w:lineRule="auto"/>
              <w:ind w:left="385" w:hanging="283"/>
              <w:rPr>
                <w:rFonts w:ascii="Times New Roman" w:eastAsia="Times New Roman" w:hAnsi="Times New Roman" w:cs="Times New Roman"/>
                <w:sz w:val="21"/>
                <w:szCs w:val="21"/>
              </w:rPr>
            </w:pPr>
            <w:r>
              <w:rPr>
                <w:rFonts w:ascii="Times New Roman" w:eastAsia="Times New Roman" w:hAnsi="Times New Roman" w:cs="Times New Roman"/>
                <w:sz w:val="21"/>
                <w:szCs w:val="21"/>
              </w:rPr>
              <w:t>Aproveita a infraestrutura de transporte de energia existente.</w:t>
            </w:r>
          </w:p>
          <w:p w:rsidR="000635DE" w:rsidRDefault="00A90B96">
            <w:pPr>
              <w:numPr>
                <w:ilvl w:val="0"/>
                <w:numId w:val="14"/>
              </w:numPr>
              <w:spacing w:after="0" w:line="240" w:lineRule="auto"/>
              <w:ind w:left="385" w:hanging="283"/>
              <w:rPr>
                <w:rFonts w:ascii="Times New Roman" w:eastAsia="Times New Roman" w:hAnsi="Times New Roman" w:cs="Times New Roman"/>
                <w:sz w:val="21"/>
                <w:szCs w:val="21"/>
              </w:rPr>
            </w:pPr>
            <w:r>
              <w:rPr>
                <w:rFonts w:ascii="Times New Roman" w:eastAsia="Times New Roman" w:hAnsi="Times New Roman" w:cs="Times New Roman"/>
                <w:sz w:val="21"/>
                <w:szCs w:val="21"/>
              </w:rPr>
              <w:t>Solução escalável com investimento inicial mínimo;</w:t>
            </w:r>
          </w:p>
          <w:p w:rsidR="000635DE" w:rsidRDefault="00A90B96" w:rsidP="000C5FCB">
            <w:pPr>
              <w:numPr>
                <w:ilvl w:val="0"/>
                <w:numId w:val="14"/>
              </w:numPr>
              <w:spacing w:after="0" w:line="240" w:lineRule="auto"/>
              <w:ind w:left="385" w:hanging="283"/>
              <w:rPr>
                <w:rFonts w:ascii="Times New Roman" w:eastAsia="Times New Roman" w:hAnsi="Times New Roman" w:cs="Times New Roman"/>
                <w:b/>
                <w:bCs/>
                <w:sz w:val="21"/>
                <w:szCs w:val="21"/>
              </w:rPr>
            </w:pPr>
            <w:r>
              <w:rPr>
                <w:rFonts w:ascii="Times New Roman" w:eastAsia="Times New Roman" w:hAnsi="Times New Roman" w:cs="Times New Roman"/>
                <w:i/>
                <w:iCs/>
                <w:sz w:val="21"/>
                <w:szCs w:val="21"/>
              </w:rPr>
              <w:t xml:space="preserve">Período de Implementação curto: </w:t>
            </w:r>
            <w:r w:rsidR="000C5FCB">
              <w:rPr>
                <w:rFonts w:ascii="Times New Roman" w:eastAsia="Times New Roman" w:hAnsi="Times New Roman" w:cs="Times New Roman"/>
                <w:b/>
                <w:bCs/>
                <w:i/>
                <w:iCs/>
                <w:sz w:val="21"/>
                <w:szCs w:val="21"/>
              </w:rPr>
              <w:t>6</w:t>
            </w:r>
            <w:r>
              <w:rPr>
                <w:rFonts w:ascii="Times New Roman" w:eastAsia="Times New Roman" w:hAnsi="Times New Roman" w:cs="Times New Roman"/>
                <w:b/>
                <w:bCs/>
                <w:i/>
                <w:iCs/>
                <w:sz w:val="21"/>
                <w:szCs w:val="21"/>
              </w:rPr>
              <w:t xml:space="preserve"> Meses (Solução de Grupos Contentorizados).</w:t>
            </w:r>
          </w:p>
        </w:tc>
        <w:tc>
          <w:tcPr>
            <w:tcW w:w="5536" w:type="dxa"/>
            <w:vAlign w:val="center"/>
          </w:tcPr>
          <w:p w:rsidR="000635DE" w:rsidRDefault="00480049">
            <w:pPr>
              <w:numPr>
                <w:ilvl w:val="0"/>
                <w:numId w:val="10"/>
              </w:numPr>
              <w:spacing w:after="0" w:line="240"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 xml:space="preserve">Assinado </w:t>
            </w:r>
            <w:r w:rsidR="00A90B96">
              <w:rPr>
                <w:rFonts w:ascii="Times New Roman" w:eastAsia="Times New Roman" w:hAnsi="Times New Roman" w:cs="Times New Roman"/>
                <w:sz w:val="21"/>
                <w:szCs w:val="21"/>
              </w:rPr>
              <w:t>o NDA com o promotor</w:t>
            </w:r>
            <w:r>
              <w:rPr>
                <w:rFonts w:ascii="Times New Roman" w:eastAsia="Times New Roman" w:hAnsi="Times New Roman" w:cs="Times New Roman"/>
                <w:sz w:val="21"/>
                <w:szCs w:val="21"/>
              </w:rPr>
              <w:t xml:space="preserve"> SADC Energy</w:t>
            </w:r>
            <w:r w:rsidR="00A90B96">
              <w:rPr>
                <w:rFonts w:ascii="Times New Roman" w:eastAsia="Times New Roman" w:hAnsi="Times New Roman" w:cs="Times New Roman"/>
                <w:sz w:val="21"/>
                <w:szCs w:val="21"/>
              </w:rPr>
              <w:t>;</w:t>
            </w:r>
          </w:p>
          <w:p w:rsidR="000635DE" w:rsidRDefault="000635DE" w:rsidP="00480049">
            <w:pPr>
              <w:spacing w:after="0" w:line="240" w:lineRule="auto"/>
              <w:ind w:left="720"/>
              <w:rPr>
                <w:rFonts w:ascii="Times New Roman" w:eastAsia="Times New Roman" w:hAnsi="Times New Roman" w:cs="Times New Roman"/>
                <w:sz w:val="21"/>
                <w:szCs w:val="21"/>
              </w:rPr>
            </w:pPr>
          </w:p>
          <w:p w:rsidR="000635DE" w:rsidRDefault="00480049">
            <w:pPr>
              <w:numPr>
                <w:ilvl w:val="0"/>
                <w:numId w:val="10"/>
              </w:numPr>
              <w:spacing w:after="0" w:line="240"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 xml:space="preserve">Em actualização o Estudo de integração </w:t>
            </w:r>
            <w:r w:rsidR="00A90B96">
              <w:rPr>
                <w:rFonts w:ascii="Times New Roman" w:eastAsia="Times New Roman" w:hAnsi="Times New Roman" w:cs="Times New Roman"/>
                <w:sz w:val="21"/>
                <w:szCs w:val="21"/>
              </w:rPr>
              <w:t xml:space="preserve">, </w:t>
            </w:r>
            <w:r>
              <w:rPr>
                <w:rFonts w:ascii="Times New Roman" w:eastAsia="Times New Roman" w:hAnsi="Times New Roman" w:cs="Times New Roman"/>
                <w:sz w:val="21"/>
                <w:szCs w:val="21"/>
              </w:rPr>
              <w:t>considerando os Projectos de 75 e 40MW</w:t>
            </w:r>
            <w:r w:rsidR="00A90B96">
              <w:rPr>
                <w:rFonts w:ascii="Times New Roman" w:eastAsia="Times New Roman" w:hAnsi="Times New Roman" w:cs="Times New Roman"/>
                <w:sz w:val="21"/>
                <w:szCs w:val="21"/>
              </w:rPr>
              <w:t>;</w:t>
            </w:r>
          </w:p>
          <w:p w:rsidR="000635DE" w:rsidRDefault="00A90B96">
            <w:pPr>
              <w:numPr>
                <w:ilvl w:val="0"/>
                <w:numId w:val="10"/>
              </w:numPr>
              <w:spacing w:after="0" w:line="240"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Encontra-se em elaboração o JDA, prevendo-se a sua assinatura até</w:t>
            </w:r>
            <w:r w:rsidR="00480049">
              <w:rPr>
                <w:rFonts w:ascii="Times New Roman" w:eastAsia="Times New Roman" w:hAnsi="Times New Roman" w:cs="Times New Roman"/>
                <w:sz w:val="21"/>
                <w:szCs w:val="21"/>
              </w:rPr>
              <w:t xml:space="preserve"> segunda metade de Setembro do ano em curso;</w:t>
            </w:r>
          </w:p>
          <w:p w:rsidR="00480049" w:rsidRDefault="00480049">
            <w:pPr>
              <w:numPr>
                <w:ilvl w:val="0"/>
                <w:numId w:val="10"/>
              </w:numPr>
              <w:spacing w:after="0" w:line="240"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O promotor efectuou uma visita ao site na primeira semana de Setembro em preparação do início da mobilização do projecto</w:t>
            </w:r>
            <w:r w:rsidR="00796329">
              <w:rPr>
                <w:rFonts w:ascii="Times New Roman" w:eastAsia="Times New Roman" w:hAnsi="Times New Roman" w:cs="Times New Roman"/>
                <w:sz w:val="21"/>
                <w:szCs w:val="21"/>
              </w:rPr>
              <w:t>;</w:t>
            </w:r>
          </w:p>
          <w:p w:rsidR="00796329" w:rsidRDefault="00796329">
            <w:pPr>
              <w:numPr>
                <w:ilvl w:val="0"/>
                <w:numId w:val="10"/>
              </w:numPr>
              <w:spacing w:after="0" w:line="240"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Operação Comercial prevista para Fevereiro de 2027</w:t>
            </w:r>
          </w:p>
          <w:p w:rsidR="000635DE" w:rsidRDefault="000635DE">
            <w:pPr>
              <w:spacing w:after="0" w:line="240" w:lineRule="auto"/>
              <w:rPr>
                <w:rFonts w:ascii="Times New Roman" w:eastAsia="Times New Roman" w:hAnsi="Times New Roman" w:cs="Times New Roman"/>
                <w:sz w:val="21"/>
                <w:szCs w:val="21"/>
              </w:rPr>
            </w:pPr>
          </w:p>
        </w:tc>
      </w:tr>
      <w:tr w:rsidR="000635DE" w:rsidTr="000C5FCB">
        <w:trPr>
          <w:trHeight w:val="2201"/>
          <w:tblHeader/>
        </w:trPr>
        <w:tc>
          <w:tcPr>
            <w:tcW w:w="4215" w:type="dxa"/>
            <w:vAlign w:val="center"/>
          </w:tcPr>
          <w:p w:rsidR="000635DE" w:rsidRDefault="00A90B96">
            <w:pPr>
              <w:numPr>
                <w:ilvl w:val="0"/>
                <w:numId w:val="21"/>
              </w:numPr>
              <w:pBdr>
                <w:top w:val="nil"/>
                <w:left w:val="nil"/>
                <w:bottom w:val="nil"/>
                <w:right w:val="nil"/>
                <w:between w:val="nil"/>
              </w:pBdr>
              <w:spacing w:after="0" w:line="240" w:lineRule="auto"/>
              <w:rPr>
                <w:b/>
                <w:bCs/>
                <w:color w:val="000000"/>
                <w:sz w:val="21"/>
                <w:szCs w:val="21"/>
              </w:rPr>
            </w:pPr>
            <w:r>
              <w:rPr>
                <w:rFonts w:ascii="Times New Roman" w:eastAsia="Times New Roman" w:hAnsi="Times New Roman" w:cs="Times New Roman"/>
                <w:b/>
                <w:bCs/>
                <w:color w:val="00B0F0"/>
                <w:sz w:val="21"/>
                <w:szCs w:val="21"/>
              </w:rPr>
              <w:t xml:space="preserve">PROJECTO II: </w:t>
            </w:r>
            <w:r>
              <w:rPr>
                <w:rFonts w:ascii="Times New Roman" w:eastAsia="Times New Roman" w:hAnsi="Times New Roman" w:cs="Times New Roman"/>
                <w:b/>
                <w:bCs/>
                <w:color w:val="000000"/>
                <w:sz w:val="21"/>
                <w:szCs w:val="21"/>
              </w:rPr>
              <w:t>Fornecimento e instalação da Central de 75MW pela ENI.</w:t>
            </w:r>
          </w:p>
          <w:p w:rsidR="000635DE" w:rsidRDefault="00A90B96">
            <w:pPr>
              <w:pBdr>
                <w:top w:val="nil"/>
                <w:left w:val="nil"/>
                <w:bottom w:val="nil"/>
                <w:right w:val="nil"/>
                <w:between w:val="nil"/>
              </w:pBdr>
              <w:spacing w:after="0" w:line="240" w:lineRule="auto"/>
              <w:ind w:left="372"/>
              <w:jc w:val="both"/>
              <w:rPr>
                <w:rFonts w:ascii="Times New Roman" w:eastAsia="Times New Roman" w:hAnsi="Times New Roman" w:cs="Times New Roman"/>
                <w:b/>
                <w:bCs/>
                <w:color w:val="000000"/>
                <w:sz w:val="21"/>
                <w:szCs w:val="21"/>
              </w:rPr>
            </w:pPr>
            <w:bookmarkStart w:id="0" w:name="_heading=h.81b0qhvf5im5" w:colFirst="0" w:colLast="0"/>
            <w:bookmarkEnd w:id="0"/>
            <w:r>
              <w:rPr>
                <w:rFonts w:ascii="Times New Roman" w:eastAsia="Times New Roman" w:hAnsi="Times New Roman" w:cs="Times New Roman"/>
                <w:i/>
                <w:iCs/>
                <w:color w:val="000000"/>
                <w:sz w:val="21"/>
                <w:szCs w:val="21"/>
              </w:rPr>
              <w:t>A materialização deste projecto pode ser imediata tendo em conta que resulta de um acordo assumido pela ENI perante o Governo de Moçambique no âmbito do acordo de tributação pelas mais valias da venda parcial da sua participação na Eni East Africa. É uma solução ideal para o momento de crise pois não requere muitas aprovações do investimento.</w:t>
            </w:r>
          </w:p>
        </w:tc>
        <w:tc>
          <w:tcPr>
            <w:tcW w:w="2700" w:type="dxa"/>
            <w:vAlign w:val="center"/>
          </w:tcPr>
          <w:p w:rsidR="000635DE" w:rsidRDefault="00523EDD" w:rsidP="007A76D8">
            <w:pPr>
              <w:numPr>
                <w:ilvl w:val="0"/>
                <w:numId w:val="22"/>
              </w:numPr>
              <w:pBdr>
                <w:top w:val="nil"/>
                <w:left w:val="nil"/>
                <w:bottom w:val="nil"/>
                <w:right w:val="nil"/>
                <w:between w:val="nil"/>
              </w:pBdr>
              <w:spacing w:after="0" w:line="240" w:lineRule="auto"/>
              <w:ind w:left="385" w:hanging="284"/>
              <w:jc w:val="both"/>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Aprovaç</w:t>
            </w:r>
            <w:r w:rsidR="007A76D8">
              <w:rPr>
                <w:rFonts w:ascii="Times New Roman" w:eastAsia="Times New Roman" w:hAnsi="Times New Roman" w:cs="Times New Roman"/>
                <w:color w:val="000000"/>
                <w:sz w:val="21"/>
                <w:szCs w:val="21"/>
              </w:rPr>
              <w:t>ões</w:t>
            </w:r>
            <w:r>
              <w:rPr>
                <w:rFonts w:ascii="Times New Roman" w:eastAsia="Times New Roman" w:hAnsi="Times New Roman" w:cs="Times New Roman"/>
                <w:color w:val="000000"/>
                <w:sz w:val="21"/>
                <w:szCs w:val="21"/>
              </w:rPr>
              <w:t xml:space="preserve"> de documentos e </w:t>
            </w:r>
            <w:r w:rsidR="007A76D8">
              <w:rPr>
                <w:rFonts w:ascii="Times New Roman" w:eastAsia="Times New Roman" w:hAnsi="Times New Roman" w:cs="Times New Roman"/>
                <w:color w:val="000000"/>
                <w:sz w:val="21"/>
                <w:szCs w:val="21"/>
              </w:rPr>
              <w:t xml:space="preserve">fases do projecto dependentes da ENH e EDM geram lentidão ao progresso do projecto. </w:t>
            </w:r>
            <w:r w:rsidR="007A76D8" w:rsidRPr="007A76D8">
              <w:rPr>
                <w:rFonts w:ascii="Times New Roman" w:eastAsia="Times New Roman" w:hAnsi="Times New Roman" w:cs="Times New Roman"/>
                <w:i/>
                <w:color w:val="000000"/>
                <w:sz w:val="21"/>
                <w:szCs w:val="21"/>
              </w:rPr>
              <w:t>A ENH devia ficar na posição de fornecedor de GAS e deixar a EDM liderar a estruturação do projecto em coordenação coma a ENI</w:t>
            </w:r>
          </w:p>
        </w:tc>
        <w:tc>
          <w:tcPr>
            <w:tcW w:w="2729" w:type="dxa"/>
            <w:vAlign w:val="center"/>
          </w:tcPr>
          <w:p w:rsidR="000635DE" w:rsidRDefault="000635DE">
            <w:pPr>
              <w:spacing w:after="0" w:line="240" w:lineRule="auto"/>
              <w:rPr>
                <w:rFonts w:ascii="Times New Roman" w:eastAsia="Times New Roman" w:hAnsi="Times New Roman" w:cs="Times New Roman"/>
                <w:sz w:val="21"/>
                <w:szCs w:val="21"/>
              </w:rPr>
            </w:pPr>
          </w:p>
          <w:p w:rsidR="000635DE" w:rsidRDefault="00A90B96">
            <w:pPr>
              <w:numPr>
                <w:ilvl w:val="0"/>
                <w:numId w:val="23"/>
              </w:numPr>
              <w:pBdr>
                <w:top w:val="nil"/>
                <w:left w:val="nil"/>
                <w:bottom w:val="nil"/>
                <w:right w:val="nil"/>
                <w:between w:val="nil"/>
              </w:pBdr>
              <w:ind w:left="385" w:hanging="283"/>
              <w:jc w:val="both"/>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Mitiga o défice de geração no Sistema Eléctrico Nacional causado pelo baixo nível hidrográfico</w:t>
            </w:r>
          </w:p>
        </w:tc>
        <w:tc>
          <w:tcPr>
            <w:tcW w:w="5536" w:type="dxa"/>
            <w:vAlign w:val="center"/>
          </w:tcPr>
          <w:p w:rsidR="000635DE" w:rsidRDefault="00A90B96">
            <w:pPr>
              <w:numPr>
                <w:ilvl w:val="0"/>
                <w:numId w:val="9"/>
              </w:numPr>
              <w:spacing w:after="0" w:line="240"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 xml:space="preserve"> Assinado NDA ENH/ EDM/ENI;</w:t>
            </w:r>
          </w:p>
          <w:p w:rsidR="000635DE" w:rsidRDefault="00A90B96">
            <w:pPr>
              <w:numPr>
                <w:ilvl w:val="0"/>
                <w:numId w:val="9"/>
              </w:numPr>
              <w:spacing w:after="0" w:line="240"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Aprovado Temane como Local de construção;</w:t>
            </w:r>
          </w:p>
          <w:p w:rsidR="000635DE" w:rsidRDefault="00A90B96">
            <w:pPr>
              <w:numPr>
                <w:ilvl w:val="0"/>
                <w:numId w:val="9"/>
              </w:numPr>
              <w:spacing w:after="0" w:line="240"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Seleccionada a Tecnologia de Geração a Motores de Combustão;</w:t>
            </w:r>
          </w:p>
          <w:p w:rsidR="000635DE" w:rsidRDefault="00A90B96">
            <w:pPr>
              <w:numPr>
                <w:ilvl w:val="0"/>
                <w:numId w:val="9"/>
              </w:numPr>
              <w:spacing w:after="0" w:line="240"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Estabelecidos Critérios de Procurement;</w:t>
            </w:r>
          </w:p>
          <w:p w:rsidR="000635DE" w:rsidRDefault="00A90B96">
            <w:pPr>
              <w:numPr>
                <w:ilvl w:val="0"/>
                <w:numId w:val="9"/>
              </w:numPr>
              <w:spacing w:after="0" w:line="240"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Defini</w:t>
            </w:r>
            <w:r w:rsidR="00796329">
              <w:rPr>
                <w:rFonts w:ascii="Times New Roman" w:eastAsia="Times New Roman" w:hAnsi="Times New Roman" w:cs="Times New Roman"/>
                <w:sz w:val="21"/>
                <w:szCs w:val="21"/>
              </w:rPr>
              <w:t xml:space="preserve">do </w:t>
            </w:r>
            <w:r>
              <w:rPr>
                <w:rFonts w:ascii="Times New Roman" w:eastAsia="Times New Roman" w:hAnsi="Times New Roman" w:cs="Times New Roman"/>
                <w:sz w:val="21"/>
                <w:szCs w:val="21"/>
              </w:rPr>
              <w:t>o escopo de trabalho;</w:t>
            </w:r>
          </w:p>
          <w:p w:rsidR="000635DE" w:rsidRDefault="00A90B96">
            <w:pPr>
              <w:numPr>
                <w:ilvl w:val="0"/>
                <w:numId w:val="9"/>
              </w:numPr>
              <w:spacing w:after="0" w:line="240"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Valida</w:t>
            </w:r>
            <w:r w:rsidR="00796329">
              <w:rPr>
                <w:rFonts w:ascii="Times New Roman" w:eastAsia="Times New Roman" w:hAnsi="Times New Roman" w:cs="Times New Roman"/>
                <w:sz w:val="21"/>
                <w:szCs w:val="21"/>
              </w:rPr>
              <w:t xml:space="preserve">das </w:t>
            </w:r>
            <w:r>
              <w:rPr>
                <w:rFonts w:ascii="Times New Roman" w:eastAsia="Times New Roman" w:hAnsi="Times New Roman" w:cs="Times New Roman"/>
                <w:sz w:val="21"/>
                <w:szCs w:val="21"/>
              </w:rPr>
              <w:t>as especificações técnicas</w:t>
            </w:r>
            <w:r w:rsidR="00796329">
              <w:rPr>
                <w:rFonts w:ascii="Times New Roman" w:eastAsia="Times New Roman" w:hAnsi="Times New Roman" w:cs="Times New Roman"/>
                <w:sz w:val="21"/>
                <w:szCs w:val="21"/>
              </w:rPr>
              <w:t xml:space="preserve"> do Equipqmentos</w:t>
            </w:r>
            <w:r>
              <w:rPr>
                <w:rFonts w:ascii="Times New Roman" w:eastAsia="Times New Roman" w:hAnsi="Times New Roman" w:cs="Times New Roman"/>
                <w:sz w:val="21"/>
                <w:szCs w:val="21"/>
              </w:rPr>
              <w:t>;</w:t>
            </w:r>
          </w:p>
          <w:p w:rsidR="000635DE" w:rsidRDefault="00A90B96">
            <w:pPr>
              <w:numPr>
                <w:ilvl w:val="0"/>
                <w:numId w:val="9"/>
              </w:numPr>
              <w:spacing w:after="0" w:line="240"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 xml:space="preserve">JDA </w:t>
            </w:r>
            <w:r w:rsidR="00796329">
              <w:rPr>
                <w:rFonts w:ascii="Times New Roman" w:eastAsia="Times New Roman" w:hAnsi="Times New Roman" w:cs="Times New Roman"/>
                <w:sz w:val="21"/>
                <w:szCs w:val="21"/>
              </w:rPr>
              <w:t xml:space="preserve"> em preparação do processo de assinatura</w:t>
            </w:r>
            <w:r>
              <w:rPr>
                <w:rFonts w:ascii="Times New Roman" w:eastAsia="Times New Roman" w:hAnsi="Times New Roman" w:cs="Times New Roman"/>
                <w:sz w:val="21"/>
                <w:szCs w:val="21"/>
              </w:rPr>
              <w:t>;</w:t>
            </w:r>
          </w:p>
          <w:p w:rsidR="000635DE" w:rsidRDefault="00A90B96">
            <w:pPr>
              <w:numPr>
                <w:ilvl w:val="0"/>
                <w:numId w:val="9"/>
              </w:numPr>
              <w:spacing w:after="0" w:line="240"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Em preparação a documentação para selecção de consultores para estudo geotécnico e topográfico;</w:t>
            </w:r>
          </w:p>
          <w:p w:rsidR="000635DE" w:rsidRDefault="00A90B96">
            <w:pPr>
              <w:numPr>
                <w:ilvl w:val="0"/>
                <w:numId w:val="9"/>
              </w:numPr>
              <w:spacing w:after="0" w:line="240"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1º Semestre de 2027 Alocação de Recursos Financeiros e lançamento de Concurso para Selecção do EPC;</w:t>
            </w:r>
          </w:p>
          <w:p w:rsidR="000635DE" w:rsidRDefault="00A90B96">
            <w:pPr>
              <w:numPr>
                <w:ilvl w:val="0"/>
                <w:numId w:val="9"/>
              </w:numPr>
              <w:spacing w:after="0" w:line="240"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III Trimestre de 2027, Adjudicação e Início das Obras;</w:t>
            </w:r>
          </w:p>
          <w:p w:rsidR="000635DE" w:rsidRDefault="00A90B96">
            <w:pPr>
              <w:numPr>
                <w:ilvl w:val="0"/>
                <w:numId w:val="9"/>
              </w:numPr>
              <w:spacing w:after="0" w:line="240"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Dezembro de 2028, Operação Comercial</w:t>
            </w:r>
          </w:p>
          <w:p w:rsidR="000635DE" w:rsidRDefault="000635DE">
            <w:pPr>
              <w:spacing w:after="0" w:line="240" w:lineRule="auto"/>
              <w:ind w:left="720"/>
              <w:rPr>
                <w:rFonts w:ascii="Times New Roman" w:eastAsia="Times New Roman" w:hAnsi="Times New Roman" w:cs="Times New Roman"/>
                <w:color w:val="E06666"/>
                <w:sz w:val="21"/>
                <w:szCs w:val="21"/>
              </w:rPr>
            </w:pPr>
          </w:p>
          <w:p w:rsidR="000635DE" w:rsidRDefault="000635DE">
            <w:pPr>
              <w:spacing w:after="0" w:line="240" w:lineRule="auto"/>
              <w:rPr>
                <w:rFonts w:ascii="Times New Roman" w:eastAsia="Times New Roman" w:hAnsi="Times New Roman" w:cs="Times New Roman"/>
                <w:sz w:val="21"/>
                <w:szCs w:val="21"/>
              </w:rPr>
            </w:pPr>
          </w:p>
        </w:tc>
      </w:tr>
      <w:tr w:rsidR="000635DE" w:rsidTr="000C5FCB">
        <w:trPr>
          <w:trHeight w:val="2201"/>
          <w:tblHeader/>
        </w:trPr>
        <w:tc>
          <w:tcPr>
            <w:tcW w:w="4215" w:type="dxa"/>
            <w:vAlign w:val="center"/>
          </w:tcPr>
          <w:p w:rsidR="000635DE" w:rsidRDefault="00A90B96">
            <w:pPr>
              <w:numPr>
                <w:ilvl w:val="0"/>
                <w:numId w:val="21"/>
              </w:numPr>
              <w:pBdr>
                <w:top w:val="nil"/>
                <w:left w:val="nil"/>
                <w:bottom w:val="nil"/>
                <w:right w:val="nil"/>
                <w:between w:val="nil"/>
              </w:pBdr>
              <w:spacing w:after="0" w:line="240" w:lineRule="auto"/>
              <w:rPr>
                <w:i/>
                <w:iCs/>
                <w:color w:val="000000"/>
                <w:sz w:val="21"/>
                <w:szCs w:val="21"/>
              </w:rPr>
            </w:pPr>
            <w:r>
              <w:rPr>
                <w:rFonts w:ascii="Times New Roman" w:eastAsia="Times New Roman" w:hAnsi="Times New Roman" w:cs="Times New Roman"/>
                <w:b/>
                <w:bCs/>
                <w:color w:val="00B0F0"/>
                <w:sz w:val="21"/>
                <w:szCs w:val="21"/>
              </w:rPr>
              <w:lastRenderedPageBreak/>
              <w:t xml:space="preserve">PROJECTO III: </w:t>
            </w:r>
            <w:r>
              <w:rPr>
                <w:rFonts w:ascii="Times New Roman" w:eastAsia="Times New Roman" w:hAnsi="Times New Roman" w:cs="Times New Roman"/>
                <w:b/>
                <w:bCs/>
                <w:color w:val="000000"/>
                <w:sz w:val="21"/>
                <w:szCs w:val="21"/>
              </w:rPr>
              <w:t>Implamentação do Projecto da Central Térmica de Maputo (CTM) Fase II-110 MW</w:t>
            </w:r>
          </w:p>
          <w:p w:rsidR="000635DE" w:rsidRDefault="00A90B96">
            <w:pPr>
              <w:pBdr>
                <w:top w:val="nil"/>
                <w:left w:val="nil"/>
                <w:bottom w:val="nil"/>
                <w:right w:val="nil"/>
                <w:between w:val="nil"/>
              </w:pBdr>
              <w:spacing w:after="0" w:line="240" w:lineRule="auto"/>
              <w:ind w:left="372"/>
              <w:rPr>
                <w:rFonts w:ascii="Times New Roman" w:eastAsia="Times New Roman" w:hAnsi="Times New Roman" w:cs="Times New Roman"/>
                <w:i/>
                <w:iCs/>
                <w:color w:val="000000"/>
                <w:sz w:val="21"/>
                <w:szCs w:val="21"/>
              </w:rPr>
            </w:pPr>
            <w:r>
              <w:rPr>
                <w:rFonts w:ascii="Times New Roman" w:eastAsia="Times New Roman" w:hAnsi="Times New Roman" w:cs="Times New Roman"/>
                <w:i/>
                <w:iCs/>
                <w:color w:val="000000"/>
                <w:sz w:val="21"/>
                <w:szCs w:val="21"/>
              </w:rPr>
              <w:t>Expansão da Central Térmica de Maputo com base em solução contentorizada para mitigar os riscos no fornecimento (restrições) devido ao défice de geração devido à redução do nível de àgua nas bacias hidroeléctricas da HCB, Chicamba e Mavuzi desde inicio de 2024.</w:t>
            </w:r>
          </w:p>
        </w:tc>
        <w:tc>
          <w:tcPr>
            <w:tcW w:w="2700" w:type="dxa"/>
            <w:vAlign w:val="center"/>
          </w:tcPr>
          <w:p w:rsidR="000635DE" w:rsidRDefault="00A90B96">
            <w:pPr>
              <w:numPr>
                <w:ilvl w:val="0"/>
                <w:numId w:val="24"/>
              </w:numPr>
              <w:pBdr>
                <w:top w:val="nil"/>
                <w:left w:val="nil"/>
                <w:bottom w:val="nil"/>
                <w:right w:val="nil"/>
                <w:between w:val="nil"/>
              </w:pBdr>
              <w:spacing w:after="0" w:line="240" w:lineRule="auto"/>
              <w:ind w:left="385"/>
              <w:jc w:val="both"/>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 xml:space="preserve">Implementação condicionada à alocação do gás natural para geração adicional de 100MW </w:t>
            </w:r>
            <w:r>
              <w:rPr>
                <w:rFonts w:ascii="Times New Roman" w:eastAsia="Times New Roman" w:hAnsi="Times New Roman" w:cs="Times New Roman"/>
                <w:i/>
                <w:iCs/>
                <w:color w:val="000000"/>
                <w:sz w:val="21"/>
                <w:szCs w:val="21"/>
              </w:rPr>
              <w:t>“ cerca de 8-12PJ”.</w:t>
            </w:r>
          </w:p>
        </w:tc>
        <w:tc>
          <w:tcPr>
            <w:tcW w:w="2729" w:type="dxa"/>
            <w:vAlign w:val="center"/>
          </w:tcPr>
          <w:p w:rsidR="000635DE" w:rsidRDefault="000635DE">
            <w:pPr>
              <w:ind w:left="360"/>
              <w:rPr>
                <w:rFonts w:ascii="Times New Roman" w:eastAsia="Times New Roman" w:hAnsi="Times New Roman" w:cs="Times New Roman"/>
                <w:b/>
                <w:bCs/>
                <w:sz w:val="21"/>
                <w:szCs w:val="21"/>
              </w:rPr>
            </w:pPr>
          </w:p>
          <w:p w:rsidR="000635DE" w:rsidRDefault="00A90B96">
            <w:pPr>
              <w:numPr>
                <w:ilvl w:val="0"/>
                <w:numId w:val="25"/>
              </w:numPr>
              <w:pBdr>
                <w:top w:val="nil"/>
                <w:left w:val="nil"/>
                <w:bottom w:val="nil"/>
                <w:right w:val="nil"/>
                <w:between w:val="nil"/>
              </w:pBdr>
              <w:ind w:left="385"/>
              <w:jc w:val="both"/>
              <w:rPr>
                <w:rFonts w:ascii="Times New Roman" w:eastAsia="Times New Roman" w:hAnsi="Times New Roman" w:cs="Times New Roman"/>
                <w:b/>
                <w:bCs/>
                <w:color w:val="000000"/>
                <w:sz w:val="21"/>
                <w:szCs w:val="21"/>
              </w:rPr>
            </w:pPr>
            <w:r>
              <w:rPr>
                <w:rFonts w:ascii="Times New Roman" w:eastAsia="Times New Roman" w:hAnsi="Times New Roman" w:cs="Times New Roman"/>
                <w:color w:val="000000"/>
                <w:sz w:val="21"/>
                <w:szCs w:val="21"/>
              </w:rPr>
              <w:t>Mitiga o défice de geração no Sistema Eléctrico Nacional causado pelo baixo nível hidrográfico.</w:t>
            </w:r>
          </w:p>
        </w:tc>
        <w:tc>
          <w:tcPr>
            <w:tcW w:w="5536" w:type="dxa"/>
            <w:vAlign w:val="center"/>
          </w:tcPr>
          <w:p w:rsidR="000635DE" w:rsidRDefault="000635DE">
            <w:pPr>
              <w:spacing w:after="0" w:line="240" w:lineRule="auto"/>
              <w:rPr>
                <w:rFonts w:ascii="Times New Roman" w:eastAsia="Times New Roman" w:hAnsi="Times New Roman" w:cs="Times New Roman"/>
                <w:b/>
                <w:bCs/>
                <w:sz w:val="21"/>
                <w:szCs w:val="21"/>
              </w:rPr>
            </w:pPr>
          </w:p>
          <w:p w:rsidR="000635DE" w:rsidRDefault="000635DE">
            <w:pPr>
              <w:spacing w:after="0" w:line="240" w:lineRule="auto"/>
              <w:rPr>
                <w:rFonts w:ascii="Times New Roman" w:eastAsia="Times New Roman" w:hAnsi="Times New Roman" w:cs="Times New Roman"/>
                <w:sz w:val="21"/>
                <w:szCs w:val="21"/>
              </w:rPr>
            </w:pPr>
          </w:p>
          <w:p w:rsidR="000635DE" w:rsidRDefault="00A90B96">
            <w:pPr>
              <w:numPr>
                <w:ilvl w:val="0"/>
                <w:numId w:val="40"/>
              </w:numPr>
              <w:spacing w:after="0" w:line="240" w:lineRule="auto"/>
              <w:jc w:val="both"/>
              <w:rPr>
                <w:rFonts w:ascii="Times New Roman" w:eastAsia="Times New Roman" w:hAnsi="Times New Roman" w:cs="Times New Roman"/>
                <w:i/>
                <w:iCs/>
                <w:sz w:val="21"/>
                <w:szCs w:val="21"/>
              </w:rPr>
            </w:pPr>
            <w:r>
              <w:rPr>
                <w:rFonts w:ascii="Times New Roman" w:eastAsia="Times New Roman" w:hAnsi="Times New Roman" w:cs="Times New Roman"/>
                <w:i/>
                <w:iCs/>
                <w:sz w:val="21"/>
                <w:szCs w:val="21"/>
              </w:rPr>
              <w:t xml:space="preserve">Engajado iX Engeneers para Estudos de Desenvolvimento e Implementação de uma central de </w:t>
            </w:r>
            <w:r>
              <w:rPr>
                <w:rFonts w:ascii="Times New Roman" w:eastAsia="Times New Roman" w:hAnsi="Times New Roman" w:cs="Times New Roman"/>
                <w:b/>
                <w:bCs/>
                <w:i/>
                <w:iCs/>
                <w:sz w:val="21"/>
                <w:szCs w:val="21"/>
              </w:rPr>
              <w:t>35MW</w:t>
            </w:r>
            <w:r>
              <w:rPr>
                <w:rFonts w:ascii="Times New Roman" w:eastAsia="Times New Roman" w:hAnsi="Times New Roman" w:cs="Times New Roman"/>
                <w:i/>
                <w:iCs/>
                <w:sz w:val="21"/>
                <w:szCs w:val="21"/>
              </w:rPr>
              <w:t xml:space="preserve"> para uso do gás excedente da CTM;</w:t>
            </w:r>
          </w:p>
          <w:p w:rsidR="000635DE" w:rsidRDefault="00A90B96">
            <w:pPr>
              <w:numPr>
                <w:ilvl w:val="0"/>
                <w:numId w:val="40"/>
              </w:numPr>
              <w:spacing w:after="0" w:line="240" w:lineRule="auto"/>
              <w:jc w:val="both"/>
              <w:rPr>
                <w:rFonts w:ascii="Times New Roman" w:eastAsia="Times New Roman" w:hAnsi="Times New Roman" w:cs="Times New Roman"/>
                <w:i/>
                <w:iCs/>
                <w:sz w:val="21"/>
                <w:szCs w:val="21"/>
              </w:rPr>
            </w:pPr>
            <w:r>
              <w:rPr>
                <w:rFonts w:ascii="Times New Roman" w:eastAsia="Times New Roman" w:hAnsi="Times New Roman" w:cs="Times New Roman"/>
                <w:i/>
                <w:iCs/>
                <w:sz w:val="21"/>
                <w:szCs w:val="21"/>
              </w:rPr>
              <w:t>Emitido Parecer Positivo pelo GAj sobre o JDA;</w:t>
            </w:r>
          </w:p>
          <w:p w:rsidR="000635DE" w:rsidRDefault="007A76D8">
            <w:pPr>
              <w:numPr>
                <w:ilvl w:val="0"/>
                <w:numId w:val="40"/>
              </w:numPr>
              <w:spacing w:after="0" w:line="240" w:lineRule="auto"/>
              <w:jc w:val="both"/>
              <w:rPr>
                <w:rFonts w:ascii="Times New Roman" w:eastAsia="Times New Roman" w:hAnsi="Times New Roman" w:cs="Times New Roman"/>
                <w:i/>
                <w:iCs/>
                <w:sz w:val="21"/>
                <w:szCs w:val="21"/>
              </w:rPr>
            </w:pPr>
            <w:r>
              <w:rPr>
                <w:rFonts w:ascii="Times New Roman" w:eastAsia="Times New Roman" w:hAnsi="Times New Roman" w:cs="Times New Roman"/>
                <w:i/>
                <w:iCs/>
                <w:sz w:val="21"/>
                <w:szCs w:val="21"/>
              </w:rPr>
              <w:t>Recebido o no Objection dos MCAs</w:t>
            </w:r>
          </w:p>
          <w:p w:rsidR="000635DE" w:rsidRDefault="000635DE">
            <w:pPr>
              <w:spacing w:after="0" w:line="240" w:lineRule="auto"/>
              <w:jc w:val="both"/>
              <w:rPr>
                <w:rFonts w:ascii="Times New Roman" w:eastAsia="Times New Roman" w:hAnsi="Times New Roman" w:cs="Times New Roman"/>
                <w:i/>
                <w:iCs/>
                <w:sz w:val="21"/>
                <w:szCs w:val="21"/>
              </w:rPr>
            </w:pPr>
          </w:p>
        </w:tc>
      </w:tr>
      <w:tr w:rsidR="000635DE" w:rsidTr="000C5FCB">
        <w:trPr>
          <w:trHeight w:val="2201"/>
          <w:tblHeader/>
        </w:trPr>
        <w:tc>
          <w:tcPr>
            <w:tcW w:w="4215" w:type="dxa"/>
            <w:vAlign w:val="center"/>
          </w:tcPr>
          <w:p w:rsidR="000635DE" w:rsidRDefault="00A90B96">
            <w:pPr>
              <w:numPr>
                <w:ilvl w:val="0"/>
                <w:numId w:val="21"/>
              </w:numPr>
              <w:spacing w:after="0" w:line="240" w:lineRule="auto"/>
              <w:rPr>
                <w:i/>
                <w:iCs/>
                <w:sz w:val="21"/>
                <w:szCs w:val="21"/>
              </w:rPr>
            </w:pPr>
            <w:r>
              <w:rPr>
                <w:rFonts w:ascii="Times New Roman" w:eastAsia="Times New Roman" w:hAnsi="Times New Roman" w:cs="Times New Roman"/>
                <w:b/>
                <w:bCs/>
                <w:color w:val="00B0F0"/>
                <w:sz w:val="21"/>
                <w:szCs w:val="21"/>
              </w:rPr>
              <w:lastRenderedPageBreak/>
              <w:t xml:space="preserve">ROJECTO IV: </w:t>
            </w:r>
            <w:r>
              <w:rPr>
                <w:rFonts w:ascii="Times New Roman" w:eastAsia="Times New Roman" w:hAnsi="Times New Roman" w:cs="Times New Roman"/>
                <w:b/>
                <w:bCs/>
                <w:sz w:val="21"/>
                <w:szCs w:val="21"/>
              </w:rPr>
              <w:t>Implamentação do Projecto da Central Térmica de Temane(Donativo da Argélia ) 40 MW</w:t>
            </w:r>
          </w:p>
          <w:p w:rsidR="000635DE" w:rsidRDefault="00A90B96">
            <w:pPr>
              <w:spacing w:after="0" w:line="240" w:lineRule="auto"/>
              <w:ind w:left="372"/>
              <w:rPr>
                <w:rFonts w:ascii="Times New Roman" w:eastAsia="Times New Roman" w:hAnsi="Times New Roman" w:cs="Times New Roman"/>
                <w:b/>
                <w:bCs/>
                <w:color w:val="00B0F0"/>
                <w:sz w:val="21"/>
                <w:szCs w:val="21"/>
              </w:rPr>
            </w:pPr>
            <w:r>
              <w:rPr>
                <w:rFonts w:ascii="Times New Roman" w:eastAsia="Times New Roman" w:hAnsi="Times New Roman" w:cs="Times New Roman"/>
                <w:i/>
                <w:iCs/>
                <w:sz w:val="21"/>
                <w:szCs w:val="21"/>
              </w:rPr>
              <w:t>Trata-se do donativo do governo argelino ao governo moçambicano composto por duas turbinas móveis de 20MW cada, a ser instalado em Temane.</w:t>
            </w:r>
          </w:p>
        </w:tc>
        <w:tc>
          <w:tcPr>
            <w:tcW w:w="2700" w:type="dxa"/>
            <w:vAlign w:val="center"/>
          </w:tcPr>
          <w:p w:rsidR="000635DE" w:rsidRDefault="00A90B96">
            <w:pPr>
              <w:numPr>
                <w:ilvl w:val="0"/>
                <w:numId w:val="22"/>
              </w:numPr>
              <w:spacing w:after="0" w:line="240" w:lineRule="auto"/>
              <w:ind w:left="385" w:hanging="284"/>
              <w:jc w:val="both"/>
              <w:rPr>
                <w:rFonts w:ascii="Times New Roman" w:eastAsia="Times New Roman" w:hAnsi="Times New Roman" w:cs="Times New Roman"/>
                <w:sz w:val="21"/>
                <w:szCs w:val="21"/>
              </w:rPr>
            </w:pPr>
            <w:r>
              <w:rPr>
                <w:rFonts w:ascii="Times New Roman" w:eastAsia="Times New Roman" w:hAnsi="Times New Roman" w:cs="Times New Roman"/>
                <w:sz w:val="21"/>
                <w:szCs w:val="21"/>
              </w:rPr>
              <w:t>Condicionamento da Materialização do acordo entre o Governo moçambicano e argelino para a oferta da central dos 40MW</w:t>
            </w:r>
          </w:p>
        </w:tc>
        <w:tc>
          <w:tcPr>
            <w:tcW w:w="2729" w:type="dxa"/>
            <w:vAlign w:val="center"/>
          </w:tcPr>
          <w:p w:rsidR="000635DE" w:rsidRDefault="00A90B96">
            <w:pPr>
              <w:numPr>
                <w:ilvl w:val="0"/>
                <w:numId w:val="23"/>
              </w:numPr>
              <w:ind w:left="385" w:hanging="283"/>
              <w:jc w:val="both"/>
              <w:rPr>
                <w:rFonts w:ascii="Times New Roman" w:eastAsia="Times New Roman" w:hAnsi="Times New Roman" w:cs="Times New Roman"/>
                <w:sz w:val="21"/>
                <w:szCs w:val="21"/>
              </w:rPr>
            </w:pPr>
            <w:r>
              <w:rPr>
                <w:rFonts w:ascii="Times New Roman" w:eastAsia="Times New Roman" w:hAnsi="Times New Roman" w:cs="Times New Roman"/>
                <w:sz w:val="21"/>
                <w:szCs w:val="21"/>
              </w:rPr>
              <w:t>Mitiga o défice de geração no Sistema Eléctrico Nacional causado pelo baixo nível hidrográfico</w:t>
            </w:r>
          </w:p>
          <w:p w:rsidR="000635DE" w:rsidRDefault="000635DE">
            <w:pPr>
              <w:ind w:left="360"/>
              <w:rPr>
                <w:rFonts w:ascii="Times New Roman" w:eastAsia="Times New Roman" w:hAnsi="Times New Roman" w:cs="Times New Roman"/>
                <w:b/>
                <w:bCs/>
                <w:sz w:val="21"/>
                <w:szCs w:val="21"/>
              </w:rPr>
            </w:pPr>
          </w:p>
        </w:tc>
        <w:tc>
          <w:tcPr>
            <w:tcW w:w="5536" w:type="dxa"/>
            <w:vAlign w:val="center"/>
          </w:tcPr>
          <w:p w:rsidR="000635DE" w:rsidRDefault="000635DE">
            <w:pPr>
              <w:spacing w:line="256" w:lineRule="auto"/>
              <w:ind w:left="1440"/>
              <w:jc w:val="both"/>
              <w:rPr>
                <w:rFonts w:ascii="Times New Roman" w:eastAsia="Times New Roman" w:hAnsi="Times New Roman" w:cs="Times New Roman"/>
                <w:b/>
                <w:bCs/>
                <w:sz w:val="20"/>
                <w:szCs w:val="20"/>
              </w:rPr>
            </w:pPr>
          </w:p>
          <w:p w:rsidR="000635DE" w:rsidRDefault="00A90B96">
            <w:pPr>
              <w:numPr>
                <w:ilvl w:val="0"/>
                <w:numId w:val="2"/>
              </w:numPr>
              <w:spacing w:after="0" w:line="256" w:lineRule="auto"/>
              <w:jc w:val="both"/>
              <w:rPr>
                <w:rFonts w:ascii="Times New Roman" w:eastAsia="Times New Roman" w:hAnsi="Times New Roman" w:cs="Times New Roman"/>
              </w:rPr>
            </w:pPr>
            <w:r>
              <w:rPr>
                <w:rFonts w:ascii="Times New Roman" w:eastAsia="Times New Roman" w:hAnsi="Times New Roman" w:cs="Times New Roman"/>
                <w:sz w:val="21"/>
                <w:szCs w:val="21"/>
              </w:rPr>
              <w:t>Assinado o MoU entre EDM e Sonelgaz (Outubro</w:t>
            </w:r>
            <w:r w:rsidR="00987CB6">
              <w:rPr>
                <w:rFonts w:ascii="Times New Roman" w:eastAsia="Times New Roman" w:hAnsi="Times New Roman" w:cs="Times New Roman"/>
                <w:sz w:val="21"/>
                <w:szCs w:val="21"/>
              </w:rPr>
              <w:t xml:space="preserve"> 25</w:t>
            </w:r>
            <w:r>
              <w:rPr>
                <w:rFonts w:ascii="Times New Roman" w:eastAsia="Times New Roman" w:hAnsi="Times New Roman" w:cs="Times New Roman"/>
                <w:sz w:val="21"/>
                <w:szCs w:val="21"/>
              </w:rPr>
              <w:t>).</w:t>
            </w:r>
          </w:p>
          <w:p w:rsidR="000635DE" w:rsidRDefault="00A90B96">
            <w:pPr>
              <w:numPr>
                <w:ilvl w:val="0"/>
                <w:numId w:val="2"/>
              </w:numPr>
              <w:spacing w:after="0" w:line="256" w:lineRule="auto"/>
              <w:jc w:val="both"/>
              <w:rPr>
                <w:rFonts w:ascii="Times New Roman" w:eastAsia="Times New Roman" w:hAnsi="Times New Roman" w:cs="Times New Roman"/>
                <w:sz w:val="21"/>
                <w:szCs w:val="21"/>
              </w:rPr>
            </w:pPr>
            <w:r>
              <w:rPr>
                <w:rFonts w:ascii="Times New Roman" w:eastAsia="Times New Roman" w:hAnsi="Times New Roman" w:cs="Times New Roman"/>
                <w:sz w:val="21"/>
                <w:szCs w:val="21"/>
              </w:rPr>
              <w:t>Constituída Unidade de Implementação do Projecto  (Novembro</w:t>
            </w:r>
            <w:r w:rsidR="00987CB6">
              <w:rPr>
                <w:rFonts w:ascii="Times New Roman" w:eastAsia="Times New Roman" w:hAnsi="Times New Roman" w:cs="Times New Roman"/>
                <w:sz w:val="21"/>
                <w:szCs w:val="21"/>
              </w:rPr>
              <w:t xml:space="preserve"> 25</w:t>
            </w:r>
            <w:r>
              <w:rPr>
                <w:rFonts w:ascii="Times New Roman" w:eastAsia="Times New Roman" w:hAnsi="Times New Roman" w:cs="Times New Roman"/>
                <w:sz w:val="21"/>
                <w:szCs w:val="21"/>
              </w:rPr>
              <w:t>).</w:t>
            </w:r>
          </w:p>
          <w:p w:rsidR="000635DE" w:rsidRDefault="00A90B96">
            <w:pPr>
              <w:numPr>
                <w:ilvl w:val="0"/>
                <w:numId w:val="2"/>
              </w:numPr>
              <w:spacing w:after="0" w:line="256" w:lineRule="auto"/>
              <w:jc w:val="both"/>
              <w:rPr>
                <w:rFonts w:ascii="Times New Roman" w:eastAsia="Times New Roman" w:hAnsi="Times New Roman" w:cs="Times New Roman"/>
                <w:sz w:val="21"/>
                <w:szCs w:val="21"/>
              </w:rPr>
            </w:pPr>
            <w:r>
              <w:rPr>
                <w:rFonts w:ascii="Times New Roman" w:eastAsia="Times New Roman" w:hAnsi="Times New Roman" w:cs="Times New Roman"/>
                <w:sz w:val="21"/>
                <w:szCs w:val="21"/>
              </w:rPr>
              <w:t>Realização de uma Reunião entre CEOs da EDM e Sonelgaz (Dezembro</w:t>
            </w:r>
            <w:r w:rsidR="00987CB6">
              <w:rPr>
                <w:rFonts w:ascii="Times New Roman" w:eastAsia="Times New Roman" w:hAnsi="Times New Roman" w:cs="Times New Roman"/>
                <w:sz w:val="21"/>
                <w:szCs w:val="21"/>
              </w:rPr>
              <w:t xml:space="preserve"> 25</w:t>
            </w:r>
            <w:r>
              <w:rPr>
                <w:rFonts w:ascii="Times New Roman" w:eastAsia="Times New Roman" w:hAnsi="Times New Roman" w:cs="Times New Roman"/>
                <w:sz w:val="21"/>
                <w:szCs w:val="21"/>
              </w:rPr>
              <w:t>).</w:t>
            </w:r>
          </w:p>
          <w:p w:rsidR="000635DE" w:rsidRDefault="00A90B96">
            <w:pPr>
              <w:numPr>
                <w:ilvl w:val="0"/>
                <w:numId w:val="2"/>
              </w:numPr>
              <w:spacing w:after="0" w:line="256" w:lineRule="auto"/>
              <w:jc w:val="both"/>
              <w:rPr>
                <w:rFonts w:ascii="Times New Roman" w:eastAsia="Times New Roman" w:hAnsi="Times New Roman" w:cs="Times New Roman"/>
                <w:sz w:val="21"/>
                <w:szCs w:val="21"/>
              </w:rPr>
            </w:pPr>
            <w:r>
              <w:rPr>
                <w:rFonts w:ascii="Times New Roman" w:eastAsia="Times New Roman" w:hAnsi="Times New Roman" w:cs="Times New Roman"/>
                <w:sz w:val="20"/>
                <w:szCs w:val="20"/>
              </w:rPr>
              <w:t xml:space="preserve">GdM submeteu </w:t>
            </w:r>
            <w:r>
              <w:rPr>
                <w:rFonts w:ascii="Times New Roman" w:eastAsia="Times New Roman" w:hAnsi="Times New Roman" w:cs="Times New Roman"/>
                <w:sz w:val="21"/>
                <w:szCs w:val="21"/>
              </w:rPr>
              <w:t>o Acordo Intergovernamental ao Governo argelino (Dezembro</w:t>
            </w:r>
            <w:r w:rsidR="00987CB6">
              <w:rPr>
                <w:rFonts w:ascii="Times New Roman" w:eastAsia="Times New Roman" w:hAnsi="Times New Roman" w:cs="Times New Roman"/>
                <w:sz w:val="21"/>
                <w:szCs w:val="21"/>
              </w:rPr>
              <w:t xml:space="preserve"> 25</w:t>
            </w:r>
            <w:r>
              <w:rPr>
                <w:rFonts w:ascii="Times New Roman" w:eastAsia="Times New Roman" w:hAnsi="Times New Roman" w:cs="Times New Roman"/>
                <w:sz w:val="21"/>
                <w:szCs w:val="21"/>
              </w:rPr>
              <w:t>).</w:t>
            </w:r>
          </w:p>
          <w:p w:rsidR="000635DE" w:rsidRDefault="00A90B96">
            <w:pPr>
              <w:numPr>
                <w:ilvl w:val="0"/>
                <w:numId w:val="2"/>
              </w:numPr>
              <w:spacing w:after="0" w:line="256" w:lineRule="auto"/>
              <w:jc w:val="both"/>
              <w:rPr>
                <w:rFonts w:ascii="Times New Roman" w:eastAsia="Times New Roman" w:hAnsi="Times New Roman" w:cs="Times New Roman"/>
                <w:sz w:val="21"/>
                <w:szCs w:val="21"/>
              </w:rPr>
            </w:pPr>
            <w:r>
              <w:rPr>
                <w:rFonts w:ascii="Times New Roman" w:eastAsia="Times New Roman" w:hAnsi="Times New Roman" w:cs="Times New Roman"/>
                <w:sz w:val="21"/>
                <w:szCs w:val="21"/>
              </w:rPr>
              <w:t>Missão Técnica Sonelgaz e EDM  realizam site visit a Temane (Fevereiro</w:t>
            </w:r>
            <w:r w:rsidR="00987CB6">
              <w:rPr>
                <w:rFonts w:ascii="Times New Roman" w:eastAsia="Times New Roman" w:hAnsi="Times New Roman" w:cs="Times New Roman"/>
                <w:sz w:val="21"/>
                <w:szCs w:val="21"/>
              </w:rPr>
              <w:t xml:space="preserve"> 26</w:t>
            </w:r>
            <w:r>
              <w:rPr>
                <w:rFonts w:ascii="Times New Roman" w:eastAsia="Times New Roman" w:hAnsi="Times New Roman" w:cs="Times New Roman"/>
                <w:sz w:val="21"/>
                <w:szCs w:val="21"/>
              </w:rPr>
              <w:t>).</w:t>
            </w:r>
          </w:p>
          <w:p w:rsidR="000635DE" w:rsidRDefault="00A90B96">
            <w:pPr>
              <w:numPr>
                <w:ilvl w:val="0"/>
                <w:numId w:val="2"/>
              </w:numPr>
              <w:spacing w:after="0" w:line="256" w:lineRule="auto"/>
              <w:jc w:val="both"/>
              <w:rPr>
                <w:rFonts w:ascii="Times New Roman" w:eastAsia="Times New Roman" w:hAnsi="Times New Roman" w:cs="Times New Roman"/>
                <w:sz w:val="21"/>
                <w:szCs w:val="21"/>
              </w:rPr>
            </w:pPr>
            <w:r>
              <w:rPr>
                <w:rFonts w:ascii="Times New Roman" w:eastAsia="Times New Roman" w:hAnsi="Times New Roman" w:cs="Times New Roman"/>
                <w:sz w:val="21"/>
                <w:szCs w:val="21"/>
              </w:rPr>
              <w:t>Realizados estudos preliminares e delimitação das matrizes de responsabilidades operacionais entre a EDM e a Sonelgaz.</w:t>
            </w:r>
          </w:p>
          <w:p w:rsidR="000635DE" w:rsidRDefault="00A90B96">
            <w:pPr>
              <w:numPr>
                <w:ilvl w:val="0"/>
                <w:numId w:val="2"/>
              </w:numPr>
              <w:spacing w:after="0" w:line="256" w:lineRule="auto"/>
              <w:jc w:val="both"/>
              <w:rPr>
                <w:rFonts w:ascii="Times New Roman" w:eastAsia="Times New Roman" w:hAnsi="Times New Roman" w:cs="Times New Roman"/>
                <w:sz w:val="21"/>
                <w:szCs w:val="21"/>
              </w:rPr>
            </w:pPr>
            <w:r>
              <w:rPr>
                <w:rFonts w:ascii="Times New Roman" w:eastAsia="Times New Roman" w:hAnsi="Times New Roman" w:cs="Times New Roman"/>
                <w:sz w:val="24"/>
                <w:szCs w:val="24"/>
              </w:rPr>
              <w:t>Deslocação da Missão da EDM à Argélia (Maio</w:t>
            </w:r>
            <w:r w:rsidR="00987CB6">
              <w:rPr>
                <w:rFonts w:ascii="Times New Roman" w:eastAsia="Times New Roman" w:hAnsi="Times New Roman" w:cs="Times New Roman"/>
                <w:sz w:val="24"/>
                <w:szCs w:val="24"/>
              </w:rPr>
              <w:t xml:space="preserve"> 26</w:t>
            </w:r>
            <w:r>
              <w:rPr>
                <w:rFonts w:ascii="Times New Roman" w:eastAsia="Times New Roman" w:hAnsi="Times New Roman" w:cs="Times New Roman"/>
                <w:sz w:val="24"/>
                <w:szCs w:val="24"/>
              </w:rPr>
              <w:t>) para solicitação da documentação técnica e de engenharia da Central.</w:t>
            </w:r>
            <w:r>
              <w:rPr>
                <w:rFonts w:ascii="Times New Roman" w:eastAsia="Times New Roman" w:hAnsi="Times New Roman" w:cs="Times New Roman"/>
                <w:sz w:val="21"/>
                <w:szCs w:val="21"/>
              </w:rPr>
              <w:t xml:space="preserve"> </w:t>
            </w:r>
          </w:p>
          <w:p w:rsidR="000635DE" w:rsidRDefault="00A90B96">
            <w:pPr>
              <w:numPr>
                <w:ilvl w:val="0"/>
                <w:numId w:val="2"/>
              </w:numPr>
              <w:spacing w:after="0" w:line="256" w:lineRule="auto"/>
              <w:jc w:val="both"/>
              <w:rPr>
                <w:rFonts w:ascii="Times New Roman" w:eastAsia="Times New Roman" w:hAnsi="Times New Roman" w:cs="Times New Roman"/>
                <w:sz w:val="21"/>
                <w:szCs w:val="21"/>
              </w:rPr>
            </w:pPr>
            <w:r>
              <w:rPr>
                <w:rFonts w:ascii="Times New Roman" w:eastAsia="Times New Roman" w:hAnsi="Times New Roman" w:cs="Times New Roman"/>
                <w:sz w:val="21"/>
                <w:szCs w:val="21"/>
              </w:rPr>
              <w:t>Realização de uma reunião de alinhamento institucional e Validação do Acordo Intergovernamental entre Sua Excelência, o Ministro de Energia de Moçambique e da Argélia (Julho</w:t>
            </w:r>
            <w:r w:rsidR="00987CB6">
              <w:rPr>
                <w:rFonts w:ascii="Times New Roman" w:eastAsia="Times New Roman" w:hAnsi="Times New Roman" w:cs="Times New Roman"/>
                <w:sz w:val="21"/>
                <w:szCs w:val="21"/>
              </w:rPr>
              <w:t xml:space="preserve"> 27</w:t>
            </w:r>
            <w:r>
              <w:rPr>
                <w:rFonts w:ascii="Times New Roman" w:eastAsia="Times New Roman" w:hAnsi="Times New Roman" w:cs="Times New Roman"/>
                <w:sz w:val="21"/>
                <w:szCs w:val="21"/>
              </w:rPr>
              <w:t>).</w:t>
            </w:r>
          </w:p>
          <w:p w:rsidR="000635DE" w:rsidRDefault="00A90B96">
            <w:pPr>
              <w:numPr>
                <w:ilvl w:val="0"/>
                <w:numId w:val="2"/>
              </w:numPr>
              <w:spacing w:after="0" w:line="256" w:lineRule="auto"/>
              <w:jc w:val="both"/>
              <w:rPr>
                <w:rFonts w:ascii="Times New Roman" w:eastAsia="Times New Roman" w:hAnsi="Times New Roman" w:cs="Times New Roman"/>
                <w:sz w:val="21"/>
                <w:szCs w:val="21"/>
              </w:rPr>
            </w:pPr>
            <w:r>
              <w:rPr>
                <w:rFonts w:ascii="Times New Roman" w:eastAsia="Times New Roman" w:hAnsi="Times New Roman" w:cs="Times New Roman"/>
                <w:sz w:val="21"/>
                <w:szCs w:val="21"/>
              </w:rPr>
              <w:t>Drº Saide indicado formalmente com ponto focal do MIREME para assegurar a coordenação contínua das actividades de implementação.</w:t>
            </w:r>
          </w:p>
          <w:p w:rsidR="000635DE" w:rsidRDefault="00A90B96">
            <w:pPr>
              <w:numPr>
                <w:ilvl w:val="0"/>
                <w:numId w:val="2"/>
              </w:numPr>
              <w:spacing w:after="0" w:line="256" w:lineRule="auto"/>
              <w:jc w:val="both"/>
              <w:rPr>
                <w:rFonts w:ascii="Times New Roman" w:eastAsia="Times New Roman" w:hAnsi="Times New Roman" w:cs="Times New Roman"/>
                <w:sz w:val="21"/>
                <w:szCs w:val="21"/>
              </w:rPr>
            </w:pPr>
            <w:r>
              <w:rPr>
                <w:rFonts w:ascii="Times New Roman" w:eastAsia="Times New Roman" w:hAnsi="Times New Roman" w:cs="Times New Roman"/>
                <w:sz w:val="21"/>
                <w:szCs w:val="21"/>
              </w:rPr>
              <w:t>Emitido o parecer favorável pelo MINEC para assinatura do acordo</w:t>
            </w:r>
          </w:p>
          <w:p w:rsidR="000635DE" w:rsidRDefault="00A90B96">
            <w:pPr>
              <w:spacing w:line="256" w:lineRule="auto"/>
              <w:jc w:val="both"/>
              <w:rPr>
                <w:rFonts w:ascii="Times New Roman" w:eastAsia="Times New Roman" w:hAnsi="Times New Roman" w:cs="Times New Roman"/>
                <w:color w:val="FF0000"/>
                <w:sz w:val="21"/>
                <w:szCs w:val="21"/>
              </w:rPr>
            </w:pPr>
            <w:r>
              <w:rPr>
                <w:rFonts w:ascii="Times New Roman" w:eastAsia="Times New Roman" w:hAnsi="Times New Roman" w:cs="Times New Roman"/>
                <w:color w:val="FF0000"/>
                <w:sz w:val="21"/>
                <w:szCs w:val="21"/>
              </w:rPr>
              <w:t>Riscos:</w:t>
            </w:r>
          </w:p>
          <w:p w:rsidR="000635DE" w:rsidRPr="00344B34" w:rsidRDefault="00A90B96">
            <w:pPr>
              <w:numPr>
                <w:ilvl w:val="0"/>
                <w:numId w:val="41"/>
              </w:numPr>
              <w:spacing w:line="256" w:lineRule="auto"/>
              <w:jc w:val="both"/>
              <w:rPr>
                <w:rFonts w:ascii="Times New Roman" w:eastAsia="Times New Roman" w:hAnsi="Times New Roman" w:cs="Times New Roman"/>
                <w:color w:val="000000" w:themeColor="text1"/>
                <w:sz w:val="21"/>
                <w:szCs w:val="21"/>
              </w:rPr>
            </w:pPr>
            <w:r w:rsidRPr="00344B34">
              <w:rPr>
                <w:rFonts w:ascii="Times New Roman" w:eastAsia="Times New Roman" w:hAnsi="Times New Roman" w:cs="Times New Roman"/>
                <w:color w:val="000000" w:themeColor="text1"/>
                <w:sz w:val="21"/>
                <w:szCs w:val="21"/>
              </w:rPr>
              <w:t>Aguarda-se pelo parecer do MF para concluir o pacote das validações para assinatura do acordo</w:t>
            </w:r>
            <w:r w:rsidR="00987CB6" w:rsidRPr="00344B34">
              <w:rPr>
                <w:rFonts w:ascii="Times New Roman" w:eastAsia="Times New Roman" w:hAnsi="Times New Roman" w:cs="Times New Roman"/>
                <w:color w:val="000000" w:themeColor="text1"/>
                <w:sz w:val="21"/>
                <w:szCs w:val="21"/>
              </w:rPr>
              <w:t xml:space="preserve"> intergovernamental</w:t>
            </w:r>
            <w:r w:rsidRPr="00344B34">
              <w:rPr>
                <w:rFonts w:ascii="Times New Roman" w:eastAsia="Times New Roman" w:hAnsi="Times New Roman" w:cs="Times New Roman"/>
                <w:color w:val="000000" w:themeColor="text1"/>
                <w:sz w:val="21"/>
                <w:szCs w:val="21"/>
              </w:rPr>
              <w:t>.</w:t>
            </w:r>
          </w:p>
          <w:p w:rsidR="000635DE" w:rsidRDefault="000635DE">
            <w:pPr>
              <w:spacing w:after="0" w:line="240" w:lineRule="auto"/>
              <w:rPr>
                <w:rFonts w:ascii="Times New Roman" w:eastAsia="Times New Roman" w:hAnsi="Times New Roman" w:cs="Times New Roman"/>
                <w:b/>
                <w:bCs/>
                <w:sz w:val="21"/>
                <w:szCs w:val="21"/>
              </w:rPr>
            </w:pPr>
          </w:p>
        </w:tc>
      </w:tr>
    </w:tbl>
    <w:p w:rsidR="000635DE" w:rsidRDefault="000635DE">
      <w:pPr>
        <w:rPr>
          <w:b/>
          <w:bCs/>
          <w:color w:val="FF0000"/>
        </w:rPr>
      </w:pPr>
    </w:p>
    <w:p w:rsidR="000635DE" w:rsidRDefault="000635DE">
      <w:pPr>
        <w:rPr>
          <w:b/>
          <w:bCs/>
          <w:color w:val="4472C4"/>
          <w:u w:val="single"/>
        </w:rPr>
      </w:pPr>
      <w:bookmarkStart w:id="1" w:name="_GoBack"/>
      <w:bookmarkEnd w:id="1"/>
    </w:p>
    <w:p w:rsidR="000635DE" w:rsidRDefault="00A90B96">
      <w:pPr>
        <w:rPr>
          <w:rFonts w:ascii="Times New Roman" w:eastAsia="Times New Roman" w:hAnsi="Times New Roman" w:cs="Times New Roman"/>
          <w:b/>
          <w:bCs/>
          <w:color w:val="4472C4"/>
        </w:rPr>
      </w:pPr>
      <w:r>
        <w:rPr>
          <w:b/>
          <w:bCs/>
          <w:color w:val="4472C4"/>
          <w:u w:val="single"/>
        </w:rPr>
        <w:t xml:space="preserve">PROJECTOS DE SEGURANÇA DE FORNECIMENTO PARA </w:t>
      </w:r>
      <w:r>
        <w:rPr>
          <w:b/>
          <w:bCs/>
          <w:color w:val="4472C4"/>
        </w:rPr>
        <w:t>VIABILIZAÇÃO DO PROGRAMA DE INDUSTRIALIZAÇÃO E ACESSO UNIVERSAL</w:t>
      </w:r>
    </w:p>
    <w:tbl>
      <w:tblPr>
        <w:tblStyle w:val="a0"/>
        <w:tblW w:w="15165" w:type="dxa"/>
        <w:tblInd w:w="-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15"/>
        <w:gridCol w:w="2729"/>
        <w:gridCol w:w="2790"/>
        <w:gridCol w:w="5431"/>
      </w:tblGrid>
      <w:tr w:rsidR="000635DE" w:rsidTr="00344B34">
        <w:trPr>
          <w:tblHeader/>
        </w:trPr>
        <w:tc>
          <w:tcPr>
            <w:tcW w:w="4215" w:type="dxa"/>
            <w:shd w:val="clear" w:color="auto" w:fill="DEEAF6"/>
            <w:vAlign w:val="center"/>
          </w:tcPr>
          <w:p w:rsidR="000635DE" w:rsidRDefault="00A90B96">
            <w:pPr>
              <w:spacing w:after="0" w:line="240" w:lineRule="auto"/>
              <w:rPr>
                <w:rFonts w:ascii="Times New Roman" w:eastAsia="Times New Roman" w:hAnsi="Times New Roman" w:cs="Times New Roman"/>
                <w:b/>
                <w:bCs/>
                <w:sz w:val="21"/>
                <w:szCs w:val="21"/>
              </w:rPr>
            </w:pPr>
            <w:r>
              <w:rPr>
                <w:rFonts w:ascii="Times New Roman" w:eastAsia="Times New Roman" w:hAnsi="Times New Roman" w:cs="Times New Roman"/>
                <w:b/>
                <w:bCs/>
                <w:sz w:val="21"/>
                <w:szCs w:val="21"/>
              </w:rPr>
              <w:lastRenderedPageBreak/>
              <w:t>DESCRIÇÃO DO PROJECTO</w:t>
            </w:r>
          </w:p>
        </w:tc>
        <w:tc>
          <w:tcPr>
            <w:tcW w:w="2729" w:type="dxa"/>
            <w:shd w:val="clear" w:color="auto" w:fill="DEEAF6"/>
            <w:vAlign w:val="center"/>
          </w:tcPr>
          <w:p w:rsidR="000635DE" w:rsidRDefault="00A90B96">
            <w:pPr>
              <w:spacing w:after="0" w:line="240" w:lineRule="auto"/>
              <w:jc w:val="center"/>
              <w:rPr>
                <w:rFonts w:ascii="Times New Roman" w:eastAsia="Times New Roman" w:hAnsi="Times New Roman" w:cs="Times New Roman"/>
                <w:b/>
                <w:bCs/>
                <w:sz w:val="21"/>
                <w:szCs w:val="21"/>
              </w:rPr>
            </w:pPr>
            <w:r>
              <w:rPr>
                <w:rFonts w:ascii="Times New Roman" w:eastAsia="Times New Roman" w:hAnsi="Times New Roman" w:cs="Times New Roman"/>
                <w:b/>
                <w:bCs/>
                <w:sz w:val="21"/>
                <w:szCs w:val="21"/>
              </w:rPr>
              <w:t xml:space="preserve">CONSTRANGIMENTOS </w:t>
            </w:r>
            <w:r>
              <w:rPr>
                <w:rFonts w:ascii="Times New Roman" w:eastAsia="Times New Roman" w:hAnsi="Times New Roman" w:cs="Times New Roman"/>
                <w:sz w:val="21"/>
                <w:szCs w:val="21"/>
              </w:rPr>
              <w:t>(</w:t>
            </w:r>
            <w:r>
              <w:rPr>
                <w:rFonts w:ascii="Times New Roman" w:eastAsia="Times New Roman" w:hAnsi="Times New Roman" w:cs="Times New Roman"/>
                <w:i/>
                <w:iCs/>
                <w:sz w:val="21"/>
                <w:szCs w:val="21"/>
              </w:rPr>
              <w:t>Riscos para Sustentabilidade Financeira</w:t>
            </w:r>
            <w:r>
              <w:rPr>
                <w:rFonts w:ascii="Times New Roman" w:eastAsia="Times New Roman" w:hAnsi="Times New Roman" w:cs="Times New Roman"/>
                <w:sz w:val="21"/>
                <w:szCs w:val="21"/>
              </w:rPr>
              <w:t>)</w:t>
            </w:r>
          </w:p>
        </w:tc>
        <w:tc>
          <w:tcPr>
            <w:tcW w:w="8221" w:type="dxa"/>
            <w:gridSpan w:val="2"/>
            <w:shd w:val="clear" w:color="auto" w:fill="DEEAF6"/>
            <w:vAlign w:val="center"/>
          </w:tcPr>
          <w:p w:rsidR="000635DE" w:rsidRDefault="00A90B96">
            <w:pPr>
              <w:spacing w:after="0" w:line="240" w:lineRule="auto"/>
              <w:rPr>
                <w:rFonts w:ascii="Times New Roman" w:eastAsia="Times New Roman" w:hAnsi="Times New Roman" w:cs="Times New Roman"/>
                <w:b/>
                <w:bCs/>
                <w:sz w:val="21"/>
                <w:szCs w:val="21"/>
              </w:rPr>
            </w:pPr>
            <w:r>
              <w:rPr>
                <w:rFonts w:ascii="Times New Roman" w:eastAsia="Times New Roman" w:hAnsi="Times New Roman" w:cs="Times New Roman"/>
                <w:b/>
                <w:bCs/>
                <w:sz w:val="21"/>
                <w:szCs w:val="21"/>
              </w:rPr>
              <w:t xml:space="preserve">BENEFICIOS </w:t>
            </w:r>
          </w:p>
        </w:tc>
      </w:tr>
      <w:tr w:rsidR="000635DE" w:rsidTr="00344B34">
        <w:trPr>
          <w:trHeight w:val="2426"/>
          <w:tblHeader/>
        </w:trPr>
        <w:tc>
          <w:tcPr>
            <w:tcW w:w="4215" w:type="dxa"/>
            <w:vAlign w:val="center"/>
          </w:tcPr>
          <w:p w:rsidR="000635DE" w:rsidRDefault="00A90B96">
            <w:pPr>
              <w:numPr>
                <w:ilvl w:val="0"/>
                <w:numId w:val="27"/>
              </w:numPr>
              <w:pBdr>
                <w:top w:val="nil"/>
                <w:left w:val="nil"/>
                <w:bottom w:val="nil"/>
                <w:right w:val="nil"/>
                <w:between w:val="nil"/>
              </w:pBdr>
              <w:spacing w:after="0" w:line="240" w:lineRule="auto"/>
              <w:rPr>
                <w:b/>
                <w:bCs/>
                <w:color w:val="000000"/>
                <w:sz w:val="21"/>
                <w:szCs w:val="21"/>
              </w:rPr>
            </w:pPr>
            <w:r>
              <w:rPr>
                <w:rFonts w:ascii="Times New Roman" w:eastAsia="Times New Roman" w:hAnsi="Times New Roman" w:cs="Times New Roman"/>
                <w:b/>
                <w:bCs/>
                <w:color w:val="0070C0"/>
                <w:sz w:val="21"/>
                <w:szCs w:val="21"/>
              </w:rPr>
              <w:t xml:space="preserve">PROJECTO I: </w:t>
            </w:r>
            <w:r>
              <w:rPr>
                <w:rFonts w:ascii="Times New Roman" w:eastAsia="Times New Roman" w:hAnsi="Times New Roman" w:cs="Times New Roman"/>
                <w:b/>
                <w:bCs/>
                <w:color w:val="000000"/>
                <w:sz w:val="21"/>
                <w:szCs w:val="21"/>
              </w:rPr>
              <w:t>Substituição da Central Flutuante de Nacala 120MW (</w:t>
            </w:r>
            <w:r>
              <w:rPr>
                <w:rFonts w:ascii="Times New Roman" w:eastAsia="Times New Roman" w:hAnsi="Times New Roman" w:cs="Times New Roman"/>
                <w:b/>
                <w:bCs/>
                <w:i/>
                <w:iCs/>
                <w:color w:val="000000"/>
                <w:sz w:val="21"/>
                <w:szCs w:val="21"/>
              </w:rPr>
              <w:t>Karpowership</w:t>
            </w:r>
            <w:r>
              <w:rPr>
                <w:rFonts w:ascii="Times New Roman" w:eastAsia="Times New Roman" w:hAnsi="Times New Roman" w:cs="Times New Roman"/>
                <w:b/>
                <w:bCs/>
                <w:color w:val="000000"/>
                <w:sz w:val="21"/>
                <w:szCs w:val="21"/>
              </w:rPr>
              <w:t xml:space="preserve">) por uma Central </w:t>
            </w:r>
            <w:r>
              <w:rPr>
                <w:rFonts w:ascii="Times New Roman" w:eastAsia="Times New Roman" w:hAnsi="Times New Roman" w:cs="Times New Roman"/>
                <w:b/>
                <w:bCs/>
                <w:sz w:val="21"/>
                <w:szCs w:val="21"/>
              </w:rPr>
              <w:t xml:space="preserve">Flutuante </w:t>
            </w:r>
            <w:r>
              <w:rPr>
                <w:rFonts w:ascii="Times New Roman" w:eastAsia="Times New Roman" w:hAnsi="Times New Roman" w:cs="Times New Roman"/>
                <w:b/>
                <w:bCs/>
                <w:color w:val="000000"/>
                <w:sz w:val="21"/>
                <w:szCs w:val="21"/>
              </w:rPr>
              <w:t>de 3</w:t>
            </w:r>
            <w:r>
              <w:rPr>
                <w:rFonts w:ascii="Times New Roman" w:eastAsia="Times New Roman" w:hAnsi="Times New Roman" w:cs="Times New Roman"/>
                <w:b/>
                <w:bCs/>
                <w:sz w:val="21"/>
                <w:szCs w:val="21"/>
              </w:rPr>
              <w:t>5</w:t>
            </w:r>
            <w:r>
              <w:rPr>
                <w:rFonts w:ascii="Times New Roman" w:eastAsia="Times New Roman" w:hAnsi="Times New Roman" w:cs="Times New Roman"/>
                <w:b/>
                <w:bCs/>
                <w:color w:val="000000"/>
                <w:sz w:val="21"/>
                <w:szCs w:val="21"/>
              </w:rPr>
              <w:t xml:space="preserve"> M</w:t>
            </w:r>
            <w:r>
              <w:rPr>
                <w:rFonts w:ascii="Times New Roman" w:eastAsia="Times New Roman" w:hAnsi="Times New Roman" w:cs="Times New Roman"/>
                <w:b/>
                <w:bCs/>
                <w:sz w:val="21"/>
                <w:szCs w:val="21"/>
              </w:rPr>
              <w:t>W</w:t>
            </w:r>
          </w:p>
          <w:p w:rsidR="000635DE" w:rsidRDefault="00A90B96">
            <w:pPr>
              <w:pBdr>
                <w:top w:val="nil"/>
                <w:left w:val="nil"/>
                <w:bottom w:val="nil"/>
                <w:right w:val="nil"/>
                <w:between w:val="nil"/>
              </w:pBdr>
              <w:spacing w:after="0" w:line="240" w:lineRule="auto"/>
              <w:ind w:left="372"/>
              <w:jc w:val="both"/>
              <w:rPr>
                <w:rFonts w:ascii="Times New Roman" w:eastAsia="Times New Roman" w:hAnsi="Times New Roman" w:cs="Times New Roman"/>
                <w:b/>
                <w:bCs/>
                <w:color w:val="000000"/>
                <w:sz w:val="21"/>
                <w:szCs w:val="21"/>
              </w:rPr>
            </w:pPr>
            <w:r>
              <w:rPr>
                <w:rFonts w:ascii="Times New Roman" w:eastAsia="Times New Roman" w:hAnsi="Times New Roman" w:cs="Times New Roman"/>
                <w:i/>
                <w:iCs/>
                <w:color w:val="000000"/>
                <w:sz w:val="21"/>
                <w:szCs w:val="21"/>
              </w:rPr>
              <w:t xml:space="preserve">Substituição de uma central elétrica flutuante de 120 MW, alimentada por óleo combustível pesado (HFO) e em operação a 7 anos, por uma central flutuante </w:t>
            </w:r>
            <w:r>
              <w:rPr>
                <w:rFonts w:ascii="Times New Roman" w:eastAsia="Times New Roman" w:hAnsi="Times New Roman" w:cs="Times New Roman"/>
                <w:i/>
                <w:iCs/>
                <w:sz w:val="21"/>
                <w:szCs w:val="21"/>
              </w:rPr>
              <w:t>de 35 MW</w:t>
            </w:r>
            <w:r>
              <w:rPr>
                <w:rFonts w:ascii="Times New Roman" w:eastAsia="Times New Roman" w:hAnsi="Times New Roman" w:cs="Times New Roman"/>
                <w:i/>
                <w:iCs/>
                <w:color w:val="000000"/>
                <w:sz w:val="21"/>
                <w:szCs w:val="21"/>
              </w:rPr>
              <w:t>.</w:t>
            </w:r>
          </w:p>
        </w:tc>
        <w:tc>
          <w:tcPr>
            <w:tcW w:w="2729" w:type="dxa"/>
            <w:vAlign w:val="center"/>
          </w:tcPr>
          <w:p w:rsidR="000635DE" w:rsidRDefault="00A90B96">
            <w:pPr>
              <w:numPr>
                <w:ilvl w:val="0"/>
                <w:numId w:val="26"/>
              </w:numPr>
              <w:pBdr>
                <w:top w:val="nil"/>
                <w:left w:val="nil"/>
                <w:bottom w:val="nil"/>
                <w:right w:val="nil"/>
                <w:between w:val="nil"/>
              </w:pBdr>
              <w:spacing w:after="0" w:line="240" w:lineRule="auto"/>
              <w:ind w:left="273" w:hanging="284"/>
              <w:jc w:val="both"/>
              <w:rPr>
                <w:rFonts w:ascii="Times New Roman" w:eastAsia="Times New Roman" w:hAnsi="Times New Roman" w:cs="Times New Roman"/>
                <w:color w:val="000000"/>
                <w:sz w:val="21"/>
                <w:szCs w:val="21"/>
              </w:rPr>
            </w:pPr>
            <w:r>
              <w:rPr>
                <w:rFonts w:ascii="Times New Roman" w:eastAsia="Times New Roman" w:hAnsi="Times New Roman" w:cs="Times New Roman"/>
                <w:sz w:val="21"/>
                <w:szCs w:val="21"/>
              </w:rPr>
              <w:t>C</w:t>
            </w:r>
            <w:r>
              <w:rPr>
                <w:rFonts w:ascii="Times New Roman" w:eastAsia="Times New Roman" w:hAnsi="Times New Roman" w:cs="Times New Roman"/>
                <w:color w:val="000000"/>
                <w:sz w:val="21"/>
                <w:szCs w:val="21"/>
              </w:rPr>
              <w:t xml:space="preserve">usto operacional </w:t>
            </w:r>
            <w:r>
              <w:rPr>
                <w:rFonts w:ascii="Times New Roman" w:eastAsia="Times New Roman" w:hAnsi="Times New Roman" w:cs="Times New Roman"/>
                <w:sz w:val="21"/>
                <w:szCs w:val="21"/>
              </w:rPr>
              <w:t xml:space="preserve">acima de 31 </w:t>
            </w:r>
            <w:r>
              <w:rPr>
                <w:rFonts w:ascii="Times New Roman" w:eastAsia="Times New Roman" w:hAnsi="Times New Roman" w:cs="Times New Roman"/>
                <w:color w:val="000000"/>
                <w:sz w:val="21"/>
                <w:szCs w:val="21"/>
              </w:rPr>
              <w:t xml:space="preserve">milhões/ano, </w:t>
            </w:r>
            <w:r>
              <w:rPr>
                <w:rFonts w:ascii="Times New Roman" w:eastAsia="Times New Roman" w:hAnsi="Times New Roman" w:cs="Times New Roman"/>
                <w:sz w:val="21"/>
                <w:szCs w:val="21"/>
              </w:rPr>
              <w:t>excluindo</w:t>
            </w:r>
            <w:r>
              <w:rPr>
                <w:rFonts w:ascii="Times New Roman" w:eastAsia="Times New Roman" w:hAnsi="Times New Roman" w:cs="Times New Roman"/>
                <w:color w:val="000000"/>
                <w:sz w:val="21"/>
                <w:szCs w:val="21"/>
              </w:rPr>
              <w:t xml:space="preserve"> o combustível HFO.</w:t>
            </w:r>
          </w:p>
          <w:p w:rsidR="000635DE" w:rsidRDefault="00A90B96">
            <w:pPr>
              <w:numPr>
                <w:ilvl w:val="0"/>
                <w:numId w:val="26"/>
              </w:numPr>
              <w:pBdr>
                <w:top w:val="nil"/>
                <w:left w:val="nil"/>
                <w:bottom w:val="nil"/>
                <w:right w:val="nil"/>
                <w:between w:val="nil"/>
              </w:pBdr>
              <w:spacing w:after="0" w:line="240" w:lineRule="auto"/>
              <w:ind w:left="273" w:hanging="284"/>
              <w:jc w:val="both"/>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A disponibilização do gás natural doméstico da Bacia do Rovuma dificulta a substituição do HFO por gás natural.    O gás importado</w:t>
            </w:r>
            <w:r>
              <w:rPr>
                <w:rFonts w:ascii="Times New Roman" w:eastAsia="Times New Roman" w:hAnsi="Times New Roman" w:cs="Times New Roman"/>
                <w:sz w:val="21"/>
                <w:szCs w:val="21"/>
              </w:rPr>
              <w:t xml:space="preserve"> </w:t>
            </w:r>
            <w:r>
              <w:rPr>
                <w:rFonts w:ascii="Times New Roman" w:eastAsia="Times New Roman" w:hAnsi="Times New Roman" w:cs="Times New Roman"/>
                <w:color w:val="000000"/>
                <w:sz w:val="21"/>
                <w:szCs w:val="21"/>
              </w:rPr>
              <w:t>inviável pelo seu alto preço no mercado internacional.</w:t>
            </w:r>
          </w:p>
          <w:p w:rsidR="000635DE" w:rsidRDefault="000635DE">
            <w:pPr>
              <w:pBdr>
                <w:top w:val="nil"/>
                <w:left w:val="nil"/>
                <w:bottom w:val="nil"/>
                <w:right w:val="nil"/>
                <w:between w:val="nil"/>
              </w:pBdr>
              <w:spacing w:after="0" w:line="240" w:lineRule="auto"/>
              <w:ind w:left="720"/>
              <w:rPr>
                <w:rFonts w:ascii="Times New Roman" w:eastAsia="Times New Roman" w:hAnsi="Times New Roman" w:cs="Times New Roman"/>
                <w:b/>
                <w:bCs/>
                <w:color w:val="000000"/>
                <w:sz w:val="21"/>
                <w:szCs w:val="21"/>
              </w:rPr>
            </w:pPr>
          </w:p>
        </w:tc>
        <w:tc>
          <w:tcPr>
            <w:tcW w:w="2790" w:type="dxa"/>
            <w:vAlign w:val="center"/>
          </w:tcPr>
          <w:p w:rsidR="000635DE" w:rsidRDefault="00A90B96">
            <w:pPr>
              <w:numPr>
                <w:ilvl w:val="0"/>
                <w:numId w:val="20"/>
              </w:numPr>
              <w:spacing w:after="0" w:line="240" w:lineRule="auto"/>
              <w:ind w:left="250" w:hanging="246"/>
              <w:jc w:val="both"/>
              <w:rPr>
                <w:rFonts w:ascii="Times New Roman" w:eastAsia="Times New Roman" w:hAnsi="Times New Roman" w:cs="Times New Roman"/>
                <w:sz w:val="21"/>
                <w:szCs w:val="21"/>
              </w:rPr>
            </w:pPr>
            <w:r>
              <w:rPr>
                <w:rFonts w:ascii="Times New Roman" w:eastAsia="Times New Roman" w:hAnsi="Times New Roman" w:cs="Times New Roman"/>
                <w:sz w:val="21"/>
                <w:szCs w:val="21"/>
              </w:rPr>
              <w:t>Reduziu os custos operacionais para 29 milhões/ano, excluindo o custo do HFO.</w:t>
            </w:r>
          </w:p>
          <w:p w:rsidR="000635DE" w:rsidRDefault="00A90B96">
            <w:pPr>
              <w:numPr>
                <w:ilvl w:val="0"/>
                <w:numId w:val="20"/>
              </w:numPr>
              <w:pBdr>
                <w:top w:val="nil"/>
                <w:left w:val="nil"/>
                <w:bottom w:val="nil"/>
                <w:right w:val="nil"/>
                <w:between w:val="nil"/>
              </w:pBdr>
              <w:spacing w:after="0" w:line="240" w:lineRule="auto"/>
              <w:ind w:left="250" w:hanging="246"/>
              <w:jc w:val="both"/>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Garante a continuidade e a qualidade do fornecimento de energia em Nacala.</w:t>
            </w:r>
          </w:p>
          <w:p w:rsidR="000635DE" w:rsidRDefault="000635DE">
            <w:pPr>
              <w:spacing w:after="0" w:line="240" w:lineRule="auto"/>
              <w:jc w:val="both"/>
              <w:rPr>
                <w:rFonts w:ascii="Times New Roman" w:eastAsia="Times New Roman" w:hAnsi="Times New Roman" w:cs="Times New Roman"/>
                <w:sz w:val="21"/>
                <w:szCs w:val="21"/>
              </w:rPr>
            </w:pPr>
          </w:p>
          <w:p w:rsidR="000635DE" w:rsidRDefault="000635DE">
            <w:pPr>
              <w:spacing w:after="0" w:line="240" w:lineRule="auto"/>
              <w:ind w:left="720"/>
              <w:rPr>
                <w:rFonts w:ascii="Times New Roman" w:eastAsia="Times New Roman" w:hAnsi="Times New Roman" w:cs="Times New Roman"/>
                <w:b/>
                <w:bCs/>
                <w:sz w:val="21"/>
                <w:szCs w:val="21"/>
              </w:rPr>
            </w:pPr>
          </w:p>
        </w:tc>
        <w:tc>
          <w:tcPr>
            <w:tcW w:w="5431" w:type="dxa"/>
            <w:vAlign w:val="center"/>
          </w:tcPr>
          <w:p w:rsidR="000635DE" w:rsidRDefault="00A90B96">
            <w:pPr>
              <w:spacing w:after="0" w:line="240" w:lineRule="auto"/>
              <w:rPr>
                <w:rFonts w:ascii="Times New Roman" w:eastAsia="Times New Roman" w:hAnsi="Times New Roman" w:cs="Times New Roman"/>
                <w:b/>
                <w:bCs/>
                <w:sz w:val="21"/>
                <w:szCs w:val="21"/>
              </w:rPr>
            </w:pPr>
            <w:r>
              <w:rPr>
                <w:rFonts w:ascii="Times New Roman" w:eastAsia="Times New Roman" w:hAnsi="Times New Roman" w:cs="Times New Roman"/>
                <w:b/>
                <w:bCs/>
                <w:sz w:val="21"/>
                <w:szCs w:val="21"/>
              </w:rPr>
              <w:t>PONTO DE SITUAÇÃO:</w:t>
            </w:r>
          </w:p>
          <w:p w:rsidR="000635DE" w:rsidRDefault="00A90B96">
            <w:pPr>
              <w:spacing w:after="0" w:line="240" w:lineRule="auto"/>
              <w:jc w:val="both"/>
              <w:rPr>
                <w:rFonts w:ascii="Times New Roman" w:eastAsia="Times New Roman" w:hAnsi="Times New Roman" w:cs="Times New Roman"/>
                <w:i/>
                <w:iCs/>
                <w:sz w:val="21"/>
                <w:szCs w:val="21"/>
              </w:rPr>
            </w:pPr>
            <w:r>
              <w:rPr>
                <w:rFonts w:ascii="Times New Roman" w:eastAsia="Times New Roman" w:hAnsi="Times New Roman" w:cs="Times New Roman"/>
                <w:i/>
                <w:iCs/>
                <w:sz w:val="21"/>
                <w:szCs w:val="21"/>
              </w:rPr>
              <w:t xml:space="preserve">Em janeiro de 2026 foi feita a troca da barcaça de 120MW para 35MW e a mesma está em operação. </w:t>
            </w:r>
          </w:p>
          <w:p w:rsidR="000635DE" w:rsidRDefault="000635DE">
            <w:pPr>
              <w:spacing w:after="0" w:line="240" w:lineRule="auto"/>
              <w:jc w:val="both"/>
              <w:rPr>
                <w:rFonts w:ascii="Times New Roman" w:eastAsia="Times New Roman" w:hAnsi="Times New Roman" w:cs="Times New Roman"/>
                <w:i/>
                <w:iCs/>
                <w:sz w:val="21"/>
                <w:szCs w:val="21"/>
              </w:rPr>
            </w:pPr>
          </w:p>
        </w:tc>
      </w:tr>
      <w:tr w:rsidR="000635DE" w:rsidTr="00344B34">
        <w:trPr>
          <w:trHeight w:val="2201"/>
          <w:tblHeader/>
        </w:trPr>
        <w:tc>
          <w:tcPr>
            <w:tcW w:w="4215" w:type="dxa"/>
            <w:vAlign w:val="center"/>
          </w:tcPr>
          <w:p w:rsidR="000635DE" w:rsidRDefault="00A90B96">
            <w:pPr>
              <w:numPr>
                <w:ilvl w:val="0"/>
                <w:numId w:val="21"/>
              </w:numPr>
              <w:pBdr>
                <w:top w:val="nil"/>
                <w:left w:val="nil"/>
                <w:bottom w:val="nil"/>
                <w:right w:val="nil"/>
                <w:between w:val="nil"/>
              </w:pBdr>
              <w:spacing w:after="0" w:line="240" w:lineRule="auto"/>
              <w:rPr>
                <w:b/>
                <w:bCs/>
                <w:color w:val="000000"/>
                <w:sz w:val="21"/>
                <w:szCs w:val="21"/>
              </w:rPr>
            </w:pPr>
            <w:r>
              <w:rPr>
                <w:rFonts w:ascii="Times New Roman" w:eastAsia="Times New Roman" w:hAnsi="Times New Roman" w:cs="Times New Roman"/>
                <w:b/>
                <w:bCs/>
                <w:color w:val="0070C0"/>
                <w:sz w:val="21"/>
                <w:szCs w:val="21"/>
              </w:rPr>
              <w:t xml:space="preserve">PROJECTO II: </w:t>
            </w:r>
            <w:r>
              <w:rPr>
                <w:rFonts w:ascii="Times New Roman" w:eastAsia="Times New Roman" w:hAnsi="Times New Roman" w:cs="Times New Roman"/>
                <w:b/>
                <w:bCs/>
                <w:color w:val="000000"/>
                <w:sz w:val="21"/>
                <w:szCs w:val="21"/>
              </w:rPr>
              <w:t xml:space="preserve">Implementação da </w:t>
            </w:r>
            <w:r w:rsidR="00595571">
              <w:rPr>
                <w:rFonts w:ascii="Times New Roman" w:eastAsia="Times New Roman" w:hAnsi="Times New Roman" w:cs="Times New Roman"/>
                <w:b/>
                <w:bCs/>
                <w:color w:val="000000"/>
                <w:sz w:val="21"/>
                <w:szCs w:val="21"/>
              </w:rPr>
              <w:t>Central Térmica de Moatize (300</w:t>
            </w:r>
            <w:r>
              <w:rPr>
                <w:rFonts w:ascii="Times New Roman" w:eastAsia="Times New Roman" w:hAnsi="Times New Roman" w:cs="Times New Roman"/>
                <w:b/>
                <w:bCs/>
                <w:color w:val="000000"/>
                <w:sz w:val="21"/>
                <w:szCs w:val="21"/>
              </w:rPr>
              <w:t>).</w:t>
            </w:r>
          </w:p>
          <w:p w:rsidR="000635DE" w:rsidRDefault="00A90B96">
            <w:pPr>
              <w:pBdr>
                <w:top w:val="nil"/>
                <w:left w:val="nil"/>
                <w:bottom w:val="nil"/>
                <w:right w:val="nil"/>
                <w:between w:val="nil"/>
              </w:pBdr>
              <w:spacing w:after="0" w:line="240" w:lineRule="auto"/>
              <w:ind w:left="372"/>
              <w:jc w:val="both"/>
              <w:rPr>
                <w:rFonts w:ascii="Times New Roman" w:eastAsia="Times New Roman" w:hAnsi="Times New Roman" w:cs="Times New Roman"/>
                <w:b/>
                <w:bCs/>
                <w:color w:val="000000"/>
                <w:sz w:val="21"/>
                <w:szCs w:val="21"/>
              </w:rPr>
            </w:pPr>
            <w:r>
              <w:rPr>
                <w:rFonts w:ascii="Times New Roman" w:eastAsia="Times New Roman" w:hAnsi="Times New Roman" w:cs="Times New Roman"/>
                <w:i/>
                <w:iCs/>
                <w:color w:val="000000"/>
                <w:sz w:val="21"/>
                <w:szCs w:val="21"/>
              </w:rPr>
              <w:t xml:space="preserve">Esta central será desenvolvida com uma tecnologia baseada no aproveitamento do lixo de carvão. Esta tecnologia provou a sua viabilidade em outras partes do mundo devido </w:t>
            </w:r>
            <w:r>
              <w:rPr>
                <w:rFonts w:ascii="Times New Roman" w:eastAsia="Times New Roman" w:hAnsi="Times New Roman" w:cs="Times New Roman"/>
                <w:i/>
                <w:iCs/>
                <w:sz w:val="21"/>
                <w:szCs w:val="21"/>
              </w:rPr>
              <w:t>à baixa</w:t>
            </w:r>
            <w:r>
              <w:rPr>
                <w:rFonts w:ascii="Times New Roman" w:eastAsia="Times New Roman" w:hAnsi="Times New Roman" w:cs="Times New Roman"/>
                <w:i/>
                <w:iCs/>
                <w:color w:val="000000"/>
                <w:sz w:val="21"/>
                <w:szCs w:val="21"/>
              </w:rPr>
              <w:t xml:space="preserve"> taxa de emissões.</w:t>
            </w:r>
          </w:p>
        </w:tc>
        <w:tc>
          <w:tcPr>
            <w:tcW w:w="2729" w:type="dxa"/>
            <w:vAlign w:val="center"/>
          </w:tcPr>
          <w:p w:rsidR="000635DE" w:rsidRDefault="000635DE" w:rsidP="00595571">
            <w:pPr>
              <w:pBdr>
                <w:top w:val="nil"/>
                <w:left w:val="nil"/>
                <w:bottom w:val="nil"/>
                <w:right w:val="nil"/>
                <w:between w:val="nil"/>
              </w:pBdr>
              <w:spacing w:after="0" w:line="240" w:lineRule="auto"/>
              <w:ind w:left="273"/>
              <w:jc w:val="both"/>
              <w:rPr>
                <w:rFonts w:ascii="Times New Roman" w:eastAsia="Times New Roman" w:hAnsi="Times New Roman" w:cs="Times New Roman"/>
                <w:color w:val="000000"/>
                <w:sz w:val="21"/>
                <w:szCs w:val="21"/>
              </w:rPr>
            </w:pPr>
          </w:p>
        </w:tc>
        <w:tc>
          <w:tcPr>
            <w:tcW w:w="2790" w:type="dxa"/>
            <w:vAlign w:val="center"/>
          </w:tcPr>
          <w:p w:rsidR="000635DE" w:rsidRDefault="00A90B96">
            <w:pPr>
              <w:spacing w:after="0" w:line="240" w:lineRule="auto"/>
              <w:rPr>
                <w:rFonts w:ascii="Times New Roman" w:eastAsia="Times New Roman" w:hAnsi="Times New Roman" w:cs="Times New Roman"/>
                <w:sz w:val="21"/>
                <w:szCs w:val="21"/>
              </w:rPr>
            </w:pPr>
            <w:r>
              <w:rPr>
                <w:rFonts w:ascii="Times New Roman" w:eastAsia="Times New Roman" w:hAnsi="Times New Roman" w:cs="Times New Roman"/>
                <w:b/>
                <w:bCs/>
                <w:sz w:val="21"/>
                <w:szCs w:val="21"/>
              </w:rPr>
              <w:t xml:space="preserve"> BENEFÍCIOS</w:t>
            </w:r>
          </w:p>
          <w:p w:rsidR="000635DE" w:rsidRDefault="00A90B96">
            <w:pPr>
              <w:numPr>
                <w:ilvl w:val="0"/>
                <w:numId w:val="30"/>
              </w:numPr>
              <w:pBdr>
                <w:top w:val="nil"/>
                <w:left w:val="nil"/>
                <w:bottom w:val="nil"/>
                <w:right w:val="nil"/>
                <w:between w:val="nil"/>
              </w:pBdr>
              <w:ind w:left="250" w:hanging="284"/>
              <w:jc w:val="both"/>
              <w:rPr>
                <w:rFonts w:ascii="Times New Roman" w:eastAsia="Times New Roman" w:hAnsi="Times New Roman" w:cs="Times New Roman"/>
                <w:color w:val="000000"/>
                <w:sz w:val="21"/>
                <w:szCs w:val="21"/>
              </w:rPr>
            </w:pPr>
            <w:r>
              <w:rPr>
                <w:rFonts w:ascii="Times New Roman" w:eastAsia="Times New Roman" w:hAnsi="Times New Roman" w:cs="Times New Roman"/>
                <w:sz w:val="21"/>
                <w:szCs w:val="21"/>
              </w:rPr>
              <w:t>Mitigar</w:t>
            </w:r>
            <w:r>
              <w:rPr>
                <w:rFonts w:ascii="Times New Roman" w:eastAsia="Times New Roman" w:hAnsi="Times New Roman" w:cs="Times New Roman"/>
                <w:color w:val="000000"/>
                <w:sz w:val="21"/>
                <w:szCs w:val="21"/>
              </w:rPr>
              <w:t xml:space="preserve"> o </w:t>
            </w:r>
            <w:r>
              <w:rPr>
                <w:rFonts w:ascii="Times New Roman" w:eastAsia="Times New Roman" w:hAnsi="Times New Roman" w:cs="Times New Roman"/>
                <w:sz w:val="21"/>
                <w:szCs w:val="21"/>
              </w:rPr>
              <w:t>déficit</w:t>
            </w:r>
            <w:r>
              <w:rPr>
                <w:rFonts w:ascii="Times New Roman" w:eastAsia="Times New Roman" w:hAnsi="Times New Roman" w:cs="Times New Roman"/>
                <w:color w:val="000000"/>
                <w:sz w:val="21"/>
                <w:szCs w:val="21"/>
              </w:rPr>
              <w:t xml:space="preserve"> de geração no Sistema Eléctrico Nacional e </w:t>
            </w:r>
            <w:r>
              <w:rPr>
                <w:rFonts w:ascii="Times New Roman" w:eastAsia="Times New Roman" w:hAnsi="Times New Roman" w:cs="Times New Roman"/>
                <w:sz w:val="21"/>
                <w:szCs w:val="21"/>
              </w:rPr>
              <w:t>sustentar</w:t>
            </w:r>
            <w:r>
              <w:rPr>
                <w:rFonts w:ascii="Times New Roman" w:eastAsia="Times New Roman" w:hAnsi="Times New Roman" w:cs="Times New Roman"/>
                <w:color w:val="000000"/>
                <w:sz w:val="21"/>
                <w:szCs w:val="21"/>
              </w:rPr>
              <w:t xml:space="preserve"> o programa nacional de industrialização, acesso universal e polo regional de geração.</w:t>
            </w:r>
          </w:p>
        </w:tc>
        <w:tc>
          <w:tcPr>
            <w:tcW w:w="5431" w:type="dxa"/>
            <w:vAlign w:val="center"/>
          </w:tcPr>
          <w:p w:rsidR="000635DE" w:rsidRDefault="00A90B96">
            <w:pPr>
              <w:spacing w:after="0" w:line="240" w:lineRule="auto"/>
              <w:rPr>
                <w:rFonts w:ascii="Times New Roman" w:eastAsia="Times New Roman" w:hAnsi="Times New Roman" w:cs="Times New Roman"/>
                <w:b/>
                <w:bCs/>
                <w:sz w:val="21"/>
                <w:szCs w:val="21"/>
              </w:rPr>
            </w:pPr>
            <w:r>
              <w:rPr>
                <w:rFonts w:ascii="Times New Roman" w:eastAsia="Times New Roman" w:hAnsi="Times New Roman" w:cs="Times New Roman"/>
                <w:b/>
                <w:bCs/>
                <w:sz w:val="21"/>
                <w:szCs w:val="21"/>
              </w:rPr>
              <w:t>PONTO DE SITUAÇÃO:</w:t>
            </w:r>
          </w:p>
          <w:p w:rsidR="000635DE" w:rsidRDefault="000635DE">
            <w:pPr>
              <w:spacing w:after="0"/>
              <w:rPr>
                <w:rFonts w:ascii="Times New Roman" w:eastAsia="Times New Roman" w:hAnsi="Times New Roman" w:cs="Times New Roman"/>
                <w:sz w:val="16"/>
                <w:szCs w:val="16"/>
              </w:rPr>
            </w:pPr>
          </w:p>
          <w:p w:rsidR="000635DE" w:rsidRDefault="00A90B96">
            <w:pPr>
              <w:numPr>
                <w:ilvl w:val="0"/>
                <w:numId w:val="11"/>
              </w:numPr>
              <w:spacing w:after="0" w:line="240" w:lineRule="auto"/>
              <w:jc w:val="both"/>
              <w:rPr>
                <w:rFonts w:ascii="Times New Roman" w:eastAsia="Times New Roman" w:hAnsi="Times New Roman" w:cs="Times New Roman"/>
                <w:i/>
                <w:iCs/>
                <w:sz w:val="21"/>
                <w:szCs w:val="21"/>
              </w:rPr>
            </w:pPr>
            <w:r>
              <w:rPr>
                <w:rFonts w:ascii="Times New Roman" w:eastAsia="Times New Roman" w:hAnsi="Times New Roman" w:cs="Times New Roman"/>
                <w:i/>
                <w:iCs/>
                <w:sz w:val="21"/>
                <w:szCs w:val="21"/>
              </w:rPr>
              <w:t>A EDM e a Vulcan assinaram o NDA assim como o Termsheet.;</w:t>
            </w:r>
          </w:p>
          <w:p w:rsidR="000635DE" w:rsidRDefault="00A90B96">
            <w:pPr>
              <w:numPr>
                <w:ilvl w:val="0"/>
                <w:numId w:val="11"/>
              </w:numPr>
              <w:spacing w:after="0" w:line="240" w:lineRule="auto"/>
              <w:jc w:val="both"/>
              <w:rPr>
                <w:rFonts w:ascii="Times New Roman" w:eastAsia="Times New Roman" w:hAnsi="Times New Roman" w:cs="Times New Roman"/>
                <w:i/>
                <w:iCs/>
                <w:sz w:val="21"/>
                <w:szCs w:val="21"/>
              </w:rPr>
            </w:pPr>
            <w:r>
              <w:rPr>
                <w:rFonts w:ascii="Times New Roman" w:eastAsia="Times New Roman" w:hAnsi="Times New Roman" w:cs="Times New Roman"/>
                <w:i/>
                <w:iCs/>
                <w:sz w:val="21"/>
                <w:szCs w:val="21"/>
              </w:rPr>
              <w:t>Em preparação o PPA para assinatura entre as partes antes do COD;</w:t>
            </w:r>
          </w:p>
          <w:p w:rsidR="000635DE" w:rsidRDefault="00A90B96">
            <w:pPr>
              <w:numPr>
                <w:ilvl w:val="0"/>
                <w:numId w:val="11"/>
              </w:numPr>
              <w:spacing w:after="0" w:line="240" w:lineRule="auto"/>
              <w:jc w:val="both"/>
              <w:rPr>
                <w:rFonts w:ascii="Times New Roman" w:eastAsia="Times New Roman" w:hAnsi="Times New Roman" w:cs="Times New Roman"/>
                <w:i/>
                <w:iCs/>
                <w:sz w:val="21"/>
                <w:szCs w:val="21"/>
              </w:rPr>
            </w:pPr>
            <w:r>
              <w:rPr>
                <w:rFonts w:ascii="Times New Roman" w:eastAsia="Times New Roman" w:hAnsi="Times New Roman" w:cs="Times New Roman"/>
                <w:i/>
                <w:iCs/>
                <w:sz w:val="21"/>
                <w:szCs w:val="21"/>
              </w:rPr>
              <w:t>Acordado o Joint System Operation and Maintenance entre EDM e Vulcan;</w:t>
            </w:r>
          </w:p>
          <w:p w:rsidR="000635DE" w:rsidRDefault="00A90B96">
            <w:pPr>
              <w:numPr>
                <w:ilvl w:val="0"/>
                <w:numId w:val="11"/>
              </w:numPr>
              <w:spacing w:after="0" w:line="240" w:lineRule="auto"/>
              <w:jc w:val="both"/>
              <w:rPr>
                <w:rFonts w:ascii="Times New Roman" w:eastAsia="Times New Roman" w:hAnsi="Times New Roman" w:cs="Times New Roman"/>
                <w:i/>
                <w:iCs/>
                <w:sz w:val="21"/>
                <w:szCs w:val="21"/>
              </w:rPr>
            </w:pPr>
            <w:r>
              <w:rPr>
                <w:rFonts w:ascii="Times New Roman" w:eastAsia="Times New Roman" w:hAnsi="Times New Roman" w:cs="Times New Roman"/>
                <w:i/>
                <w:iCs/>
                <w:sz w:val="21"/>
                <w:szCs w:val="21"/>
              </w:rPr>
              <w:t xml:space="preserve">Comissionamento Previsto para Dezembro de 2026 </w:t>
            </w:r>
          </w:p>
        </w:tc>
      </w:tr>
      <w:tr w:rsidR="000635DE" w:rsidTr="00344B34">
        <w:trPr>
          <w:trHeight w:val="2201"/>
          <w:tblHeader/>
        </w:trPr>
        <w:tc>
          <w:tcPr>
            <w:tcW w:w="4215" w:type="dxa"/>
            <w:vAlign w:val="center"/>
          </w:tcPr>
          <w:p w:rsidR="000635DE" w:rsidRDefault="00A90B96">
            <w:pPr>
              <w:numPr>
                <w:ilvl w:val="0"/>
                <w:numId w:val="27"/>
              </w:numPr>
              <w:pBdr>
                <w:top w:val="nil"/>
                <w:left w:val="nil"/>
                <w:bottom w:val="nil"/>
                <w:right w:val="nil"/>
                <w:between w:val="nil"/>
              </w:pBdr>
              <w:spacing w:after="0" w:line="240" w:lineRule="auto"/>
              <w:rPr>
                <w:b/>
                <w:bCs/>
                <w:color w:val="000000"/>
                <w:sz w:val="21"/>
                <w:szCs w:val="21"/>
              </w:rPr>
            </w:pPr>
            <w:r>
              <w:rPr>
                <w:rFonts w:ascii="Times New Roman" w:eastAsia="Times New Roman" w:hAnsi="Times New Roman" w:cs="Times New Roman"/>
                <w:b/>
                <w:bCs/>
                <w:color w:val="0070C0"/>
                <w:sz w:val="21"/>
                <w:szCs w:val="21"/>
              </w:rPr>
              <w:t xml:space="preserve">PROJECTO III: </w:t>
            </w:r>
            <w:r>
              <w:rPr>
                <w:rFonts w:ascii="Times New Roman" w:eastAsia="Times New Roman" w:hAnsi="Times New Roman" w:cs="Times New Roman"/>
                <w:b/>
                <w:bCs/>
                <w:color w:val="000000"/>
                <w:sz w:val="21"/>
                <w:szCs w:val="21"/>
              </w:rPr>
              <w:t>Central Térmica a Gás de Ciclo Combinado de Temane (CTT) – 450 MW</w:t>
            </w:r>
          </w:p>
          <w:p w:rsidR="000635DE" w:rsidRDefault="000635DE">
            <w:pPr>
              <w:pBdr>
                <w:top w:val="nil"/>
                <w:left w:val="nil"/>
                <w:bottom w:val="nil"/>
                <w:right w:val="nil"/>
                <w:between w:val="nil"/>
              </w:pBdr>
              <w:spacing w:after="0" w:line="240" w:lineRule="auto"/>
              <w:ind w:left="360"/>
              <w:rPr>
                <w:rFonts w:ascii="Times New Roman" w:eastAsia="Times New Roman" w:hAnsi="Times New Roman" w:cs="Times New Roman"/>
                <w:b/>
                <w:bCs/>
                <w:color w:val="000000"/>
                <w:sz w:val="10"/>
                <w:szCs w:val="10"/>
              </w:rPr>
            </w:pPr>
          </w:p>
          <w:p w:rsidR="000635DE" w:rsidRDefault="00A90B96">
            <w:pPr>
              <w:pBdr>
                <w:top w:val="nil"/>
                <w:left w:val="nil"/>
                <w:bottom w:val="nil"/>
                <w:right w:val="nil"/>
                <w:between w:val="nil"/>
              </w:pBdr>
              <w:spacing w:after="0" w:line="240" w:lineRule="auto"/>
              <w:ind w:left="360"/>
              <w:jc w:val="both"/>
              <w:rPr>
                <w:rFonts w:ascii="Times New Roman" w:eastAsia="Times New Roman" w:hAnsi="Times New Roman" w:cs="Times New Roman"/>
                <w:b/>
                <w:bCs/>
                <w:color w:val="000000"/>
                <w:sz w:val="21"/>
                <w:szCs w:val="21"/>
              </w:rPr>
            </w:pPr>
            <w:r>
              <w:rPr>
                <w:rFonts w:ascii="Times New Roman" w:eastAsia="Times New Roman" w:hAnsi="Times New Roman" w:cs="Times New Roman"/>
                <w:i/>
                <w:iCs/>
                <w:color w:val="000000"/>
                <w:sz w:val="21"/>
                <w:szCs w:val="21"/>
              </w:rPr>
              <w:t>Maior Central de Geração de Energia construída após a independência. Estratégica para o mix energético e segurança de fornecimento, incluindo a potenciação das exportações.</w:t>
            </w:r>
          </w:p>
        </w:tc>
        <w:tc>
          <w:tcPr>
            <w:tcW w:w="2729" w:type="dxa"/>
            <w:vAlign w:val="center"/>
          </w:tcPr>
          <w:p w:rsidR="000635DE" w:rsidRDefault="00595571">
            <w:pPr>
              <w:numPr>
                <w:ilvl w:val="0"/>
                <w:numId w:val="34"/>
              </w:numPr>
              <w:pBdr>
                <w:top w:val="nil"/>
                <w:left w:val="nil"/>
                <w:bottom w:val="nil"/>
                <w:right w:val="nil"/>
                <w:between w:val="nil"/>
              </w:pBdr>
              <w:spacing w:after="0" w:line="240" w:lineRule="auto"/>
              <w:ind w:left="415" w:hanging="305"/>
              <w:jc w:val="both"/>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Défice de fundos para refinanciamento da participação da EDM no pacote de recuperação do Projecto</w:t>
            </w:r>
          </w:p>
          <w:p w:rsidR="000635DE" w:rsidRDefault="00A90B96">
            <w:pPr>
              <w:numPr>
                <w:ilvl w:val="0"/>
                <w:numId w:val="34"/>
              </w:numPr>
              <w:pBdr>
                <w:top w:val="nil"/>
                <w:left w:val="nil"/>
                <w:bottom w:val="nil"/>
                <w:right w:val="nil"/>
                <w:between w:val="nil"/>
              </w:pBdr>
              <w:spacing w:after="0" w:line="240" w:lineRule="auto"/>
              <w:ind w:left="415" w:hanging="305"/>
              <w:jc w:val="both"/>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 xml:space="preserve"> </w:t>
            </w:r>
            <w:r w:rsidR="00595571">
              <w:rPr>
                <w:rFonts w:ascii="Times New Roman" w:eastAsia="Times New Roman" w:hAnsi="Times New Roman" w:cs="Times New Roman"/>
                <w:color w:val="000000"/>
                <w:sz w:val="21"/>
                <w:szCs w:val="21"/>
              </w:rPr>
              <w:t>O Pacote de medidas de recuperação aguarda pela aprovação do Conselho de Ministros</w:t>
            </w:r>
            <w:r>
              <w:rPr>
                <w:rFonts w:ascii="Times New Roman" w:eastAsia="Times New Roman" w:hAnsi="Times New Roman" w:cs="Times New Roman"/>
                <w:color w:val="000000"/>
                <w:sz w:val="21"/>
                <w:szCs w:val="21"/>
              </w:rPr>
              <w:t>.</w:t>
            </w:r>
          </w:p>
          <w:p w:rsidR="000635DE" w:rsidRDefault="000635DE">
            <w:pPr>
              <w:pBdr>
                <w:top w:val="nil"/>
                <w:left w:val="nil"/>
                <w:bottom w:val="nil"/>
                <w:right w:val="nil"/>
                <w:between w:val="nil"/>
              </w:pBdr>
              <w:spacing w:after="0" w:line="240" w:lineRule="auto"/>
              <w:ind w:left="720"/>
              <w:rPr>
                <w:rFonts w:ascii="Times New Roman" w:eastAsia="Times New Roman" w:hAnsi="Times New Roman" w:cs="Times New Roman"/>
                <w:color w:val="000000"/>
                <w:sz w:val="21"/>
                <w:szCs w:val="21"/>
              </w:rPr>
            </w:pPr>
          </w:p>
        </w:tc>
        <w:tc>
          <w:tcPr>
            <w:tcW w:w="2790" w:type="dxa"/>
            <w:tcBorders>
              <w:right w:val="single" w:sz="4" w:space="0" w:color="000000"/>
            </w:tcBorders>
            <w:vAlign w:val="center"/>
          </w:tcPr>
          <w:p w:rsidR="000635DE" w:rsidRDefault="00A90B96">
            <w:pPr>
              <w:rPr>
                <w:rFonts w:ascii="Times New Roman" w:eastAsia="Times New Roman" w:hAnsi="Times New Roman" w:cs="Times New Roman"/>
                <w:b/>
                <w:bCs/>
                <w:sz w:val="21"/>
                <w:szCs w:val="21"/>
              </w:rPr>
            </w:pPr>
            <w:r>
              <w:rPr>
                <w:rFonts w:ascii="Times New Roman" w:eastAsia="Times New Roman" w:hAnsi="Times New Roman" w:cs="Times New Roman"/>
                <w:b/>
                <w:bCs/>
                <w:sz w:val="21"/>
                <w:szCs w:val="21"/>
              </w:rPr>
              <w:t>BENEFÍCIOS</w:t>
            </w:r>
          </w:p>
          <w:p w:rsidR="000635DE" w:rsidRDefault="00A90B96">
            <w:pPr>
              <w:numPr>
                <w:ilvl w:val="0"/>
                <w:numId w:val="37"/>
              </w:numPr>
              <w:spacing w:after="0" w:line="240" w:lineRule="auto"/>
              <w:ind w:left="392" w:hanging="328"/>
              <w:jc w:val="both"/>
              <w:rPr>
                <w:rFonts w:ascii="Times New Roman" w:eastAsia="Times New Roman" w:hAnsi="Times New Roman" w:cs="Times New Roman"/>
                <w:sz w:val="21"/>
                <w:szCs w:val="21"/>
              </w:rPr>
            </w:pPr>
            <w:r>
              <w:rPr>
                <w:rFonts w:ascii="Times New Roman" w:eastAsia="Times New Roman" w:hAnsi="Times New Roman" w:cs="Times New Roman"/>
                <w:sz w:val="21"/>
                <w:szCs w:val="21"/>
              </w:rPr>
              <w:t>Potência a sustentabilidade financeira da EDM, com energia adicional firme e mais barata do mercado.</w:t>
            </w:r>
            <w:r w:rsidR="00344B34">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0" o:spid="_x0000_s1026" type="#_x0000_t75" style="position:absolute;left:0;text-align:left;margin-left:133.35pt;margin-top:23.7pt;width:1.05pt;height:1.05pt;z-index:251670528;visibility:visible;mso-wrap-style:square;mso-wrap-distance-left:9pt;mso-wrap-distance-top:0;mso-wrap-distance-right:9pt;mso-wrap-distance-bottom:0;mso-position-horizontal:absolute;mso-position-horizontal-relative:margin;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">
                  <v:imagedata r:id="rId7" o:title=""/>
                  <w10:wrap anchorx="margin"/>
                </v:shape>
              </w:pict>
            </w:r>
          </w:p>
          <w:p w:rsidR="000635DE" w:rsidRDefault="00A90B96">
            <w:pPr>
              <w:numPr>
                <w:ilvl w:val="0"/>
                <w:numId w:val="37"/>
              </w:numPr>
              <w:spacing w:after="0" w:line="240" w:lineRule="auto"/>
              <w:ind w:left="392" w:hanging="328"/>
              <w:jc w:val="both"/>
              <w:rPr>
                <w:rFonts w:ascii="Times New Roman" w:eastAsia="Times New Roman" w:hAnsi="Times New Roman" w:cs="Times New Roman"/>
                <w:sz w:val="21"/>
                <w:szCs w:val="21"/>
              </w:rPr>
            </w:pPr>
            <w:r>
              <w:rPr>
                <w:rFonts w:ascii="Times New Roman" w:eastAsia="Times New Roman" w:hAnsi="Times New Roman" w:cs="Times New Roman"/>
                <w:sz w:val="21"/>
                <w:szCs w:val="21"/>
              </w:rPr>
              <w:t>Fortalece a segurança energética nacional e diversifica a matriz energética.</w:t>
            </w:r>
          </w:p>
          <w:p w:rsidR="000635DE" w:rsidRDefault="00A90B96">
            <w:pPr>
              <w:numPr>
                <w:ilvl w:val="0"/>
                <w:numId w:val="37"/>
              </w:numPr>
              <w:spacing w:after="0" w:line="240" w:lineRule="auto"/>
              <w:ind w:left="392" w:hanging="328"/>
              <w:jc w:val="both"/>
              <w:rPr>
                <w:rFonts w:ascii="Times New Roman" w:eastAsia="Times New Roman" w:hAnsi="Times New Roman" w:cs="Times New Roman"/>
                <w:sz w:val="21"/>
                <w:szCs w:val="21"/>
              </w:rPr>
            </w:pPr>
            <w:r>
              <w:rPr>
                <w:rFonts w:ascii="Times New Roman" w:eastAsia="Times New Roman" w:hAnsi="Times New Roman" w:cs="Times New Roman"/>
                <w:sz w:val="21"/>
                <w:szCs w:val="21"/>
              </w:rPr>
              <w:t>Promove a integração regional por meio das exportações para SAPP.</w:t>
            </w:r>
          </w:p>
          <w:p w:rsidR="000635DE" w:rsidRDefault="00A90B96">
            <w:pPr>
              <w:numPr>
                <w:ilvl w:val="0"/>
                <w:numId w:val="37"/>
              </w:numPr>
              <w:spacing w:after="0" w:line="240" w:lineRule="auto"/>
              <w:ind w:left="392" w:hanging="328"/>
              <w:jc w:val="both"/>
              <w:rPr>
                <w:rFonts w:ascii="Times New Roman" w:eastAsia="Times New Roman" w:hAnsi="Times New Roman" w:cs="Times New Roman"/>
                <w:sz w:val="21"/>
                <w:szCs w:val="21"/>
              </w:rPr>
            </w:pPr>
            <w:r>
              <w:rPr>
                <w:rFonts w:ascii="Times New Roman" w:eastAsia="Times New Roman" w:hAnsi="Times New Roman" w:cs="Times New Roman"/>
                <w:sz w:val="21"/>
                <w:szCs w:val="21"/>
              </w:rPr>
              <w:t>Viabiliza o programa de Acesso Universal à Energia.</w:t>
            </w:r>
          </w:p>
        </w:tc>
        <w:tc>
          <w:tcPr>
            <w:tcW w:w="5431" w:type="dxa"/>
            <w:tcBorders>
              <w:left w:val="single" w:sz="4" w:space="0" w:color="000000"/>
            </w:tcBorders>
            <w:vAlign w:val="center"/>
          </w:tcPr>
          <w:p w:rsidR="000635DE" w:rsidRDefault="00A90B96">
            <w:pPr>
              <w:numPr>
                <w:ilvl w:val="0"/>
                <w:numId w:val="43"/>
              </w:numPr>
              <w:spacing w:after="0"/>
              <w:rPr>
                <w:rFonts w:ascii="Times New Roman" w:eastAsia="Times New Roman" w:hAnsi="Times New Roman" w:cs="Times New Roman"/>
                <w:i/>
                <w:iCs/>
              </w:rPr>
            </w:pPr>
            <w:r>
              <w:rPr>
                <w:rFonts w:ascii="Times New Roman" w:eastAsia="Times New Roman" w:hAnsi="Times New Roman" w:cs="Times New Roman"/>
                <w:i/>
                <w:iCs/>
              </w:rPr>
              <w:t>Contratação do Novo Empreiteiro Enka;</w:t>
            </w:r>
          </w:p>
          <w:p w:rsidR="000635DE" w:rsidRDefault="00A90B96">
            <w:pPr>
              <w:numPr>
                <w:ilvl w:val="0"/>
                <w:numId w:val="43"/>
              </w:numPr>
              <w:spacing w:after="0"/>
              <w:rPr>
                <w:rFonts w:ascii="Times New Roman" w:eastAsia="Times New Roman" w:hAnsi="Times New Roman" w:cs="Times New Roman"/>
                <w:i/>
                <w:iCs/>
              </w:rPr>
            </w:pPr>
            <w:r>
              <w:rPr>
                <w:rFonts w:ascii="Times New Roman" w:eastAsia="Times New Roman" w:hAnsi="Times New Roman" w:cs="Times New Roman"/>
                <w:i/>
                <w:iCs/>
              </w:rPr>
              <w:t>Emitida a NTP;</w:t>
            </w:r>
          </w:p>
          <w:p w:rsidR="000635DE" w:rsidRDefault="00A90B96">
            <w:pPr>
              <w:numPr>
                <w:ilvl w:val="0"/>
                <w:numId w:val="43"/>
              </w:numPr>
              <w:spacing w:after="0"/>
              <w:rPr>
                <w:rFonts w:ascii="Times New Roman" w:eastAsia="Times New Roman" w:hAnsi="Times New Roman" w:cs="Times New Roman"/>
                <w:i/>
                <w:iCs/>
              </w:rPr>
            </w:pPr>
            <w:r>
              <w:rPr>
                <w:rFonts w:ascii="Times New Roman" w:eastAsia="Times New Roman" w:hAnsi="Times New Roman" w:cs="Times New Roman"/>
                <w:i/>
                <w:iCs/>
              </w:rPr>
              <w:t>Remobilização das obras, já temos cerca de 500 trabalhadores no Site;</w:t>
            </w:r>
          </w:p>
          <w:p w:rsidR="000635DE" w:rsidRDefault="00595571">
            <w:pPr>
              <w:numPr>
                <w:ilvl w:val="0"/>
                <w:numId w:val="43"/>
              </w:numPr>
              <w:spacing w:after="0"/>
              <w:rPr>
                <w:rFonts w:ascii="Times New Roman" w:eastAsia="Times New Roman" w:hAnsi="Times New Roman" w:cs="Times New Roman"/>
                <w:i/>
                <w:iCs/>
              </w:rPr>
            </w:pPr>
            <w:r>
              <w:rPr>
                <w:rFonts w:ascii="Times New Roman" w:eastAsia="Times New Roman" w:hAnsi="Times New Roman" w:cs="Times New Roman"/>
                <w:i/>
                <w:iCs/>
              </w:rPr>
              <w:t xml:space="preserve">Em curso </w:t>
            </w:r>
            <w:r w:rsidR="00A90B96">
              <w:rPr>
                <w:rFonts w:ascii="Times New Roman" w:eastAsia="Times New Roman" w:hAnsi="Times New Roman" w:cs="Times New Roman"/>
                <w:i/>
                <w:iCs/>
              </w:rPr>
              <w:t>o assentamento de equipamento pesado: Turbina a valor e gerador a Vapor já no maciço;</w:t>
            </w:r>
          </w:p>
          <w:p w:rsidR="000635DE" w:rsidRDefault="00A90B96">
            <w:pPr>
              <w:numPr>
                <w:ilvl w:val="0"/>
                <w:numId w:val="43"/>
              </w:numPr>
              <w:spacing w:after="0"/>
              <w:rPr>
                <w:rFonts w:ascii="Times New Roman" w:eastAsia="Times New Roman" w:hAnsi="Times New Roman" w:cs="Times New Roman"/>
                <w:i/>
                <w:iCs/>
              </w:rPr>
            </w:pPr>
            <w:r>
              <w:rPr>
                <w:rFonts w:ascii="Times New Roman" w:eastAsia="Times New Roman" w:hAnsi="Times New Roman" w:cs="Times New Roman"/>
                <w:i/>
                <w:iCs/>
              </w:rPr>
              <w:t>Em curso actividades de inspecção e preservação do equipamento;</w:t>
            </w:r>
          </w:p>
          <w:p w:rsidR="000635DE" w:rsidRDefault="00A90B96">
            <w:pPr>
              <w:numPr>
                <w:ilvl w:val="0"/>
                <w:numId w:val="43"/>
              </w:numPr>
              <w:spacing w:after="0"/>
              <w:rPr>
                <w:rFonts w:ascii="Times New Roman" w:eastAsia="Times New Roman" w:hAnsi="Times New Roman" w:cs="Times New Roman"/>
                <w:i/>
                <w:iCs/>
              </w:rPr>
            </w:pPr>
            <w:r>
              <w:rPr>
                <w:rFonts w:ascii="Times New Roman" w:eastAsia="Times New Roman" w:hAnsi="Times New Roman" w:cs="Times New Roman"/>
                <w:i/>
                <w:iCs/>
              </w:rPr>
              <w:t>Em curso realização de vias de circulação e drenagens a volta da central;</w:t>
            </w:r>
          </w:p>
          <w:p w:rsidR="000635DE" w:rsidRDefault="00A90B96">
            <w:pPr>
              <w:numPr>
                <w:ilvl w:val="0"/>
                <w:numId w:val="43"/>
              </w:numPr>
              <w:spacing w:after="0"/>
              <w:rPr>
                <w:rFonts w:ascii="Times New Roman" w:eastAsia="Times New Roman" w:hAnsi="Times New Roman" w:cs="Times New Roman"/>
                <w:i/>
                <w:iCs/>
              </w:rPr>
            </w:pPr>
            <w:r>
              <w:rPr>
                <w:rFonts w:ascii="Times New Roman" w:eastAsia="Times New Roman" w:hAnsi="Times New Roman" w:cs="Times New Roman"/>
                <w:i/>
                <w:iCs/>
              </w:rPr>
              <w:t>O pacote de recuperação aguarda a submissão ao Conselho de Ministros para aprovação;</w:t>
            </w:r>
          </w:p>
          <w:p w:rsidR="000635DE" w:rsidRDefault="00A90B96">
            <w:pPr>
              <w:numPr>
                <w:ilvl w:val="0"/>
                <w:numId w:val="43"/>
              </w:numPr>
              <w:spacing w:after="0"/>
              <w:rPr>
                <w:rFonts w:ascii="Times New Roman" w:eastAsia="Times New Roman" w:hAnsi="Times New Roman" w:cs="Times New Roman"/>
                <w:i/>
                <w:iCs/>
              </w:rPr>
            </w:pPr>
            <w:r>
              <w:rPr>
                <w:rFonts w:ascii="Times New Roman" w:eastAsia="Times New Roman" w:hAnsi="Times New Roman" w:cs="Times New Roman"/>
                <w:i/>
                <w:iCs/>
              </w:rPr>
              <w:t>Em curso a preparação do concurso para selecção do Engenheiro Independente;</w:t>
            </w:r>
          </w:p>
          <w:p w:rsidR="000635DE" w:rsidRDefault="00A90B96">
            <w:pPr>
              <w:numPr>
                <w:ilvl w:val="0"/>
                <w:numId w:val="43"/>
              </w:numPr>
              <w:rPr>
                <w:rFonts w:ascii="Times New Roman" w:eastAsia="Times New Roman" w:hAnsi="Times New Roman" w:cs="Times New Roman"/>
                <w:i/>
                <w:iCs/>
              </w:rPr>
            </w:pPr>
            <w:r>
              <w:rPr>
                <w:rFonts w:ascii="Times New Roman" w:eastAsia="Times New Roman" w:hAnsi="Times New Roman" w:cs="Times New Roman"/>
                <w:i/>
                <w:iCs/>
              </w:rPr>
              <w:t>Operação Comercial Prevista para finais de 2027.</w:t>
            </w:r>
          </w:p>
        </w:tc>
      </w:tr>
    </w:tbl>
    <w:p w:rsidR="000635DE" w:rsidRDefault="000635DE">
      <w:pPr>
        <w:rPr>
          <w:b/>
          <w:bCs/>
          <w:color w:val="FF0000"/>
        </w:rPr>
      </w:pPr>
    </w:p>
    <w:tbl>
      <w:tblPr>
        <w:tblStyle w:val="a1"/>
        <w:tblW w:w="15165" w:type="dxa"/>
        <w:tblInd w:w="-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60"/>
        <w:gridCol w:w="3585"/>
        <w:gridCol w:w="3059"/>
        <w:gridCol w:w="5161"/>
      </w:tblGrid>
      <w:tr w:rsidR="000635DE">
        <w:trPr>
          <w:tblHeader/>
        </w:trPr>
        <w:tc>
          <w:tcPr>
            <w:tcW w:w="3360" w:type="dxa"/>
            <w:shd w:val="clear" w:color="auto" w:fill="DEEAF6"/>
            <w:vAlign w:val="center"/>
          </w:tcPr>
          <w:p w:rsidR="000635DE" w:rsidRDefault="00A90B96">
            <w:pPr>
              <w:spacing w:after="0" w:line="240" w:lineRule="auto"/>
              <w:rPr>
                <w:rFonts w:ascii="Times New Roman" w:eastAsia="Times New Roman" w:hAnsi="Times New Roman" w:cs="Times New Roman"/>
                <w:b/>
                <w:bCs/>
                <w:sz w:val="21"/>
                <w:szCs w:val="21"/>
              </w:rPr>
            </w:pPr>
            <w:r>
              <w:rPr>
                <w:rFonts w:ascii="Times New Roman" w:eastAsia="Times New Roman" w:hAnsi="Times New Roman" w:cs="Times New Roman"/>
                <w:b/>
                <w:bCs/>
                <w:sz w:val="21"/>
                <w:szCs w:val="21"/>
              </w:rPr>
              <w:lastRenderedPageBreak/>
              <w:t>DESCRIÇÃO DO PROJECTO</w:t>
            </w:r>
          </w:p>
        </w:tc>
        <w:tc>
          <w:tcPr>
            <w:tcW w:w="3585" w:type="dxa"/>
            <w:shd w:val="clear" w:color="auto" w:fill="DEEAF6"/>
            <w:vAlign w:val="center"/>
          </w:tcPr>
          <w:p w:rsidR="000635DE" w:rsidRDefault="00A90B96">
            <w:pPr>
              <w:spacing w:after="0" w:line="240" w:lineRule="auto"/>
              <w:rPr>
                <w:rFonts w:ascii="Times New Roman" w:eastAsia="Times New Roman" w:hAnsi="Times New Roman" w:cs="Times New Roman"/>
                <w:b/>
                <w:bCs/>
                <w:sz w:val="21"/>
                <w:szCs w:val="21"/>
              </w:rPr>
            </w:pPr>
            <w:r>
              <w:rPr>
                <w:rFonts w:ascii="Times New Roman" w:eastAsia="Times New Roman" w:hAnsi="Times New Roman" w:cs="Times New Roman"/>
                <w:b/>
                <w:bCs/>
                <w:sz w:val="21"/>
                <w:szCs w:val="21"/>
              </w:rPr>
              <w:t xml:space="preserve">CONSTRANGIMENTOS </w:t>
            </w:r>
            <w:r>
              <w:rPr>
                <w:rFonts w:ascii="Times New Roman" w:eastAsia="Times New Roman" w:hAnsi="Times New Roman" w:cs="Times New Roman"/>
                <w:sz w:val="21"/>
                <w:szCs w:val="21"/>
              </w:rPr>
              <w:t>(</w:t>
            </w:r>
            <w:r>
              <w:rPr>
                <w:rFonts w:ascii="Times New Roman" w:eastAsia="Times New Roman" w:hAnsi="Times New Roman" w:cs="Times New Roman"/>
                <w:i/>
                <w:iCs/>
                <w:sz w:val="21"/>
                <w:szCs w:val="21"/>
              </w:rPr>
              <w:t>Riscos para Sustentabilidade Financeira</w:t>
            </w:r>
            <w:r>
              <w:rPr>
                <w:rFonts w:ascii="Times New Roman" w:eastAsia="Times New Roman" w:hAnsi="Times New Roman" w:cs="Times New Roman"/>
                <w:sz w:val="21"/>
                <w:szCs w:val="21"/>
              </w:rPr>
              <w:t>)</w:t>
            </w:r>
          </w:p>
        </w:tc>
        <w:tc>
          <w:tcPr>
            <w:tcW w:w="8220" w:type="dxa"/>
            <w:gridSpan w:val="2"/>
            <w:shd w:val="clear" w:color="auto" w:fill="DEEAF6"/>
            <w:vAlign w:val="center"/>
          </w:tcPr>
          <w:p w:rsidR="000635DE" w:rsidRDefault="00A90B96">
            <w:pPr>
              <w:spacing w:after="0" w:line="240" w:lineRule="auto"/>
              <w:rPr>
                <w:rFonts w:ascii="Times New Roman" w:eastAsia="Times New Roman" w:hAnsi="Times New Roman" w:cs="Times New Roman"/>
                <w:b/>
                <w:bCs/>
                <w:sz w:val="21"/>
                <w:szCs w:val="21"/>
              </w:rPr>
            </w:pPr>
            <w:r>
              <w:rPr>
                <w:rFonts w:ascii="Times New Roman" w:eastAsia="Times New Roman" w:hAnsi="Times New Roman" w:cs="Times New Roman"/>
                <w:b/>
                <w:bCs/>
                <w:sz w:val="21"/>
                <w:szCs w:val="21"/>
              </w:rPr>
              <w:t xml:space="preserve">BENEFICIOS </w:t>
            </w:r>
          </w:p>
        </w:tc>
      </w:tr>
      <w:tr w:rsidR="000635DE" w:rsidTr="002D7366">
        <w:trPr>
          <w:trHeight w:val="2426"/>
          <w:tblHeader/>
        </w:trPr>
        <w:tc>
          <w:tcPr>
            <w:tcW w:w="3360" w:type="dxa"/>
            <w:vAlign w:val="center"/>
          </w:tcPr>
          <w:p w:rsidR="000635DE" w:rsidRDefault="00A90B96">
            <w:pPr>
              <w:spacing w:after="0" w:line="240" w:lineRule="auto"/>
              <w:jc w:val="both"/>
              <w:rPr>
                <w:rFonts w:ascii="Times New Roman" w:eastAsia="Times New Roman" w:hAnsi="Times New Roman" w:cs="Times New Roman"/>
                <w:b/>
                <w:bCs/>
                <w:sz w:val="21"/>
                <w:szCs w:val="21"/>
              </w:rPr>
            </w:pPr>
            <w:r>
              <w:rPr>
                <w:rFonts w:ascii="Times New Roman" w:eastAsia="Times New Roman" w:hAnsi="Times New Roman" w:cs="Times New Roman"/>
                <w:b/>
                <w:bCs/>
                <w:color w:val="4472C4"/>
                <w:sz w:val="21"/>
                <w:szCs w:val="21"/>
              </w:rPr>
              <w:t xml:space="preserve">PROJECTO IV: </w:t>
            </w:r>
            <w:r>
              <w:rPr>
                <w:rFonts w:ascii="Times New Roman" w:eastAsia="Times New Roman" w:hAnsi="Times New Roman" w:cs="Times New Roman"/>
                <w:b/>
                <w:bCs/>
                <w:sz w:val="21"/>
                <w:szCs w:val="21"/>
              </w:rPr>
              <w:t>Implementação da Unidade Flutuante de Armazenamanto e Regaseificação (FSRU) na zona norte de Inhambane</w:t>
            </w:r>
          </w:p>
          <w:p w:rsidR="000635DE" w:rsidRDefault="00A90B96">
            <w:pPr>
              <w:spacing w:after="0" w:line="240" w:lineRule="auto"/>
              <w:jc w:val="both"/>
              <w:rPr>
                <w:rFonts w:ascii="Times New Roman" w:eastAsia="Times New Roman" w:hAnsi="Times New Roman" w:cs="Times New Roman"/>
                <w:b/>
                <w:bCs/>
                <w:sz w:val="21"/>
                <w:szCs w:val="21"/>
              </w:rPr>
            </w:pPr>
            <w:r>
              <w:rPr>
                <w:rFonts w:ascii="Times New Roman" w:eastAsia="Times New Roman" w:hAnsi="Times New Roman" w:cs="Times New Roman"/>
                <w:sz w:val="21"/>
                <w:szCs w:val="21"/>
              </w:rPr>
              <w:br/>
            </w:r>
            <w:r>
              <w:rPr>
                <w:rFonts w:ascii="Times New Roman" w:eastAsia="Times New Roman" w:hAnsi="Times New Roman" w:cs="Times New Roman"/>
                <w:i/>
                <w:iCs/>
                <w:sz w:val="21"/>
                <w:szCs w:val="21"/>
              </w:rPr>
              <w:t>A FSRU converterá GNL dos projectos de exploração da bacia do Rovuma em gás natural, dando suporte às centrais a gás existentes e futuras, à medida que as reservas de Pande/Temane (PPA) se esgotam e novas centrais são construídas.</w:t>
            </w:r>
          </w:p>
        </w:tc>
        <w:tc>
          <w:tcPr>
            <w:tcW w:w="3585" w:type="dxa"/>
            <w:vAlign w:val="center"/>
          </w:tcPr>
          <w:p w:rsidR="000635DE" w:rsidRDefault="00A90B96">
            <w:pPr>
              <w:numPr>
                <w:ilvl w:val="0"/>
                <w:numId w:val="31"/>
              </w:numPr>
              <w:pBdr>
                <w:top w:val="nil"/>
                <w:left w:val="nil"/>
                <w:bottom w:val="nil"/>
                <w:right w:val="nil"/>
                <w:between w:val="nil"/>
              </w:pBdr>
              <w:spacing w:after="0" w:line="240" w:lineRule="auto"/>
              <w:ind w:left="282" w:hanging="283"/>
              <w:jc w:val="both"/>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Risco de paralisação das centrais existentes (CTRG, KUVANINGA, CTM, GIGAWATT) após o esgotamento do gás do PPA de Temane previsto para depois de 2028, colocando em causa 450MW de capacidade instalada</w:t>
            </w:r>
          </w:p>
          <w:p w:rsidR="000635DE" w:rsidRDefault="00A90B96">
            <w:pPr>
              <w:numPr>
                <w:ilvl w:val="0"/>
                <w:numId w:val="31"/>
              </w:numPr>
              <w:pBdr>
                <w:top w:val="nil"/>
                <w:left w:val="nil"/>
                <w:bottom w:val="nil"/>
                <w:right w:val="nil"/>
                <w:between w:val="nil"/>
              </w:pBdr>
              <w:spacing w:after="0" w:line="240" w:lineRule="auto"/>
              <w:ind w:left="282" w:hanging="283"/>
              <w:jc w:val="both"/>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Riscos sobre as possibilidades de monetização do gás doméstico, visto ser disponibilizado em forma de GNL, associados a falta de infraestruturas/pipeline de gás no País;</w:t>
            </w:r>
          </w:p>
          <w:p w:rsidR="000635DE" w:rsidRDefault="00A90B96">
            <w:pPr>
              <w:numPr>
                <w:ilvl w:val="0"/>
                <w:numId w:val="31"/>
              </w:numPr>
              <w:pBdr>
                <w:top w:val="nil"/>
                <w:left w:val="nil"/>
                <w:bottom w:val="nil"/>
                <w:right w:val="nil"/>
                <w:between w:val="nil"/>
              </w:pBdr>
              <w:spacing w:after="0" w:line="240" w:lineRule="auto"/>
              <w:ind w:left="282" w:hanging="283"/>
              <w:jc w:val="both"/>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 xml:space="preserve">Incerteza </w:t>
            </w:r>
            <w:r>
              <w:rPr>
                <w:rFonts w:ascii="Times New Roman" w:eastAsia="Times New Roman" w:hAnsi="Times New Roman" w:cs="Times New Roman"/>
                <w:sz w:val="21"/>
                <w:szCs w:val="21"/>
              </w:rPr>
              <w:t>sobre a alocação</w:t>
            </w:r>
            <w:r>
              <w:rPr>
                <w:rFonts w:ascii="Times New Roman" w:eastAsia="Times New Roman" w:hAnsi="Times New Roman" w:cs="Times New Roman"/>
                <w:color w:val="000000"/>
                <w:sz w:val="21"/>
                <w:szCs w:val="21"/>
              </w:rPr>
              <w:t xml:space="preserve"> de 10% da quota doméstica do gás do Rovuma para a produção de energia eléctrica.</w:t>
            </w:r>
          </w:p>
        </w:tc>
        <w:tc>
          <w:tcPr>
            <w:tcW w:w="3059" w:type="dxa"/>
            <w:tcBorders>
              <w:right w:val="single" w:sz="4" w:space="0" w:color="000000"/>
            </w:tcBorders>
            <w:vAlign w:val="center"/>
          </w:tcPr>
          <w:p w:rsidR="000635DE" w:rsidRDefault="00A90B96">
            <w:pPr>
              <w:numPr>
                <w:ilvl w:val="0"/>
                <w:numId w:val="15"/>
              </w:numPr>
              <w:spacing w:after="0" w:line="240" w:lineRule="auto"/>
              <w:ind w:left="388" w:right="103" w:hanging="332"/>
              <w:jc w:val="both"/>
              <w:rPr>
                <w:rFonts w:ascii="Times New Roman" w:eastAsia="Times New Roman" w:hAnsi="Times New Roman" w:cs="Times New Roman"/>
                <w:sz w:val="21"/>
                <w:szCs w:val="21"/>
              </w:rPr>
            </w:pPr>
            <w:r>
              <w:rPr>
                <w:rFonts w:ascii="Times New Roman" w:eastAsia="Times New Roman" w:hAnsi="Times New Roman" w:cs="Times New Roman"/>
                <w:sz w:val="21"/>
                <w:szCs w:val="21"/>
              </w:rPr>
              <w:t>Permite o uso de GNL para o fornecimento de gás doméstico e geração de energia.</w:t>
            </w:r>
          </w:p>
          <w:p w:rsidR="000635DE" w:rsidRDefault="00A90B96">
            <w:pPr>
              <w:numPr>
                <w:ilvl w:val="0"/>
                <w:numId w:val="15"/>
              </w:numPr>
              <w:spacing w:after="0" w:line="240" w:lineRule="auto"/>
              <w:ind w:left="388" w:right="103" w:hanging="332"/>
              <w:jc w:val="both"/>
              <w:rPr>
                <w:rFonts w:ascii="Times New Roman" w:eastAsia="Times New Roman" w:hAnsi="Times New Roman" w:cs="Times New Roman"/>
                <w:sz w:val="21"/>
                <w:szCs w:val="21"/>
              </w:rPr>
            </w:pPr>
            <w:r>
              <w:rPr>
                <w:rFonts w:ascii="Times New Roman" w:eastAsia="Times New Roman" w:hAnsi="Times New Roman" w:cs="Times New Roman"/>
                <w:sz w:val="21"/>
                <w:szCs w:val="21"/>
              </w:rPr>
              <w:t>Apoia a continuidade das Centrais a gás após o esgotamento do PPA nos próximos 3 a 5 anos.</w:t>
            </w:r>
          </w:p>
          <w:p w:rsidR="000635DE" w:rsidRDefault="00A90B96">
            <w:pPr>
              <w:numPr>
                <w:ilvl w:val="0"/>
                <w:numId w:val="15"/>
              </w:numPr>
              <w:spacing w:after="0" w:line="240" w:lineRule="auto"/>
              <w:ind w:left="388" w:right="103" w:hanging="332"/>
              <w:jc w:val="both"/>
              <w:rPr>
                <w:rFonts w:ascii="Times New Roman" w:eastAsia="Times New Roman" w:hAnsi="Times New Roman" w:cs="Times New Roman"/>
                <w:sz w:val="21"/>
                <w:szCs w:val="21"/>
              </w:rPr>
            </w:pPr>
            <w:r>
              <w:rPr>
                <w:rFonts w:ascii="Times New Roman" w:eastAsia="Times New Roman" w:hAnsi="Times New Roman" w:cs="Times New Roman"/>
                <w:sz w:val="21"/>
                <w:szCs w:val="21"/>
              </w:rPr>
              <w:t>Infraestrutura estratégica para viabilizar a  utilização de (até) 25% de gás doméstico da Área 4 da Bacia do Rovuma.</w:t>
            </w:r>
          </w:p>
          <w:p w:rsidR="000635DE" w:rsidRDefault="00A90B96">
            <w:pPr>
              <w:numPr>
                <w:ilvl w:val="0"/>
                <w:numId w:val="15"/>
              </w:numPr>
              <w:pBdr>
                <w:top w:val="nil"/>
                <w:left w:val="nil"/>
                <w:bottom w:val="nil"/>
                <w:right w:val="nil"/>
                <w:between w:val="nil"/>
              </w:pBdr>
              <w:spacing w:after="0" w:line="240" w:lineRule="auto"/>
              <w:ind w:left="388" w:right="103" w:hanging="332"/>
              <w:jc w:val="both"/>
              <w:rPr>
                <w:rFonts w:ascii="Times New Roman" w:eastAsia="Times New Roman" w:hAnsi="Times New Roman" w:cs="Times New Roman"/>
                <w:b/>
                <w:bCs/>
                <w:color w:val="000000"/>
                <w:sz w:val="21"/>
                <w:szCs w:val="21"/>
              </w:rPr>
            </w:pPr>
            <w:r>
              <w:rPr>
                <w:rFonts w:ascii="Times New Roman" w:eastAsia="Times New Roman" w:hAnsi="Times New Roman" w:cs="Times New Roman"/>
                <w:color w:val="000000"/>
                <w:sz w:val="21"/>
                <w:szCs w:val="21"/>
              </w:rPr>
              <w:t>Atrai investimentos para os sub-sectores de gás, electricidade e outros afins, elevando a bandeira de Moçambique no mapa global sobre a industria de processamento e consumo do gás natural.</w:t>
            </w:r>
          </w:p>
        </w:tc>
        <w:tc>
          <w:tcPr>
            <w:tcW w:w="5161" w:type="dxa"/>
            <w:tcBorders>
              <w:left w:val="single" w:sz="4" w:space="0" w:color="000000"/>
            </w:tcBorders>
            <w:vAlign w:val="center"/>
          </w:tcPr>
          <w:p w:rsidR="000635DE" w:rsidRDefault="00A90B96">
            <w:pPr>
              <w:spacing w:after="0" w:line="240" w:lineRule="auto"/>
              <w:rPr>
                <w:rFonts w:ascii="Times New Roman" w:eastAsia="Times New Roman" w:hAnsi="Times New Roman" w:cs="Times New Roman"/>
                <w:b/>
                <w:bCs/>
                <w:sz w:val="21"/>
                <w:szCs w:val="21"/>
              </w:rPr>
            </w:pPr>
            <w:r>
              <w:rPr>
                <w:rFonts w:ascii="Times New Roman" w:eastAsia="Times New Roman" w:hAnsi="Times New Roman" w:cs="Times New Roman"/>
                <w:b/>
                <w:bCs/>
                <w:sz w:val="21"/>
                <w:szCs w:val="21"/>
              </w:rPr>
              <w:t>PONTO DE SITUAÇÃO:</w:t>
            </w:r>
          </w:p>
          <w:p w:rsidR="000635DE" w:rsidRDefault="00A90B96">
            <w:pPr>
              <w:numPr>
                <w:ilvl w:val="0"/>
                <w:numId w:val="7"/>
              </w:numPr>
              <w:spacing w:after="0" w:line="240"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Assinado SHA e  (JDA) entre as empresas EDM, ENH, CFM  e HCB;</w:t>
            </w:r>
          </w:p>
          <w:p w:rsidR="000635DE" w:rsidRDefault="00595571">
            <w:pPr>
              <w:numPr>
                <w:ilvl w:val="0"/>
                <w:numId w:val="7"/>
              </w:numPr>
              <w:spacing w:after="0" w:line="240"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Constituidos os Comitês de Gestão, Técnico</w:t>
            </w:r>
            <w:r w:rsidR="00A90B96">
              <w:rPr>
                <w:rFonts w:ascii="Times New Roman" w:eastAsia="Times New Roman" w:hAnsi="Times New Roman" w:cs="Times New Roman"/>
                <w:sz w:val="21"/>
                <w:szCs w:val="21"/>
              </w:rPr>
              <w:t xml:space="preserve"> e a Unidade de Implementação do Projecto;</w:t>
            </w:r>
          </w:p>
          <w:p w:rsidR="000635DE" w:rsidRDefault="00A90B96" w:rsidP="00A90B96">
            <w:pPr>
              <w:numPr>
                <w:ilvl w:val="0"/>
                <w:numId w:val="7"/>
              </w:numPr>
              <w:spacing w:after="0" w:line="240"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Em curso a constituição do Veiculo de Propósito Específico ( SLIGM.)</w:t>
            </w:r>
          </w:p>
        </w:tc>
      </w:tr>
      <w:tr w:rsidR="000635DE" w:rsidTr="002D7366">
        <w:trPr>
          <w:trHeight w:val="2201"/>
          <w:tblHeader/>
        </w:trPr>
        <w:tc>
          <w:tcPr>
            <w:tcW w:w="3360" w:type="dxa"/>
            <w:vAlign w:val="center"/>
          </w:tcPr>
          <w:p w:rsidR="000635DE" w:rsidRDefault="00A90B96">
            <w:pPr>
              <w:spacing w:after="0" w:line="240" w:lineRule="auto"/>
              <w:rPr>
                <w:rFonts w:ascii="Times New Roman" w:eastAsia="Times New Roman" w:hAnsi="Times New Roman" w:cs="Times New Roman"/>
                <w:b/>
                <w:bCs/>
                <w:sz w:val="21"/>
                <w:szCs w:val="21"/>
              </w:rPr>
            </w:pPr>
            <w:r>
              <w:rPr>
                <w:rFonts w:ascii="Times New Roman" w:eastAsia="Times New Roman" w:hAnsi="Times New Roman" w:cs="Times New Roman"/>
                <w:b/>
                <w:bCs/>
                <w:color w:val="4472C4"/>
                <w:sz w:val="21"/>
                <w:szCs w:val="21"/>
              </w:rPr>
              <w:t xml:space="preserve">PROJECTO V: </w:t>
            </w:r>
            <w:r>
              <w:rPr>
                <w:rFonts w:ascii="Times New Roman" w:eastAsia="Times New Roman" w:hAnsi="Times New Roman" w:cs="Times New Roman"/>
                <w:b/>
                <w:bCs/>
                <w:sz w:val="21"/>
                <w:szCs w:val="21"/>
              </w:rPr>
              <w:t>Linha de Interligação Moçambique – Zâmbia (MOZA) – 400 kV, 370 km</w:t>
            </w:r>
          </w:p>
          <w:p w:rsidR="000635DE" w:rsidRDefault="00A90B96">
            <w:pPr>
              <w:spacing w:after="0" w:line="240" w:lineRule="auto"/>
              <w:jc w:val="both"/>
              <w:rPr>
                <w:rFonts w:ascii="Times New Roman" w:eastAsia="Times New Roman" w:hAnsi="Times New Roman" w:cs="Times New Roman"/>
                <w:i/>
                <w:iCs/>
                <w:sz w:val="21"/>
                <w:szCs w:val="21"/>
              </w:rPr>
            </w:pPr>
            <w:r>
              <w:rPr>
                <w:rFonts w:ascii="Times New Roman" w:eastAsia="Times New Roman" w:hAnsi="Times New Roman" w:cs="Times New Roman"/>
                <w:sz w:val="21"/>
                <w:szCs w:val="21"/>
              </w:rPr>
              <w:br/>
            </w:r>
            <w:r>
              <w:rPr>
                <w:rFonts w:ascii="Times New Roman" w:eastAsia="Times New Roman" w:hAnsi="Times New Roman" w:cs="Times New Roman"/>
                <w:i/>
                <w:iCs/>
                <w:sz w:val="21"/>
                <w:szCs w:val="21"/>
              </w:rPr>
              <w:t xml:space="preserve">Linha estratégica de 400 kV conectando a Subestação de Matambo (Moçambique) a Chipata Oeste (Zâmbia) para exportar energia para Zâmbia e República Democrática do Congo, sendo a Zâmbia actualmente o maior mercado de exportação da EDM, mas sem interligação directa, o que limita a capacidade transacional. </w:t>
            </w:r>
          </w:p>
          <w:p w:rsidR="000635DE" w:rsidRDefault="000635DE">
            <w:pPr>
              <w:spacing w:after="0" w:line="240" w:lineRule="auto"/>
              <w:ind w:left="708"/>
              <w:rPr>
                <w:rFonts w:ascii="Times New Roman" w:eastAsia="Times New Roman" w:hAnsi="Times New Roman" w:cs="Times New Roman"/>
                <w:sz w:val="21"/>
                <w:szCs w:val="21"/>
              </w:rPr>
            </w:pPr>
          </w:p>
        </w:tc>
        <w:tc>
          <w:tcPr>
            <w:tcW w:w="3585" w:type="dxa"/>
            <w:vAlign w:val="center"/>
          </w:tcPr>
          <w:p w:rsidR="000635DE" w:rsidRDefault="00A90B96">
            <w:pPr>
              <w:numPr>
                <w:ilvl w:val="0"/>
                <w:numId w:val="35"/>
              </w:numPr>
              <w:pBdr>
                <w:top w:val="nil"/>
                <w:left w:val="nil"/>
                <w:bottom w:val="nil"/>
                <w:right w:val="nil"/>
                <w:between w:val="nil"/>
              </w:pBdr>
              <w:spacing w:after="0" w:line="240" w:lineRule="auto"/>
              <w:ind w:left="282" w:hanging="296"/>
              <w:jc w:val="both"/>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Perda de oportunidades de exploração do maior mercado de exportação bilateral da Zâmbia e RDC, devido a industria mineira em crescimento.</w:t>
            </w:r>
          </w:p>
          <w:p w:rsidR="000635DE" w:rsidRDefault="00A90B96">
            <w:pPr>
              <w:numPr>
                <w:ilvl w:val="0"/>
                <w:numId w:val="35"/>
              </w:numPr>
              <w:pBdr>
                <w:top w:val="nil"/>
                <w:left w:val="nil"/>
                <w:bottom w:val="nil"/>
                <w:right w:val="nil"/>
                <w:between w:val="nil"/>
              </w:pBdr>
              <w:spacing w:after="0" w:line="240" w:lineRule="auto"/>
              <w:ind w:left="282" w:hanging="296"/>
              <w:jc w:val="both"/>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Falta de um modelo de financiamento rápido e competitivo.</w:t>
            </w:r>
          </w:p>
          <w:p w:rsidR="000635DE" w:rsidRDefault="00A90B96">
            <w:pPr>
              <w:numPr>
                <w:ilvl w:val="0"/>
                <w:numId w:val="35"/>
              </w:numPr>
              <w:pBdr>
                <w:top w:val="nil"/>
                <w:left w:val="nil"/>
                <w:bottom w:val="nil"/>
                <w:right w:val="nil"/>
                <w:between w:val="nil"/>
              </w:pBdr>
              <w:spacing w:after="0" w:line="240" w:lineRule="auto"/>
              <w:ind w:left="282" w:hanging="296"/>
              <w:jc w:val="both"/>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Risco de perda de oportunidades comerciais com o surgimento de competidores nos Países vizinhos.</w:t>
            </w:r>
          </w:p>
          <w:p w:rsidR="000635DE" w:rsidRDefault="00A90B96">
            <w:pPr>
              <w:numPr>
                <w:ilvl w:val="0"/>
                <w:numId w:val="35"/>
              </w:numPr>
              <w:pBdr>
                <w:top w:val="nil"/>
                <w:left w:val="nil"/>
                <w:bottom w:val="nil"/>
                <w:right w:val="nil"/>
                <w:between w:val="nil"/>
              </w:pBdr>
              <w:spacing w:after="0" w:line="240" w:lineRule="auto"/>
              <w:ind w:left="282" w:hanging="296"/>
              <w:jc w:val="both"/>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Modelo concessional ou PPP indefinido.</w:t>
            </w:r>
          </w:p>
          <w:p w:rsidR="000635DE" w:rsidRDefault="00A90B96">
            <w:pPr>
              <w:numPr>
                <w:ilvl w:val="0"/>
                <w:numId w:val="35"/>
              </w:numPr>
              <w:pBdr>
                <w:top w:val="nil"/>
                <w:left w:val="nil"/>
                <w:bottom w:val="nil"/>
                <w:right w:val="nil"/>
                <w:between w:val="nil"/>
              </w:pBdr>
              <w:spacing w:after="0" w:line="240" w:lineRule="auto"/>
              <w:ind w:left="282" w:hanging="296"/>
              <w:jc w:val="both"/>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Requer forte coordenação multissectorial e transnacional.</w:t>
            </w:r>
          </w:p>
        </w:tc>
        <w:tc>
          <w:tcPr>
            <w:tcW w:w="3059" w:type="dxa"/>
            <w:tcBorders>
              <w:right w:val="single" w:sz="4" w:space="0" w:color="000000"/>
            </w:tcBorders>
            <w:vAlign w:val="center"/>
          </w:tcPr>
          <w:p w:rsidR="000635DE" w:rsidRDefault="00A90B96">
            <w:pPr>
              <w:spacing w:after="0" w:line="240" w:lineRule="auto"/>
              <w:jc w:val="both"/>
              <w:rPr>
                <w:rFonts w:ascii="Times New Roman" w:eastAsia="Times New Roman" w:hAnsi="Times New Roman" w:cs="Times New Roman"/>
                <w:sz w:val="21"/>
                <w:szCs w:val="21"/>
              </w:rPr>
            </w:pPr>
            <w:r>
              <w:rPr>
                <w:rFonts w:ascii="Times New Roman" w:eastAsia="Times New Roman" w:hAnsi="Times New Roman" w:cs="Times New Roman"/>
                <w:sz w:val="21"/>
                <w:szCs w:val="21"/>
              </w:rPr>
              <w:t>Sendo a Zâmbia um Pais de fronteira, a interligação permite a exportação directa de energia para a Zâmbia e a República Democrática do Congo, evitando competitividade do corredor por via do Zimbabwe.</w:t>
            </w:r>
          </w:p>
          <w:p w:rsidR="000635DE" w:rsidRDefault="00A90B96">
            <w:pPr>
              <w:numPr>
                <w:ilvl w:val="0"/>
                <w:numId w:val="12"/>
              </w:numPr>
              <w:spacing w:after="0" w:line="240" w:lineRule="auto"/>
              <w:ind w:left="388"/>
              <w:jc w:val="both"/>
              <w:rPr>
                <w:rFonts w:ascii="Times New Roman" w:eastAsia="Times New Roman" w:hAnsi="Times New Roman" w:cs="Times New Roman"/>
                <w:sz w:val="21"/>
                <w:szCs w:val="21"/>
              </w:rPr>
            </w:pPr>
            <w:r>
              <w:rPr>
                <w:rFonts w:ascii="Times New Roman" w:eastAsia="Times New Roman" w:hAnsi="Times New Roman" w:cs="Times New Roman"/>
                <w:sz w:val="21"/>
                <w:szCs w:val="21"/>
              </w:rPr>
              <w:t>Posiciona Moçambique como um polo energético regional e viabiliza a implementação dos projectos de geração na Província de Tete.</w:t>
            </w:r>
          </w:p>
          <w:p w:rsidR="000635DE" w:rsidRDefault="00A90B96">
            <w:pPr>
              <w:numPr>
                <w:ilvl w:val="0"/>
                <w:numId w:val="12"/>
              </w:numPr>
              <w:spacing w:after="0" w:line="240" w:lineRule="auto"/>
              <w:ind w:left="388"/>
              <w:jc w:val="both"/>
              <w:rPr>
                <w:rFonts w:ascii="Times New Roman" w:eastAsia="Times New Roman" w:hAnsi="Times New Roman" w:cs="Times New Roman"/>
                <w:sz w:val="21"/>
                <w:szCs w:val="21"/>
              </w:rPr>
            </w:pPr>
            <w:r>
              <w:rPr>
                <w:rFonts w:ascii="Times New Roman" w:eastAsia="Times New Roman" w:hAnsi="Times New Roman" w:cs="Times New Roman"/>
                <w:sz w:val="21"/>
                <w:szCs w:val="21"/>
              </w:rPr>
              <w:t>Reduz a dependência da infraestrutura obsoleta e congestionada do Zimbábue, corredor único para a transmissão da energia para a Zâmbia e RDC.</w:t>
            </w:r>
          </w:p>
          <w:p w:rsidR="000635DE" w:rsidRDefault="00A90B96">
            <w:pPr>
              <w:numPr>
                <w:ilvl w:val="0"/>
                <w:numId w:val="12"/>
              </w:numPr>
              <w:pBdr>
                <w:top w:val="nil"/>
                <w:left w:val="nil"/>
                <w:bottom w:val="nil"/>
                <w:right w:val="nil"/>
                <w:between w:val="nil"/>
              </w:pBdr>
              <w:spacing w:after="0" w:line="240" w:lineRule="auto"/>
              <w:ind w:left="388"/>
              <w:jc w:val="both"/>
              <w:rPr>
                <w:rFonts w:ascii="Times New Roman" w:eastAsia="Times New Roman" w:hAnsi="Times New Roman" w:cs="Times New Roman"/>
                <w:i/>
                <w:iCs/>
                <w:color w:val="000000"/>
                <w:sz w:val="21"/>
                <w:szCs w:val="21"/>
              </w:rPr>
            </w:pPr>
            <w:r>
              <w:rPr>
                <w:rFonts w:ascii="Times New Roman" w:eastAsia="Times New Roman" w:hAnsi="Times New Roman" w:cs="Times New Roman"/>
                <w:color w:val="000000"/>
                <w:sz w:val="21"/>
                <w:szCs w:val="21"/>
              </w:rPr>
              <w:t>Resposta a demanda elevada do sector de mineração nos referidos Países.</w:t>
            </w:r>
          </w:p>
        </w:tc>
        <w:tc>
          <w:tcPr>
            <w:tcW w:w="5161" w:type="dxa"/>
            <w:tcBorders>
              <w:left w:val="single" w:sz="4" w:space="0" w:color="000000"/>
            </w:tcBorders>
            <w:vAlign w:val="center"/>
          </w:tcPr>
          <w:p w:rsidR="000635DE" w:rsidRDefault="00A90B96">
            <w:pPr>
              <w:spacing w:after="0" w:line="240" w:lineRule="auto"/>
              <w:rPr>
                <w:rFonts w:ascii="Times New Roman" w:eastAsia="Times New Roman" w:hAnsi="Times New Roman" w:cs="Times New Roman"/>
                <w:b/>
                <w:bCs/>
                <w:sz w:val="21"/>
                <w:szCs w:val="21"/>
              </w:rPr>
            </w:pPr>
            <w:r>
              <w:rPr>
                <w:rFonts w:ascii="Times New Roman" w:eastAsia="Times New Roman" w:hAnsi="Times New Roman" w:cs="Times New Roman"/>
                <w:b/>
                <w:bCs/>
                <w:sz w:val="21"/>
                <w:szCs w:val="21"/>
              </w:rPr>
              <w:t>PONTO DE SITUAÇÃO:</w:t>
            </w:r>
          </w:p>
          <w:p w:rsidR="000635DE" w:rsidRDefault="000635DE">
            <w:pPr>
              <w:spacing w:after="0" w:line="240" w:lineRule="auto"/>
              <w:jc w:val="both"/>
              <w:rPr>
                <w:rFonts w:ascii="Times New Roman" w:eastAsia="Times New Roman" w:hAnsi="Times New Roman" w:cs="Times New Roman"/>
                <w:i/>
                <w:iCs/>
                <w:sz w:val="21"/>
                <w:szCs w:val="21"/>
              </w:rPr>
            </w:pPr>
          </w:p>
          <w:p w:rsidR="000635DE" w:rsidRDefault="00A90B96">
            <w:pPr>
              <w:numPr>
                <w:ilvl w:val="0"/>
                <w:numId w:val="42"/>
              </w:numPr>
              <w:spacing w:after="0" w:line="240" w:lineRule="auto"/>
              <w:jc w:val="both"/>
              <w:rPr>
                <w:rFonts w:ascii="Times New Roman" w:eastAsia="Times New Roman" w:hAnsi="Times New Roman" w:cs="Times New Roman"/>
                <w:i/>
                <w:iCs/>
                <w:sz w:val="21"/>
                <w:szCs w:val="21"/>
              </w:rPr>
            </w:pPr>
            <w:r>
              <w:rPr>
                <w:rFonts w:ascii="Times New Roman" w:eastAsia="Times New Roman" w:hAnsi="Times New Roman" w:cs="Times New Roman"/>
                <w:i/>
                <w:iCs/>
                <w:sz w:val="21"/>
                <w:szCs w:val="21"/>
              </w:rPr>
              <w:t>Assinados os Acordos Intergovernamentais entre o GoM e GoZA</w:t>
            </w:r>
          </w:p>
          <w:p w:rsidR="000635DE" w:rsidRDefault="00A90B96">
            <w:pPr>
              <w:numPr>
                <w:ilvl w:val="0"/>
                <w:numId w:val="42"/>
              </w:numPr>
              <w:spacing w:after="0" w:line="240" w:lineRule="auto"/>
              <w:jc w:val="both"/>
              <w:rPr>
                <w:rFonts w:ascii="Times New Roman" w:eastAsia="Times New Roman" w:hAnsi="Times New Roman" w:cs="Times New Roman"/>
                <w:i/>
                <w:iCs/>
                <w:sz w:val="21"/>
                <w:szCs w:val="21"/>
              </w:rPr>
            </w:pPr>
            <w:r>
              <w:rPr>
                <w:rFonts w:ascii="Times New Roman" w:eastAsia="Times New Roman" w:hAnsi="Times New Roman" w:cs="Times New Roman"/>
                <w:i/>
                <w:iCs/>
                <w:sz w:val="21"/>
                <w:szCs w:val="21"/>
              </w:rPr>
              <w:t>Celebrado o Acordo de Empresas entre  a EDM e a ZESCO para liderar o processo de desenvolvimento e implementação do projecto.</w:t>
            </w:r>
          </w:p>
          <w:p w:rsidR="000635DE" w:rsidRDefault="000635DE">
            <w:pPr>
              <w:spacing w:after="0" w:line="240" w:lineRule="auto"/>
              <w:jc w:val="both"/>
              <w:rPr>
                <w:rFonts w:ascii="Times New Roman" w:eastAsia="Times New Roman" w:hAnsi="Times New Roman" w:cs="Times New Roman"/>
                <w:i/>
                <w:iCs/>
                <w:sz w:val="21"/>
                <w:szCs w:val="21"/>
              </w:rPr>
            </w:pPr>
          </w:p>
          <w:p w:rsidR="000635DE" w:rsidRDefault="00A90B96">
            <w:pPr>
              <w:numPr>
                <w:ilvl w:val="0"/>
                <w:numId w:val="3"/>
              </w:numPr>
              <w:spacing w:after="0" w:line="240" w:lineRule="auto"/>
              <w:jc w:val="both"/>
              <w:rPr>
                <w:rFonts w:ascii="Times New Roman" w:eastAsia="Times New Roman" w:hAnsi="Times New Roman" w:cs="Times New Roman"/>
                <w:i/>
                <w:iCs/>
                <w:sz w:val="21"/>
                <w:szCs w:val="21"/>
              </w:rPr>
            </w:pPr>
            <w:r>
              <w:rPr>
                <w:rFonts w:ascii="Times New Roman" w:eastAsia="Times New Roman" w:hAnsi="Times New Roman" w:cs="Times New Roman"/>
                <w:i/>
                <w:iCs/>
                <w:sz w:val="21"/>
                <w:szCs w:val="21"/>
              </w:rPr>
              <w:t>A conclusão do estudo de avaliação de mercado, bem como a definição do modelo de implementação do projecto,  está prevista para o último trimestre deste 2026.</w:t>
            </w:r>
          </w:p>
        </w:tc>
      </w:tr>
      <w:tr w:rsidR="000635DE" w:rsidTr="002D7366">
        <w:trPr>
          <w:trHeight w:val="2201"/>
          <w:tblHeader/>
        </w:trPr>
        <w:tc>
          <w:tcPr>
            <w:tcW w:w="3360" w:type="dxa"/>
            <w:vAlign w:val="center"/>
          </w:tcPr>
          <w:p w:rsidR="000635DE" w:rsidRDefault="00A90B96">
            <w:pPr>
              <w:spacing w:after="0" w:line="240" w:lineRule="auto"/>
              <w:rPr>
                <w:rFonts w:ascii="Times New Roman" w:eastAsia="Times New Roman" w:hAnsi="Times New Roman" w:cs="Times New Roman"/>
                <w:b/>
                <w:bCs/>
                <w:color w:val="000000"/>
                <w:sz w:val="21"/>
                <w:szCs w:val="21"/>
              </w:rPr>
            </w:pPr>
            <w:r>
              <w:rPr>
                <w:rFonts w:ascii="Times New Roman" w:eastAsia="Times New Roman" w:hAnsi="Times New Roman" w:cs="Times New Roman"/>
                <w:b/>
                <w:bCs/>
                <w:color w:val="4472C4"/>
                <w:sz w:val="21"/>
                <w:szCs w:val="21"/>
              </w:rPr>
              <w:lastRenderedPageBreak/>
              <w:t xml:space="preserve">PROJECTO VI: </w:t>
            </w:r>
            <w:r>
              <w:rPr>
                <w:rFonts w:ascii="Times New Roman" w:eastAsia="Times New Roman" w:hAnsi="Times New Roman" w:cs="Times New Roman"/>
                <w:b/>
                <w:bCs/>
                <w:sz w:val="21"/>
                <w:szCs w:val="21"/>
              </w:rPr>
              <w:t>Linha de Interligação Moçambique – Malawi (MOMA) – 400 kV, 218 km</w:t>
            </w:r>
          </w:p>
        </w:tc>
        <w:tc>
          <w:tcPr>
            <w:tcW w:w="3585" w:type="dxa"/>
            <w:vAlign w:val="center"/>
          </w:tcPr>
          <w:p w:rsidR="000635DE" w:rsidRDefault="00A90B96">
            <w:pPr>
              <w:pBdr>
                <w:top w:val="nil"/>
                <w:left w:val="nil"/>
                <w:bottom w:val="nil"/>
                <w:right w:val="nil"/>
                <w:between w:val="nil"/>
              </w:pBdr>
              <w:spacing w:after="0" w:line="240" w:lineRule="auto"/>
              <w:rPr>
                <w:rFonts w:ascii="Times New Roman" w:eastAsia="Times New Roman" w:hAnsi="Times New Roman" w:cs="Times New Roman"/>
                <w:color w:val="000000"/>
                <w:sz w:val="21"/>
                <w:szCs w:val="21"/>
              </w:rPr>
            </w:pPr>
            <w:r>
              <w:rPr>
                <w:rFonts w:ascii="Times New Roman" w:eastAsia="Times New Roman" w:hAnsi="Times New Roman" w:cs="Times New Roman"/>
                <w:sz w:val="21"/>
                <w:szCs w:val="21"/>
              </w:rPr>
              <w:t xml:space="preserve">1. Garantir a plena operacionalização e utilização da interligação, incluindo a coordenação EDM–ESCOM, testes finais, protecção, controlo, telecomunicações, medição e despacho.                               2.Assegurar disponibilidade de geração e capacidade de transferência suficientes, bem como acordos comerciais que permitam utilizar de forma eficiente a capacidade da MOMA  </w:t>
            </w:r>
          </w:p>
        </w:tc>
        <w:tc>
          <w:tcPr>
            <w:tcW w:w="3059" w:type="dxa"/>
            <w:tcBorders>
              <w:right w:val="single" w:sz="4" w:space="0" w:color="000000"/>
            </w:tcBorders>
            <w:vAlign w:val="center"/>
          </w:tcPr>
          <w:p w:rsidR="000635DE" w:rsidRDefault="00A90B96">
            <w:pPr>
              <w:spacing w:after="0" w:line="240"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 xml:space="preserve">1.Reforça a segurança e confiabilidade do fornecimento de energia e aumenta a capacidade de intercâmbio entre Moçambique e Malawi.                                                                                                                 2.Facilita o comércio regional de energia no SAPP e permite a optimização dos recursos de geração dos dois países. </w:t>
            </w:r>
          </w:p>
        </w:tc>
        <w:tc>
          <w:tcPr>
            <w:tcW w:w="5161" w:type="dxa"/>
            <w:tcBorders>
              <w:left w:val="single" w:sz="4" w:space="0" w:color="000000"/>
            </w:tcBorders>
            <w:vAlign w:val="center"/>
          </w:tcPr>
          <w:p w:rsidR="000635DE" w:rsidRDefault="00A90B96">
            <w:pPr>
              <w:numPr>
                <w:ilvl w:val="0"/>
                <w:numId w:val="5"/>
              </w:numPr>
              <w:spacing w:after="0"/>
              <w:jc w:val="both"/>
              <w:rPr>
                <w:rFonts w:ascii="Times New Roman" w:eastAsia="Times New Roman" w:hAnsi="Times New Roman" w:cs="Times New Roman"/>
                <w:sz w:val="21"/>
                <w:szCs w:val="21"/>
              </w:rPr>
            </w:pPr>
            <w:r>
              <w:rPr>
                <w:rFonts w:ascii="Times New Roman" w:eastAsia="Times New Roman" w:hAnsi="Times New Roman" w:cs="Times New Roman"/>
                <w:sz w:val="21"/>
                <w:szCs w:val="21"/>
              </w:rPr>
              <w:t xml:space="preserve">A interligação MOMA 400 kV encontra-se energizada e em fase de testes e validação técnica. </w:t>
            </w:r>
          </w:p>
          <w:p w:rsidR="000635DE" w:rsidRDefault="00A90B96">
            <w:pPr>
              <w:numPr>
                <w:ilvl w:val="0"/>
                <w:numId w:val="5"/>
              </w:numPr>
              <w:spacing w:after="0"/>
              <w:jc w:val="both"/>
              <w:rPr>
                <w:rFonts w:ascii="Times New Roman" w:eastAsia="Times New Roman" w:hAnsi="Times New Roman" w:cs="Times New Roman"/>
                <w:sz w:val="21"/>
                <w:szCs w:val="21"/>
              </w:rPr>
            </w:pPr>
            <w:r>
              <w:rPr>
                <w:rFonts w:ascii="Times New Roman" w:eastAsia="Times New Roman" w:hAnsi="Times New Roman" w:cs="Times New Roman"/>
                <w:sz w:val="21"/>
                <w:szCs w:val="21"/>
              </w:rPr>
              <w:t xml:space="preserve">Estão em curso os procedimentos finais para a entrada em operação comercial, incluindo a verificação dos requisitos de protecção, controlo, telecomunicações, medição e coordenação operacional EDM–ESCOM </w:t>
            </w:r>
          </w:p>
        </w:tc>
      </w:tr>
      <w:tr w:rsidR="000635DE" w:rsidTr="002D7366">
        <w:trPr>
          <w:trHeight w:val="2201"/>
          <w:tblHeader/>
        </w:trPr>
        <w:tc>
          <w:tcPr>
            <w:tcW w:w="3360" w:type="dxa"/>
            <w:vAlign w:val="center"/>
          </w:tcPr>
          <w:p w:rsidR="000635DE" w:rsidRDefault="00A90B96">
            <w:pPr>
              <w:spacing w:after="0" w:line="240" w:lineRule="auto"/>
              <w:rPr>
                <w:rFonts w:ascii="Times New Roman" w:eastAsia="Times New Roman" w:hAnsi="Times New Roman" w:cs="Times New Roman"/>
                <w:sz w:val="21"/>
                <w:szCs w:val="21"/>
              </w:rPr>
            </w:pPr>
            <w:r>
              <w:rPr>
                <w:rFonts w:ascii="Times New Roman" w:eastAsia="Times New Roman" w:hAnsi="Times New Roman" w:cs="Times New Roman"/>
                <w:b/>
                <w:bCs/>
                <w:color w:val="4472C4"/>
                <w:sz w:val="21"/>
                <w:szCs w:val="21"/>
              </w:rPr>
              <w:t xml:space="preserve">PROJECTO VII: </w:t>
            </w:r>
            <w:r>
              <w:rPr>
                <w:rFonts w:ascii="Times New Roman" w:eastAsia="Times New Roman" w:hAnsi="Times New Roman" w:cs="Times New Roman"/>
                <w:b/>
                <w:bCs/>
                <w:sz w:val="21"/>
                <w:szCs w:val="21"/>
              </w:rPr>
              <w:t xml:space="preserve">Linha de Interligação Moçambique – Tanzânia (MOTA) – 400 kV, 200 km    </w:t>
            </w:r>
            <w:r>
              <w:rPr>
                <w:rFonts w:ascii="Times New Roman" w:eastAsia="Times New Roman" w:hAnsi="Times New Roman" w:cs="Times New Roman"/>
                <w:sz w:val="21"/>
                <w:szCs w:val="21"/>
              </w:rPr>
              <w:t>Linha de interligação entre Moçambique e Tanzânia que irá interligar as subestações de Palma e Mtwara</w:t>
            </w:r>
          </w:p>
        </w:tc>
        <w:tc>
          <w:tcPr>
            <w:tcW w:w="3585" w:type="dxa"/>
            <w:vAlign w:val="center"/>
          </w:tcPr>
          <w:p w:rsidR="000635DE" w:rsidRDefault="00A90B96">
            <w:pPr>
              <w:pBdr>
                <w:top w:val="nil"/>
                <w:left w:val="nil"/>
                <w:bottom w:val="nil"/>
                <w:right w:val="nil"/>
                <w:between w:val="nil"/>
              </w:pBdr>
              <w:spacing w:after="0" w:line="240" w:lineRule="auto"/>
              <w:rPr>
                <w:rFonts w:ascii="Times New Roman" w:eastAsia="Times New Roman" w:hAnsi="Times New Roman" w:cs="Times New Roman"/>
                <w:color w:val="000000"/>
                <w:sz w:val="21"/>
                <w:szCs w:val="21"/>
              </w:rPr>
            </w:pPr>
            <w:r>
              <w:rPr>
                <w:rFonts w:ascii="Times New Roman" w:eastAsia="Times New Roman" w:hAnsi="Times New Roman" w:cs="Times New Roman"/>
                <w:sz w:val="21"/>
                <w:szCs w:val="21"/>
              </w:rPr>
              <w:t xml:space="preserve">1.Elevado investimento, necessidade de reforço das redes de transmissão e garantia de geração e mercado suficientes para evitar a subutilização da interligação. 2.Desafios de coordenação SAPP–EAPP, questões ambientais e sociais, bem como riscos de segurança na região de Palma. . </w:t>
            </w:r>
          </w:p>
        </w:tc>
        <w:tc>
          <w:tcPr>
            <w:tcW w:w="3059" w:type="dxa"/>
            <w:tcBorders>
              <w:right w:val="single" w:sz="4" w:space="0" w:color="000000"/>
            </w:tcBorders>
            <w:vAlign w:val="center"/>
          </w:tcPr>
          <w:p w:rsidR="000635DE" w:rsidRDefault="00A90B96">
            <w:pPr>
              <w:spacing w:after="0" w:line="240"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 xml:space="preserve">1.Garantir financiamento, disponibilidade de geração e reforço das redes para assegurar a plena utilização da interligação e a sua viabilidade económica.                                2.Assegurar a coordenação SAPP–EAPP, a gestão dos aspectos ambientais e sociais e a segurança na região de Palma.  </w:t>
            </w:r>
          </w:p>
        </w:tc>
        <w:tc>
          <w:tcPr>
            <w:tcW w:w="5161" w:type="dxa"/>
            <w:tcBorders>
              <w:left w:val="single" w:sz="4" w:space="0" w:color="000000"/>
            </w:tcBorders>
            <w:vAlign w:val="center"/>
          </w:tcPr>
          <w:p w:rsidR="000635DE" w:rsidRDefault="00A90B96">
            <w:pPr>
              <w:spacing w:after="0"/>
              <w:jc w:val="both"/>
              <w:rPr>
                <w:rFonts w:ascii="Times New Roman" w:eastAsia="Times New Roman" w:hAnsi="Times New Roman" w:cs="Times New Roman"/>
                <w:sz w:val="21"/>
                <w:szCs w:val="21"/>
              </w:rPr>
            </w:pPr>
            <w:r>
              <w:rPr>
                <w:rFonts w:ascii="Times New Roman" w:eastAsia="Times New Roman" w:hAnsi="Times New Roman" w:cs="Times New Roman"/>
                <w:sz w:val="21"/>
                <w:szCs w:val="21"/>
              </w:rPr>
              <w:t xml:space="preserve">O processo de contratação dos consultores para a realização dos estudos de viabilidade técnica, económica, social e ambiental decorre normalmente, sob coordenação do SAPP Coordination Centre (SAPP CC), estando prevista a conclusão do processo e o início dos estudos no quarto trimestre do presente ano. </w:t>
            </w:r>
          </w:p>
        </w:tc>
      </w:tr>
      <w:tr w:rsidR="000635DE" w:rsidTr="002D7366">
        <w:trPr>
          <w:trHeight w:val="3379"/>
          <w:tblHeader/>
        </w:trPr>
        <w:tc>
          <w:tcPr>
            <w:tcW w:w="3360" w:type="dxa"/>
            <w:vAlign w:val="center"/>
          </w:tcPr>
          <w:p w:rsidR="000635DE" w:rsidRDefault="00A90B96">
            <w:pPr>
              <w:numPr>
                <w:ilvl w:val="0"/>
                <w:numId w:val="27"/>
              </w:numPr>
              <w:pBdr>
                <w:top w:val="nil"/>
                <w:left w:val="nil"/>
                <w:bottom w:val="nil"/>
                <w:right w:val="nil"/>
                <w:between w:val="nil"/>
              </w:pBdr>
              <w:spacing w:after="0" w:line="240" w:lineRule="auto"/>
              <w:rPr>
                <w:b/>
                <w:bCs/>
                <w:color w:val="000000"/>
                <w:sz w:val="21"/>
                <w:szCs w:val="21"/>
              </w:rPr>
            </w:pPr>
            <w:r>
              <w:rPr>
                <w:rFonts w:ascii="Times New Roman" w:eastAsia="Times New Roman" w:hAnsi="Times New Roman" w:cs="Times New Roman"/>
                <w:b/>
                <w:bCs/>
                <w:color w:val="000000"/>
                <w:sz w:val="21"/>
                <w:szCs w:val="21"/>
              </w:rPr>
              <w:t>Central Hídrica de Massingir – 20MW</w:t>
            </w:r>
          </w:p>
          <w:p w:rsidR="000635DE" w:rsidRDefault="00A90B96">
            <w:pPr>
              <w:pBdr>
                <w:top w:val="nil"/>
                <w:left w:val="nil"/>
                <w:bottom w:val="nil"/>
                <w:right w:val="nil"/>
                <w:between w:val="nil"/>
              </w:pBdr>
              <w:spacing w:after="0" w:line="240" w:lineRule="auto"/>
              <w:ind w:left="360"/>
              <w:rPr>
                <w:rFonts w:ascii="Times New Roman" w:eastAsia="Times New Roman" w:hAnsi="Times New Roman" w:cs="Times New Roman"/>
                <w:b/>
                <w:bCs/>
                <w:color w:val="000000"/>
                <w:sz w:val="21"/>
                <w:szCs w:val="21"/>
              </w:rPr>
            </w:pPr>
            <w:r>
              <w:rPr>
                <w:rFonts w:ascii="Times New Roman" w:eastAsia="Times New Roman" w:hAnsi="Times New Roman" w:cs="Times New Roman"/>
                <w:i/>
                <w:iCs/>
                <w:color w:val="000000"/>
                <w:sz w:val="21"/>
                <w:szCs w:val="21"/>
              </w:rPr>
              <w:t>A ser desenvolvida para aproveitamento do potencial hídrico da barragem de Massingir com capacidade de Eproduzir 18 a 20MW. Responde a Estratégica do mix energético</w:t>
            </w:r>
          </w:p>
        </w:tc>
        <w:tc>
          <w:tcPr>
            <w:tcW w:w="3585" w:type="dxa"/>
            <w:vAlign w:val="center"/>
          </w:tcPr>
          <w:p w:rsidR="000635DE" w:rsidRDefault="00A90B96">
            <w:pPr>
              <w:numPr>
                <w:ilvl w:val="0"/>
                <w:numId w:val="32"/>
              </w:numPr>
              <w:pBdr>
                <w:top w:val="nil"/>
                <w:left w:val="nil"/>
                <w:bottom w:val="nil"/>
                <w:right w:val="nil"/>
                <w:between w:val="nil"/>
              </w:pBdr>
              <w:spacing w:after="0" w:line="240" w:lineRule="auto"/>
              <w:ind w:left="424"/>
              <w:jc w:val="both"/>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Proposta da tarifa é de 10.4c$/kWh o que está acima do poder de compra da população. Em curso a discussão das opções de financiamento apresentadas no modelo financeiro com vista à redução da tarifa;</w:t>
            </w:r>
          </w:p>
          <w:p w:rsidR="000635DE" w:rsidRDefault="00A90B96">
            <w:pPr>
              <w:numPr>
                <w:ilvl w:val="0"/>
                <w:numId w:val="32"/>
              </w:numPr>
              <w:pBdr>
                <w:top w:val="nil"/>
                <w:left w:val="nil"/>
                <w:bottom w:val="nil"/>
                <w:right w:val="nil"/>
                <w:between w:val="nil"/>
              </w:pBdr>
              <w:spacing w:after="0" w:line="240" w:lineRule="auto"/>
              <w:ind w:left="424"/>
              <w:jc w:val="both"/>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Inexistência de infraestrutura de transporte de energia para integração da central á rede eléctrica nacional.</w:t>
            </w:r>
          </w:p>
        </w:tc>
        <w:tc>
          <w:tcPr>
            <w:tcW w:w="3059" w:type="dxa"/>
            <w:tcBorders>
              <w:right w:val="single" w:sz="4" w:space="0" w:color="000000"/>
            </w:tcBorders>
            <w:vAlign w:val="center"/>
          </w:tcPr>
          <w:p w:rsidR="000635DE" w:rsidRDefault="00A90B96">
            <w:pPr>
              <w:numPr>
                <w:ilvl w:val="0"/>
                <w:numId w:val="33"/>
              </w:numPr>
              <w:pBdr>
                <w:top w:val="nil"/>
                <w:left w:val="nil"/>
                <w:bottom w:val="nil"/>
                <w:right w:val="nil"/>
                <w:between w:val="nil"/>
              </w:pBdr>
              <w:spacing w:after="0"/>
              <w:ind w:left="388"/>
              <w:jc w:val="both"/>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Promove a diversificação da matriz energética nacional;</w:t>
            </w:r>
          </w:p>
          <w:p w:rsidR="000635DE" w:rsidRDefault="00A90B96">
            <w:pPr>
              <w:numPr>
                <w:ilvl w:val="0"/>
                <w:numId w:val="33"/>
              </w:numPr>
              <w:pBdr>
                <w:top w:val="nil"/>
                <w:left w:val="nil"/>
                <w:bottom w:val="nil"/>
                <w:right w:val="nil"/>
                <w:between w:val="nil"/>
              </w:pBdr>
              <w:spacing w:after="0"/>
              <w:ind w:left="388"/>
              <w:jc w:val="both"/>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Garante a segurança e qualidade de fornecimento de energia na região o que abre espaço para ligação de mais clientes domésticos, industriais e turísticos</w:t>
            </w:r>
          </w:p>
        </w:tc>
        <w:tc>
          <w:tcPr>
            <w:tcW w:w="5161" w:type="dxa"/>
            <w:tcBorders>
              <w:left w:val="single" w:sz="4" w:space="0" w:color="000000"/>
            </w:tcBorders>
            <w:vAlign w:val="center"/>
          </w:tcPr>
          <w:p w:rsidR="000635DE" w:rsidRDefault="00A90B96">
            <w:pPr>
              <w:spacing w:after="0" w:line="240" w:lineRule="auto"/>
              <w:rPr>
                <w:rFonts w:ascii="Times New Roman" w:eastAsia="Times New Roman" w:hAnsi="Times New Roman" w:cs="Times New Roman"/>
                <w:b/>
                <w:bCs/>
                <w:sz w:val="21"/>
                <w:szCs w:val="21"/>
              </w:rPr>
            </w:pPr>
            <w:r>
              <w:rPr>
                <w:rFonts w:ascii="Times New Roman" w:eastAsia="Times New Roman" w:hAnsi="Times New Roman" w:cs="Times New Roman"/>
                <w:b/>
                <w:bCs/>
                <w:sz w:val="21"/>
                <w:szCs w:val="21"/>
              </w:rPr>
              <w:t>PONTO DE SITUAÇÃO:</w:t>
            </w:r>
          </w:p>
          <w:p w:rsidR="000635DE" w:rsidRDefault="000635DE">
            <w:pPr>
              <w:spacing w:after="0"/>
              <w:rPr>
                <w:rFonts w:ascii="Times New Roman" w:eastAsia="Times New Roman" w:hAnsi="Times New Roman" w:cs="Times New Roman"/>
                <w:sz w:val="10"/>
                <w:szCs w:val="10"/>
              </w:rPr>
            </w:pPr>
          </w:p>
          <w:p w:rsidR="000635DE" w:rsidRDefault="00A90B96">
            <w:pPr>
              <w:numPr>
                <w:ilvl w:val="0"/>
                <w:numId w:val="4"/>
              </w:numPr>
              <w:spacing w:after="0"/>
              <w:jc w:val="both"/>
              <w:rPr>
                <w:rFonts w:ascii="Times New Roman" w:eastAsia="Times New Roman" w:hAnsi="Times New Roman" w:cs="Times New Roman"/>
                <w:i/>
                <w:iCs/>
                <w:sz w:val="21"/>
                <w:szCs w:val="21"/>
              </w:rPr>
            </w:pPr>
            <w:r>
              <w:rPr>
                <w:rFonts w:ascii="Times New Roman" w:eastAsia="Times New Roman" w:hAnsi="Times New Roman" w:cs="Times New Roman"/>
                <w:i/>
                <w:iCs/>
                <w:sz w:val="21"/>
                <w:szCs w:val="21"/>
              </w:rPr>
              <w:t>Em curso discussão com vista a melhorar a estrutura do projecto e melhorar a restrutura de riscos.</w:t>
            </w:r>
          </w:p>
          <w:p w:rsidR="000635DE" w:rsidRDefault="00A90B96">
            <w:pPr>
              <w:numPr>
                <w:ilvl w:val="0"/>
                <w:numId w:val="4"/>
              </w:numPr>
              <w:spacing w:after="0"/>
              <w:jc w:val="both"/>
              <w:rPr>
                <w:rFonts w:ascii="Times New Roman" w:eastAsia="Times New Roman" w:hAnsi="Times New Roman" w:cs="Times New Roman"/>
                <w:i/>
                <w:iCs/>
                <w:sz w:val="21"/>
                <w:szCs w:val="21"/>
              </w:rPr>
            </w:pPr>
            <w:r>
              <w:rPr>
                <w:rFonts w:ascii="Times New Roman" w:eastAsia="Times New Roman" w:hAnsi="Times New Roman" w:cs="Times New Roman"/>
                <w:i/>
                <w:iCs/>
                <w:sz w:val="21"/>
                <w:szCs w:val="21"/>
              </w:rPr>
              <w:t xml:space="preserve">O projecto ainda não foi aprovado pela EDM pelo facto da tarifa situar-se além do esperado, 10,4 Usc/KWh. </w:t>
            </w:r>
          </w:p>
          <w:p w:rsidR="000635DE" w:rsidRDefault="00A90B96">
            <w:pPr>
              <w:numPr>
                <w:ilvl w:val="0"/>
                <w:numId w:val="4"/>
              </w:numPr>
              <w:jc w:val="both"/>
              <w:rPr>
                <w:rFonts w:ascii="Times New Roman" w:eastAsia="Times New Roman" w:hAnsi="Times New Roman" w:cs="Times New Roman"/>
                <w:i/>
                <w:iCs/>
                <w:sz w:val="21"/>
                <w:szCs w:val="21"/>
              </w:rPr>
            </w:pPr>
            <w:r>
              <w:rPr>
                <w:rFonts w:ascii="Times New Roman" w:eastAsia="Times New Roman" w:hAnsi="Times New Roman" w:cs="Times New Roman"/>
                <w:i/>
                <w:iCs/>
                <w:sz w:val="21"/>
                <w:szCs w:val="21"/>
              </w:rPr>
              <w:t>Recomendou-se aos desenvolvedores para se engajarem na busca de donativos para financiar a componente da linha e reduzir a tarifa, sendo a linha prevista para a interligação à rede relativamente longa.</w:t>
            </w:r>
          </w:p>
        </w:tc>
      </w:tr>
      <w:tr w:rsidR="000C5FCB" w:rsidTr="002D7366">
        <w:trPr>
          <w:trHeight w:val="3379"/>
          <w:tblHeader/>
        </w:trPr>
        <w:tc>
          <w:tcPr>
            <w:tcW w:w="3360" w:type="dxa"/>
            <w:vAlign w:val="center"/>
          </w:tcPr>
          <w:p w:rsidR="000C5FCB" w:rsidRDefault="000C5FCB">
            <w:pPr>
              <w:numPr>
                <w:ilvl w:val="0"/>
                <w:numId w:val="27"/>
              </w:numPr>
              <w:pBdr>
                <w:top w:val="nil"/>
                <w:left w:val="nil"/>
                <w:bottom w:val="nil"/>
                <w:right w:val="nil"/>
                <w:between w:val="nil"/>
              </w:pBdr>
              <w:spacing w:after="0" w:line="240" w:lineRule="auto"/>
              <w:rPr>
                <w:rFonts w:ascii="Times New Roman" w:eastAsia="Times New Roman" w:hAnsi="Times New Roman" w:cs="Times New Roman"/>
                <w:b/>
                <w:bCs/>
                <w:color w:val="000000"/>
                <w:sz w:val="21"/>
                <w:szCs w:val="21"/>
              </w:rPr>
            </w:pPr>
            <w:r w:rsidRPr="00463598">
              <w:rPr>
                <w:rFonts w:ascii="Arial Narrow" w:hAnsi="Arial Narrow"/>
                <w:b/>
                <w:color w:val="1F4E79"/>
              </w:rPr>
              <w:lastRenderedPageBreak/>
              <w:t>Central Solar de Metoro</w:t>
            </w:r>
            <w:r>
              <w:rPr>
                <w:rFonts w:ascii="Arial Narrow" w:hAnsi="Arial Narrow"/>
                <w:b/>
                <w:color w:val="1F4E79"/>
              </w:rPr>
              <w:t xml:space="preserve"> (40MWp)</w:t>
            </w:r>
          </w:p>
        </w:tc>
        <w:tc>
          <w:tcPr>
            <w:tcW w:w="3585" w:type="dxa"/>
            <w:vAlign w:val="center"/>
          </w:tcPr>
          <w:p w:rsidR="000C5FCB" w:rsidRDefault="000C5FCB" w:rsidP="002D7366">
            <w:pPr>
              <w:pStyle w:val="NormalWeb"/>
              <w:numPr>
                <w:ilvl w:val="0"/>
                <w:numId w:val="47"/>
              </w:numPr>
              <w:jc w:val="both"/>
              <w:rPr>
                <w:rFonts w:ascii="Arial Narrow" w:hAnsi="Arial Narrow"/>
                <w:sz w:val="22"/>
                <w:szCs w:val="22"/>
                <w:lang w:val="pt-PT"/>
              </w:rPr>
            </w:pPr>
            <w:r w:rsidRPr="00463598">
              <w:rPr>
                <w:rFonts w:ascii="Arial Narrow" w:hAnsi="Arial Narrow"/>
                <w:sz w:val="22"/>
                <w:szCs w:val="22"/>
                <w:lang w:val="pt-PT"/>
              </w:rPr>
              <w:t xml:space="preserve">A TotalEnergies </w:t>
            </w:r>
            <w:r>
              <w:rPr>
                <w:rFonts w:ascii="Arial Narrow" w:hAnsi="Arial Narrow"/>
                <w:sz w:val="22"/>
                <w:szCs w:val="22"/>
                <w:lang w:val="pt-PT"/>
              </w:rPr>
              <w:t>insiste em</w:t>
            </w:r>
            <w:r w:rsidRPr="00463598">
              <w:rPr>
                <w:rFonts w:ascii="Arial Narrow" w:hAnsi="Arial Narrow"/>
                <w:sz w:val="22"/>
                <w:szCs w:val="22"/>
                <w:lang w:val="pt-PT"/>
              </w:rPr>
              <w:t xml:space="preserve"> manter uma tarifa de </w:t>
            </w:r>
            <w:r>
              <w:rPr>
                <w:rFonts w:ascii="Arial Narrow" w:hAnsi="Arial Narrow"/>
                <w:sz w:val="22"/>
                <w:szCs w:val="22"/>
                <w:lang w:val="pt-PT"/>
              </w:rPr>
              <w:t>12 cUSD/kWh</w:t>
            </w:r>
            <w:r w:rsidRPr="00463598">
              <w:rPr>
                <w:rFonts w:ascii="Arial Narrow" w:hAnsi="Arial Narrow"/>
                <w:sz w:val="22"/>
                <w:szCs w:val="22"/>
                <w:lang w:val="pt-PT"/>
              </w:rPr>
              <w:t>.</w:t>
            </w:r>
          </w:p>
          <w:p w:rsidR="000C5FCB" w:rsidRPr="00463598" w:rsidRDefault="000C5FCB" w:rsidP="002D7366">
            <w:pPr>
              <w:pStyle w:val="NormalWeb"/>
              <w:numPr>
                <w:ilvl w:val="0"/>
                <w:numId w:val="47"/>
              </w:numPr>
              <w:jc w:val="both"/>
              <w:rPr>
                <w:rFonts w:ascii="Arial Narrow" w:hAnsi="Arial Narrow"/>
                <w:sz w:val="22"/>
                <w:szCs w:val="22"/>
                <w:lang w:val="pt-PT"/>
              </w:rPr>
            </w:pPr>
            <w:r w:rsidRPr="00463598">
              <w:rPr>
                <w:rFonts w:ascii="Arial Narrow" w:hAnsi="Arial Narrow"/>
                <w:sz w:val="22"/>
                <w:szCs w:val="22"/>
                <w:lang w:val="pt-PT"/>
              </w:rPr>
              <w:t>A retoma do projecto permanece condicionada à resolução do impasse entre os accionistas, à definição da estrutura de financiamento e à existência de condições de segurança adequadas</w:t>
            </w:r>
          </w:p>
          <w:p w:rsidR="000C5FCB" w:rsidRDefault="000C5FCB" w:rsidP="000C5FCB">
            <w:pPr>
              <w:pBdr>
                <w:top w:val="nil"/>
                <w:left w:val="nil"/>
                <w:bottom w:val="nil"/>
                <w:right w:val="nil"/>
                <w:between w:val="nil"/>
              </w:pBdr>
              <w:spacing w:after="0" w:line="240" w:lineRule="auto"/>
              <w:ind w:left="360"/>
              <w:jc w:val="both"/>
              <w:rPr>
                <w:rFonts w:ascii="Times New Roman" w:eastAsia="Times New Roman" w:hAnsi="Times New Roman" w:cs="Times New Roman"/>
                <w:color w:val="000000"/>
                <w:sz w:val="21"/>
                <w:szCs w:val="21"/>
              </w:rPr>
            </w:pPr>
          </w:p>
        </w:tc>
        <w:tc>
          <w:tcPr>
            <w:tcW w:w="3059" w:type="dxa"/>
            <w:tcBorders>
              <w:right w:val="single" w:sz="4" w:space="0" w:color="000000"/>
            </w:tcBorders>
            <w:vAlign w:val="center"/>
          </w:tcPr>
          <w:p w:rsidR="000C5FCB" w:rsidRDefault="002D7366">
            <w:pPr>
              <w:numPr>
                <w:ilvl w:val="0"/>
                <w:numId w:val="33"/>
              </w:numPr>
              <w:pBdr>
                <w:top w:val="nil"/>
                <w:left w:val="nil"/>
                <w:bottom w:val="nil"/>
                <w:right w:val="nil"/>
                <w:between w:val="nil"/>
              </w:pBdr>
              <w:spacing w:after="0"/>
              <w:ind w:left="388"/>
              <w:jc w:val="both"/>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Melhora a disponibilidade, estabilidade e segurança de fornecimento de energia na região norte, acomodando a continuidade do programa do aeesso universal da população à energia</w:t>
            </w:r>
          </w:p>
        </w:tc>
        <w:tc>
          <w:tcPr>
            <w:tcW w:w="5161" w:type="dxa"/>
            <w:tcBorders>
              <w:left w:val="single" w:sz="4" w:space="0" w:color="000000"/>
            </w:tcBorders>
            <w:vAlign w:val="center"/>
          </w:tcPr>
          <w:p w:rsidR="002D7366" w:rsidRDefault="002D7366" w:rsidP="002D7366">
            <w:pPr>
              <w:spacing w:after="0" w:line="240" w:lineRule="auto"/>
              <w:rPr>
                <w:rFonts w:ascii="Times New Roman" w:eastAsia="Times New Roman" w:hAnsi="Times New Roman" w:cs="Times New Roman"/>
                <w:b/>
                <w:bCs/>
                <w:sz w:val="21"/>
                <w:szCs w:val="21"/>
              </w:rPr>
            </w:pPr>
            <w:r>
              <w:rPr>
                <w:rFonts w:ascii="Times New Roman" w:eastAsia="Times New Roman" w:hAnsi="Times New Roman" w:cs="Times New Roman"/>
                <w:b/>
                <w:bCs/>
                <w:sz w:val="21"/>
                <w:szCs w:val="21"/>
              </w:rPr>
              <w:t>PONTO DE SITUAÇÃO:</w:t>
            </w:r>
          </w:p>
          <w:p w:rsidR="002D7366" w:rsidRPr="002D7366" w:rsidRDefault="002D7366" w:rsidP="002D7366">
            <w:pPr>
              <w:spacing w:after="0" w:line="240" w:lineRule="auto"/>
              <w:jc w:val="both"/>
              <w:rPr>
                <w:rFonts w:ascii="Arial Narrow" w:eastAsia="Times New Roman" w:hAnsi="Arial Narrow" w:cs="Times New Roman"/>
              </w:rPr>
            </w:pPr>
          </w:p>
          <w:p w:rsidR="002D7366" w:rsidRDefault="002D7366" w:rsidP="002D7366">
            <w:pPr>
              <w:pStyle w:val="ListParagraph"/>
              <w:numPr>
                <w:ilvl w:val="0"/>
                <w:numId w:val="46"/>
              </w:numPr>
              <w:spacing w:after="0" w:line="240" w:lineRule="auto"/>
              <w:jc w:val="both"/>
              <w:rPr>
                <w:rFonts w:ascii="Arial Narrow" w:eastAsia="Times New Roman" w:hAnsi="Arial Narrow" w:cs="Times New Roman"/>
              </w:rPr>
            </w:pPr>
            <w:r w:rsidRPr="009E6239">
              <w:rPr>
                <w:rFonts w:ascii="Arial Narrow" w:eastAsia="Times New Roman" w:hAnsi="Arial Narrow" w:cs="Times New Roman"/>
              </w:rPr>
              <w:t>A TotalEnergies adquiriu a participação da NEOEN no projecto, passando a assumir o papel de parceiro privado responsável por conduzir a retoma e a conclusão da construção.</w:t>
            </w:r>
          </w:p>
          <w:p w:rsidR="002D7366" w:rsidRDefault="002D7366" w:rsidP="002D7366">
            <w:pPr>
              <w:pStyle w:val="ListParagraph"/>
              <w:numPr>
                <w:ilvl w:val="0"/>
                <w:numId w:val="46"/>
              </w:numPr>
              <w:spacing w:after="0" w:line="240" w:lineRule="auto"/>
              <w:jc w:val="both"/>
              <w:rPr>
                <w:rFonts w:ascii="Arial Narrow" w:eastAsia="Times New Roman" w:hAnsi="Arial Narrow" w:cs="Times New Roman"/>
              </w:rPr>
            </w:pPr>
            <w:r w:rsidRPr="009E6239">
              <w:rPr>
                <w:rFonts w:ascii="Arial Narrow" w:eastAsia="Times New Roman" w:hAnsi="Arial Narrow" w:cs="Times New Roman"/>
              </w:rPr>
              <w:t>O projecto requer uma reestruturação financeira, devido ao aumento substancial dos custos decorrente do abandono da obra pelo empreiteiro EFACEC, que alegou razões de insegurança em Cabo Delgado, situação que resultou na degradação e vandalização de parte dos activos.</w:t>
            </w:r>
          </w:p>
          <w:p w:rsidR="002D7366" w:rsidRDefault="002D7366" w:rsidP="002D7366">
            <w:pPr>
              <w:pStyle w:val="ListParagraph"/>
              <w:numPr>
                <w:ilvl w:val="0"/>
                <w:numId w:val="46"/>
              </w:numPr>
              <w:spacing w:after="0" w:line="240" w:lineRule="auto"/>
              <w:jc w:val="both"/>
              <w:rPr>
                <w:rFonts w:ascii="Arial Narrow" w:eastAsia="Times New Roman" w:hAnsi="Arial Narrow" w:cs="Times New Roman"/>
              </w:rPr>
            </w:pPr>
            <w:r w:rsidRPr="009E6239">
              <w:rPr>
                <w:rFonts w:ascii="Arial Narrow" w:eastAsia="Times New Roman" w:hAnsi="Arial Narrow" w:cs="Times New Roman"/>
              </w:rPr>
              <w:t>Os custos adicionais necessários para a retoma do projecto foram estimados em USD 8,1 milhões, prevendo-se que a contribuição da EDM seja realizada através da diluição da sua participação accionista.</w:t>
            </w:r>
          </w:p>
          <w:p w:rsidR="002D7366" w:rsidRDefault="002D7366" w:rsidP="002D7366">
            <w:pPr>
              <w:pStyle w:val="ListParagraph"/>
              <w:numPr>
                <w:ilvl w:val="0"/>
                <w:numId w:val="46"/>
              </w:numPr>
              <w:spacing w:after="0" w:line="240" w:lineRule="auto"/>
              <w:jc w:val="both"/>
              <w:rPr>
                <w:rFonts w:ascii="Arial Narrow" w:eastAsia="Times New Roman" w:hAnsi="Arial Narrow" w:cs="Times New Roman"/>
              </w:rPr>
            </w:pPr>
            <w:r w:rsidRPr="009E6239">
              <w:rPr>
                <w:rFonts w:ascii="Arial Narrow" w:eastAsia="Times New Roman" w:hAnsi="Arial Narrow" w:cs="Times New Roman"/>
              </w:rPr>
              <w:t>A AFD e a PROPARCO, na qualidade de financiadores do projecto, manifestaram a intenção de se retirar, propondo o perdão de 70% da sua exposição financeira e o pagamento imediato dos restantes 30%.</w:t>
            </w:r>
          </w:p>
          <w:p w:rsidR="002D7366" w:rsidRDefault="002D7366" w:rsidP="002D7366">
            <w:pPr>
              <w:pStyle w:val="ListParagraph"/>
              <w:numPr>
                <w:ilvl w:val="0"/>
                <w:numId w:val="46"/>
              </w:numPr>
              <w:spacing w:after="0" w:line="240" w:lineRule="auto"/>
              <w:jc w:val="both"/>
              <w:rPr>
                <w:rFonts w:ascii="Arial Narrow" w:eastAsia="Times New Roman" w:hAnsi="Arial Narrow" w:cs="Times New Roman"/>
              </w:rPr>
            </w:pPr>
            <w:r w:rsidRPr="009E6239">
              <w:rPr>
                <w:rFonts w:ascii="Arial Narrow" w:eastAsia="Times New Roman" w:hAnsi="Arial Narrow" w:cs="Times New Roman"/>
              </w:rPr>
              <w:t>A TotalEnergies e a EDM encontram-se a discutir as adendas aos contratos do projecto, com vista a reflectir a reestruturação financeira e os atrasos registados durante a construção.</w:t>
            </w:r>
          </w:p>
          <w:p w:rsidR="002D7366" w:rsidRDefault="002D7366" w:rsidP="002D7366">
            <w:pPr>
              <w:pStyle w:val="ListParagraph"/>
              <w:numPr>
                <w:ilvl w:val="0"/>
                <w:numId w:val="46"/>
              </w:numPr>
              <w:spacing w:after="0" w:line="240" w:lineRule="auto"/>
              <w:jc w:val="both"/>
              <w:rPr>
                <w:rFonts w:ascii="Arial Narrow" w:eastAsia="Times New Roman" w:hAnsi="Arial Narrow" w:cs="Times New Roman"/>
              </w:rPr>
            </w:pPr>
            <w:r w:rsidRPr="009E6239">
              <w:rPr>
                <w:rFonts w:ascii="Arial Narrow" w:eastAsia="Times New Roman" w:hAnsi="Arial Narrow" w:cs="Times New Roman"/>
              </w:rPr>
              <w:t>As negociações encontram-se num impasse relativamente ao PPA, em virtude da proposta da TotalEnergies de alterar a disposição contratual referente ao perfil tarifário. A alteração proposta permitiria transferir para a TotalEnergies um eventual benefício tarifário que, nos termos do PPA em vigor, reverteria a favor da EDM caso os financiadores se retirassem do projecto nas condições apresentadas.</w:t>
            </w:r>
          </w:p>
          <w:p w:rsidR="002D7366" w:rsidRPr="002D7366" w:rsidRDefault="002D7366" w:rsidP="002D7366">
            <w:pPr>
              <w:spacing w:after="0" w:line="240" w:lineRule="auto"/>
              <w:jc w:val="both"/>
              <w:rPr>
                <w:rFonts w:ascii="Arial Narrow" w:eastAsia="Times New Roman" w:hAnsi="Arial Narrow" w:cs="Times New Roman"/>
              </w:rPr>
            </w:pPr>
          </w:p>
          <w:p w:rsidR="000C5FCB" w:rsidRPr="002D7366" w:rsidRDefault="002D7366" w:rsidP="002D7366">
            <w:pPr>
              <w:pStyle w:val="ListParagraph"/>
              <w:numPr>
                <w:ilvl w:val="0"/>
                <w:numId w:val="46"/>
              </w:numPr>
              <w:spacing w:after="0" w:line="240" w:lineRule="auto"/>
              <w:rPr>
                <w:rFonts w:ascii="Times New Roman" w:eastAsia="Times New Roman" w:hAnsi="Times New Roman" w:cs="Times New Roman"/>
                <w:b/>
                <w:bCs/>
                <w:sz w:val="21"/>
                <w:szCs w:val="21"/>
              </w:rPr>
            </w:pPr>
            <w:r w:rsidRPr="002D7366">
              <w:rPr>
                <w:rFonts w:ascii="Arial Narrow" w:eastAsia="Times New Roman" w:hAnsi="Arial Narrow" w:cs="Times New Roman"/>
              </w:rPr>
              <w:t>A TotalEnergies submeteu o assunto à consideração do MIREME, tendo sido decidida a constituição de um grupo de trabalho para identificar uma solução equilibrada</w:t>
            </w:r>
          </w:p>
        </w:tc>
      </w:tr>
      <w:tr w:rsidR="002D7366" w:rsidTr="002D7366">
        <w:trPr>
          <w:trHeight w:val="3379"/>
          <w:tblHeader/>
        </w:trPr>
        <w:tc>
          <w:tcPr>
            <w:tcW w:w="3360" w:type="dxa"/>
            <w:vAlign w:val="center"/>
          </w:tcPr>
          <w:p w:rsidR="002D7366" w:rsidRDefault="002D7366">
            <w:pPr>
              <w:numPr>
                <w:ilvl w:val="0"/>
                <w:numId w:val="27"/>
              </w:numPr>
              <w:pBdr>
                <w:top w:val="nil"/>
                <w:left w:val="nil"/>
                <w:bottom w:val="nil"/>
                <w:right w:val="nil"/>
                <w:between w:val="nil"/>
              </w:pBdr>
              <w:spacing w:after="0" w:line="240" w:lineRule="auto"/>
              <w:rPr>
                <w:rFonts w:ascii="Arial Narrow" w:hAnsi="Arial Narrow"/>
                <w:b/>
                <w:color w:val="1F4E79"/>
              </w:rPr>
            </w:pPr>
            <w:r w:rsidRPr="00463598">
              <w:rPr>
                <w:rFonts w:ascii="Arial Narrow" w:hAnsi="Arial Narrow"/>
                <w:b/>
                <w:color w:val="1F4E79"/>
              </w:rPr>
              <w:lastRenderedPageBreak/>
              <w:t>Central Eléctrica de Namaacha</w:t>
            </w:r>
          </w:p>
          <w:p w:rsidR="002D7366" w:rsidRPr="00463598" w:rsidRDefault="002D7366" w:rsidP="002D7366">
            <w:pPr>
              <w:pBdr>
                <w:top w:val="nil"/>
                <w:left w:val="nil"/>
                <w:bottom w:val="nil"/>
                <w:right w:val="nil"/>
                <w:between w:val="nil"/>
              </w:pBdr>
              <w:spacing w:after="0" w:line="240" w:lineRule="auto"/>
              <w:ind w:left="360"/>
              <w:rPr>
                <w:rFonts w:ascii="Arial Narrow" w:hAnsi="Arial Narrow"/>
                <w:b/>
                <w:color w:val="1F4E79"/>
              </w:rPr>
            </w:pPr>
            <w:r>
              <w:rPr>
                <w:rFonts w:ascii="Arial Narrow" w:hAnsi="Arial Narrow"/>
                <w:b/>
                <w:color w:val="1F4E79"/>
              </w:rPr>
              <w:t>(</w:t>
            </w:r>
            <w:r w:rsidRPr="002D7366">
              <w:rPr>
                <w:rFonts w:ascii="Arial Narrow" w:hAnsi="Arial Narrow"/>
                <w:color w:val="1F4E79"/>
              </w:rPr>
              <w:t>Central Eólica de 120MW</w:t>
            </w:r>
            <w:r>
              <w:rPr>
                <w:rFonts w:ascii="Arial Narrow" w:hAnsi="Arial Narrow"/>
                <w:b/>
                <w:color w:val="1F4E79"/>
              </w:rPr>
              <w:t>)</w:t>
            </w:r>
          </w:p>
        </w:tc>
        <w:tc>
          <w:tcPr>
            <w:tcW w:w="3585" w:type="dxa"/>
            <w:vAlign w:val="center"/>
          </w:tcPr>
          <w:p w:rsidR="002D7366" w:rsidRPr="002D7366" w:rsidRDefault="002D7366" w:rsidP="002D7366">
            <w:pPr>
              <w:pStyle w:val="ListParagraph"/>
              <w:numPr>
                <w:ilvl w:val="0"/>
                <w:numId w:val="48"/>
              </w:numPr>
              <w:spacing w:after="50" w:line="235" w:lineRule="auto"/>
              <w:jc w:val="both"/>
              <w:rPr>
                <w:rFonts w:ascii="Arial Narrow" w:hAnsi="Arial Narrow"/>
              </w:rPr>
            </w:pPr>
            <w:r w:rsidRPr="002D7366">
              <w:rPr>
                <w:rFonts w:ascii="Arial Narrow" w:hAnsi="Arial Narrow"/>
              </w:rPr>
              <w:t>A CEN informou que a janela de financiamento inicialmente disponível, sob a forma de donativo ao projecto  que era atribuído pelo IFC (cerca de US$ 1 milhão) já caducou devido à demora no desenvolvimento do projecto.</w:t>
            </w:r>
          </w:p>
          <w:p w:rsidR="002D7366" w:rsidRPr="00463598" w:rsidRDefault="002D7366" w:rsidP="002D7366">
            <w:pPr>
              <w:pStyle w:val="NormalWeb"/>
              <w:numPr>
                <w:ilvl w:val="0"/>
                <w:numId w:val="48"/>
              </w:numPr>
              <w:jc w:val="both"/>
              <w:rPr>
                <w:rFonts w:ascii="Arial Narrow" w:hAnsi="Arial Narrow"/>
                <w:sz w:val="22"/>
                <w:szCs w:val="22"/>
                <w:lang w:val="pt-PT"/>
              </w:rPr>
            </w:pPr>
            <w:r w:rsidRPr="00463598">
              <w:rPr>
                <w:rFonts w:ascii="Arial Narrow" w:hAnsi="Arial Narrow"/>
                <w:sz w:val="22"/>
                <w:lang w:val="pt-PT"/>
              </w:rPr>
              <w:t>Esta situação representa um desafio adicional para a CEN alcançar da tarifa sustentável para o projecto.</w:t>
            </w:r>
          </w:p>
        </w:tc>
        <w:tc>
          <w:tcPr>
            <w:tcW w:w="3059" w:type="dxa"/>
            <w:tcBorders>
              <w:right w:val="single" w:sz="4" w:space="0" w:color="000000"/>
            </w:tcBorders>
            <w:vAlign w:val="center"/>
          </w:tcPr>
          <w:p w:rsidR="002D7366" w:rsidRDefault="002D7366" w:rsidP="007217CB">
            <w:pPr>
              <w:numPr>
                <w:ilvl w:val="0"/>
                <w:numId w:val="33"/>
              </w:numPr>
              <w:pBdr>
                <w:top w:val="nil"/>
                <w:left w:val="nil"/>
                <w:bottom w:val="nil"/>
                <w:right w:val="nil"/>
                <w:between w:val="nil"/>
              </w:pBdr>
              <w:spacing w:after="0"/>
              <w:ind w:left="388"/>
              <w:jc w:val="both"/>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Promover a diversificação da matriz energéti</w:t>
            </w:r>
            <w:r w:rsidR="007217CB">
              <w:rPr>
                <w:rFonts w:ascii="Times New Roman" w:eastAsia="Times New Roman" w:hAnsi="Times New Roman" w:cs="Times New Roman"/>
                <w:color w:val="000000"/>
                <w:sz w:val="21"/>
                <w:szCs w:val="21"/>
              </w:rPr>
              <w:t>c</w:t>
            </w:r>
            <w:r>
              <w:rPr>
                <w:rFonts w:ascii="Times New Roman" w:eastAsia="Times New Roman" w:hAnsi="Times New Roman" w:cs="Times New Roman"/>
                <w:color w:val="000000"/>
                <w:sz w:val="21"/>
                <w:szCs w:val="21"/>
              </w:rPr>
              <w:t xml:space="preserve">a </w:t>
            </w:r>
            <w:r w:rsidR="007217CB">
              <w:rPr>
                <w:rFonts w:ascii="Times New Roman" w:eastAsia="Times New Roman" w:hAnsi="Times New Roman" w:cs="Times New Roman"/>
                <w:color w:val="000000"/>
                <w:sz w:val="21"/>
                <w:szCs w:val="21"/>
              </w:rPr>
              <w:t>e disponibilidade de energia para o mercado nacional como prioridade e aproveitamento do excedente para a exportação</w:t>
            </w:r>
          </w:p>
        </w:tc>
        <w:tc>
          <w:tcPr>
            <w:tcW w:w="5161" w:type="dxa"/>
            <w:tcBorders>
              <w:left w:val="single" w:sz="4" w:space="0" w:color="000000"/>
            </w:tcBorders>
            <w:vAlign w:val="center"/>
          </w:tcPr>
          <w:p w:rsidR="002D7366" w:rsidRDefault="002D7366" w:rsidP="002D7366">
            <w:pPr>
              <w:spacing w:after="0" w:line="240" w:lineRule="auto"/>
              <w:rPr>
                <w:rFonts w:ascii="Times New Roman" w:eastAsia="Times New Roman" w:hAnsi="Times New Roman" w:cs="Times New Roman"/>
                <w:b/>
                <w:bCs/>
                <w:sz w:val="21"/>
                <w:szCs w:val="21"/>
              </w:rPr>
            </w:pPr>
            <w:r>
              <w:rPr>
                <w:rFonts w:ascii="Times New Roman" w:eastAsia="Times New Roman" w:hAnsi="Times New Roman" w:cs="Times New Roman"/>
                <w:b/>
                <w:bCs/>
                <w:sz w:val="21"/>
                <w:szCs w:val="21"/>
              </w:rPr>
              <w:t>PONTO DE SITUAÇÃO:</w:t>
            </w:r>
          </w:p>
          <w:p w:rsidR="002D7366" w:rsidRPr="00463598" w:rsidRDefault="002D7366" w:rsidP="002D7366">
            <w:pPr>
              <w:pStyle w:val="NormalWeb"/>
              <w:numPr>
                <w:ilvl w:val="0"/>
                <w:numId w:val="50"/>
              </w:numPr>
              <w:jc w:val="both"/>
              <w:rPr>
                <w:rFonts w:ascii="Arial Narrow" w:hAnsi="Arial Narrow"/>
                <w:sz w:val="22"/>
                <w:szCs w:val="22"/>
                <w:lang w:val="pt-PT"/>
              </w:rPr>
            </w:pPr>
            <w:r w:rsidRPr="00463598">
              <w:rPr>
                <w:rFonts w:ascii="Arial Narrow" w:hAnsi="Arial Narrow"/>
                <w:sz w:val="22"/>
                <w:szCs w:val="22"/>
                <w:lang w:val="pt-PT"/>
              </w:rPr>
              <w:t>A CEN e a EDM encontram-se a negociar as adendas aos documentos contratuais do projecto — PPA, SHA, COA e Contrato de Concessão — com vista a reflectir a nova abordagem, segundo a qual a EDM será responsável pela construção da linha de interligação entre a Central e a Rede Eléctrica Nacional.</w:t>
            </w:r>
          </w:p>
          <w:p w:rsidR="002D7366" w:rsidRPr="00463598" w:rsidRDefault="002D7366" w:rsidP="002D7366">
            <w:pPr>
              <w:pStyle w:val="NormalWeb"/>
              <w:numPr>
                <w:ilvl w:val="0"/>
                <w:numId w:val="50"/>
              </w:numPr>
              <w:jc w:val="both"/>
              <w:rPr>
                <w:rFonts w:ascii="Arial Narrow" w:hAnsi="Arial Narrow"/>
                <w:sz w:val="22"/>
                <w:szCs w:val="22"/>
                <w:lang w:val="pt-PT"/>
              </w:rPr>
            </w:pPr>
            <w:r w:rsidRPr="00463598">
              <w:rPr>
                <w:rFonts w:ascii="Arial Narrow" w:hAnsi="Arial Narrow"/>
                <w:sz w:val="22"/>
                <w:szCs w:val="22"/>
                <w:lang w:val="pt-PT"/>
              </w:rPr>
              <w:t>Inicialmente, a construção da linha de interligação encontrava-se sob responsabilidade da CEN. Contudo, por se tratar de uma infraestrutura financiada através de uma subvenção do BAD, não foi possível acolher o modelo de contratação proposto pela CEN, por não se mostrar alinhado com as regras de contratação pública aplicáveis. Consequentemente, a responsabilidade pela construção da linha foi transferida para a EDM.</w:t>
            </w:r>
          </w:p>
          <w:p w:rsidR="002D7366" w:rsidRPr="00463598" w:rsidRDefault="002D7366" w:rsidP="002D7366">
            <w:pPr>
              <w:pStyle w:val="NormalWeb"/>
              <w:numPr>
                <w:ilvl w:val="0"/>
                <w:numId w:val="50"/>
              </w:numPr>
              <w:jc w:val="both"/>
              <w:rPr>
                <w:rFonts w:ascii="Arial Narrow" w:hAnsi="Arial Narrow"/>
                <w:sz w:val="22"/>
                <w:szCs w:val="22"/>
                <w:lang w:val="pt-PT"/>
              </w:rPr>
            </w:pPr>
            <w:r w:rsidRPr="00463598">
              <w:rPr>
                <w:rFonts w:ascii="Arial Narrow" w:hAnsi="Arial Narrow"/>
                <w:sz w:val="22"/>
                <w:szCs w:val="22"/>
                <w:lang w:val="pt-PT"/>
              </w:rPr>
              <w:t>A EDM lançou o concurso para a selecção do empreiteiro responsável pela construção da linha de interligação.</w:t>
            </w:r>
          </w:p>
          <w:p w:rsidR="002D7366" w:rsidRPr="002D7366" w:rsidRDefault="002D7366" w:rsidP="002D7366">
            <w:pPr>
              <w:pStyle w:val="ListParagraph"/>
              <w:numPr>
                <w:ilvl w:val="0"/>
                <w:numId w:val="50"/>
              </w:numPr>
              <w:spacing w:after="0" w:line="240" w:lineRule="auto"/>
              <w:rPr>
                <w:rFonts w:ascii="Times New Roman" w:eastAsia="Times New Roman" w:hAnsi="Times New Roman" w:cs="Times New Roman"/>
                <w:b/>
                <w:bCs/>
                <w:sz w:val="21"/>
                <w:szCs w:val="21"/>
              </w:rPr>
            </w:pPr>
            <w:r w:rsidRPr="002D7366">
              <w:rPr>
                <w:rFonts w:ascii="Arial Narrow" w:hAnsi="Arial Narrow"/>
              </w:rPr>
              <w:t>A CEN lançou igualmente o concurso para a contratação do empreiteiro do BoP da planta, cujos resultados permitirão determinar os custos actualizados do projecto e, subsequentemente, rever o modelo financeiro e a tarifa final</w:t>
            </w:r>
          </w:p>
        </w:tc>
      </w:tr>
    </w:tbl>
    <w:p w:rsidR="000635DE" w:rsidRDefault="000635DE">
      <w:pPr>
        <w:rPr>
          <w:b/>
          <w:bCs/>
          <w:color w:val="FF0000"/>
        </w:rPr>
      </w:pPr>
    </w:p>
    <w:p w:rsidR="000635DE" w:rsidRDefault="00A90B96">
      <w:pPr>
        <w:rPr>
          <w:b/>
          <w:bCs/>
        </w:rPr>
      </w:pPr>
      <w:r>
        <w:rPr>
          <w:b/>
          <w:bCs/>
        </w:rPr>
        <w:t>Outros factores para o sucesso da sustentabilidade do sector:</w:t>
      </w:r>
    </w:p>
    <w:p w:rsidR="000635DE" w:rsidRDefault="00A90B96">
      <w:pPr>
        <w:numPr>
          <w:ilvl w:val="0"/>
          <w:numId w:val="18"/>
        </w:numPr>
        <w:pBdr>
          <w:top w:val="nil"/>
          <w:left w:val="nil"/>
          <w:bottom w:val="nil"/>
          <w:right w:val="nil"/>
          <w:between w:val="nil"/>
        </w:pBdr>
        <w:spacing w:after="0"/>
        <w:jc w:val="both"/>
        <w:rPr>
          <w:color w:val="000000"/>
          <w:sz w:val="24"/>
          <w:szCs w:val="24"/>
        </w:rPr>
      </w:pPr>
      <w:r>
        <w:rPr>
          <w:b/>
          <w:bCs/>
          <w:color w:val="000000"/>
          <w:sz w:val="24"/>
          <w:szCs w:val="24"/>
        </w:rPr>
        <w:t xml:space="preserve">Estabilidade da taxa de câmbio face ao Dólar Americano e ao Rand. </w:t>
      </w:r>
      <w:r>
        <w:rPr>
          <w:color w:val="000000"/>
          <w:sz w:val="24"/>
          <w:szCs w:val="24"/>
        </w:rPr>
        <w:t xml:space="preserve">A manutenção da Taxa de Câmbio Joga um Papel Preponderante para a Sustentabilidade Financeira da EDM, dada a Exposição das suas Operações “Tarifas das IPPs e Importação de Materiais e </w:t>
      </w:r>
      <w:r>
        <w:rPr>
          <w:sz w:val="24"/>
          <w:szCs w:val="24"/>
        </w:rPr>
        <w:t>Equipamentos</w:t>
      </w:r>
      <w:r>
        <w:rPr>
          <w:color w:val="000000"/>
          <w:sz w:val="24"/>
          <w:szCs w:val="24"/>
        </w:rPr>
        <w:t xml:space="preserve"> pagos em Moeda Estrangeira”.</w:t>
      </w:r>
    </w:p>
    <w:p w:rsidR="000635DE" w:rsidRDefault="00A90B96">
      <w:pPr>
        <w:numPr>
          <w:ilvl w:val="0"/>
          <w:numId w:val="18"/>
        </w:numPr>
        <w:pBdr>
          <w:top w:val="nil"/>
          <w:left w:val="nil"/>
          <w:bottom w:val="nil"/>
          <w:right w:val="nil"/>
          <w:between w:val="nil"/>
        </w:pBdr>
        <w:spacing w:after="0"/>
        <w:jc w:val="both"/>
        <w:rPr>
          <w:color w:val="000000"/>
          <w:sz w:val="24"/>
          <w:szCs w:val="24"/>
        </w:rPr>
      </w:pPr>
      <w:r>
        <w:rPr>
          <w:b/>
          <w:bCs/>
          <w:color w:val="000000"/>
          <w:sz w:val="24"/>
          <w:szCs w:val="24"/>
        </w:rPr>
        <w:t>Adopção de políticas favoráveis ao expatriamento/exportação de capitais/dividendos em moeda estrangeira.</w:t>
      </w:r>
      <w:r>
        <w:rPr>
          <w:color w:val="000000"/>
          <w:sz w:val="24"/>
          <w:szCs w:val="24"/>
        </w:rPr>
        <w:t xml:space="preserve"> As dificuldades sobre o expatriamento de </w:t>
      </w:r>
      <w:r>
        <w:rPr>
          <w:sz w:val="24"/>
          <w:szCs w:val="24"/>
        </w:rPr>
        <w:t>capitais</w:t>
      </w:r>
      <w:r>
        <w:rPr>
          <w:color w:val="000000"/>
          <w:sz w:val="24"/>
          <w:szCs w:val="24"/>
        </w:rPr>
        <w:t xml:space="preserve"> de investidores, seja em dividendos ou para aquisições no exterior comprometem a operação do negócio e atracção do investimento directo estrangeiro.</w:t>
      </w:r>
    </w:p>
    <w:p w:rsidR="000635DE" w:rsidRDefault="00A90B96">
      <w:pPr>
        <w:numPr>
          <w:ilvl w:val="0"/>
          <w:numId w:val="18"/>
        </w:numPr>
        <w:pBdr>
          <w:top w:val="nil"/>
          <w:left w:val="nil"/>
          <w:bottom w:val="nil"/>
          <w:right w:val="nil"/>
          <w:between w:val="nil"/>
        </w:pBdr>
        <w:spacing w:after="0"/>
        <w:jc w:val="both"/>
        <w:rPr>
          <w:color w:val="000000"/>
          <w:sz w:val="24"/>
          <w:szCs w:val="24"/>
        </w:rPr>
      </w:pPr>
      <w:r>
        <w:rPr>
          <w:b/>
          <w:bCs/>
          <w:color w:val="000000"/>
          <w:sz w:val="24"/>
          <w:szCs w:val="24"/>
        </w:rPr>
        <w:t>Estabilidade política do País para proporcionar o melhor ambiente de negócios e redução do risco.</w:t>
      </w:r>
      <w:r>
        <w:rPr>
          <w:color w:val="000000"/>
          <w:sz w:val="24"/>
          <w:szCs w:val="24"/>
        </w:rPr>
        <w:t xml:space="preserve"> A estabilidade proporciona melhor ambiente para atracção do investimento estrangeiro a baixo custo, pois, quanto menor o risco sobre os investimentos no País menor será o seu custo e, daí, maior o ritmo de implementação dos projectos de infraestrutura estratégicas de energia e outros, com benefício directo ao consumidor final e a população em geral.</w:t>
      </w:r>
    </w:p>
    <w:p w:rsidR="000635DE" w:rsidRDefault="00A90B96">
      <w:pPr>
        <w:numPr>
          <w:ilvl w:val="0"/>
          <w:numId w:val="18"/>
        </w:numPr>
        <w:pBdr>
          <w:top w:val="nil"/>
          <w:left w:val="nil"/>
          <w:bottom w:val="nil"/>
          <w:right w:val="nil"/>
          <w:between w:val="nil"/>
        </w:pBdr>
        <w:spacing w:after="0"/>
        <w:jc w:val="both"/>
        <w:rPr>
          <w:color w:val="000000"/>
          <w:sz w:val="24"/>
          <w:szCs w:val="24"/>
        </w:rPr>
      </w:pPr>
      <w:r>
        <w:rPr>
          <w:b/>
          <w:bCs/>
          <w:color w:val="000000"/>
          <w:sz w:val="24"/>
          <w:szCs w:val="24"/>
        </w:rPr>
        <w:lastRenderedPageBreak/>
        <w:t>Necessidade de uma abordagem integrada sobre os planos directores multissectoriais.</w:t>
      </w:r>
      <w:r>
        <w:rPr>
          <w:color w:val="000000"/>
          <w:sz w:val="24"/>
          <w:szCs w:val="24"/>
        </w:rPr>
        <w:t xml:space="preserve"> Esta abordagem permite optimização dos recursos do estado para investimentos em infraestruturas </w:t>
      </w:r>
      <w:r>
        <w:rPr>
          <w:sz w:val="24"/>
          <w:szCs w:val="24"/>
        </w:rPr>
        <w:t>públicas</w:t>
      </w:r>
      <w:r>
        <w:rPr>
          <w:color w:val="000000"/>
          <w:sz w:val="24"/>
          <w:szCs w:val="24"/>
        </w:rPr>
        <w:t xml:space="preserve"> e privadas para o </w:t>
      </w:r>
      <w:r>
        <w:rPr>
          <w:sz w:val="24"/>
          <w:szCs w:val="24"/>
        </w:rPr>
        <w:t>benefício</w:t>
      </w:r>
      <w:r>
        <w:rPr>
          <w:color w:val="000000"/>
          <w:sz w:val="24"/>
          <w:szCs w:val="24"/>
        </w:rPr>
        <w:t xml:space="preserve"> económico, sobretudo nos sectores de energia, obras </w:t>
      </w:r>
      <w:r>
        <w:rPr>
          <w:sz w:val="24"/>
          <w:szCs w:val="24"/>
        </w:rPr>
        <w:t>públicas</w:t>
      </w:r>
      <w:r>
        <w:rPr>
          <w:color w:val="000000"/>
          <w:sz w:val="24"/>
          <w:szCs w:val="24"/>
        </w:rPr>
        <w:t>, recursos hídricos, minas, agricultura, etc, facilitando a implementação de projectos de energia.</w:t>
      </w:r>
    </w:p>
    <w:p w:rsidR="000635DE" w:rsidRDefault="00A90B96">
      <w:pPr>
        <w:numPr>
          <w:ilvl w:val="0"/>
          <w:numId w:val="18"/>
        </w:numPr>
        <w:pBdr>
          <w:top w:val="nil"/>
          <w:left w:val="nil"/>
          <w:bottom w:val="nil"/>
          <w:right w:val="nil"/>
          <w:between w:val="nil"/>
        </w:pBdr>
        <w:jc w:val="both"/>
        <w:rPr>
          <w:color w:val="000000"/>
          <w:sz w:val="24"/>
          <w:szCs w:val="24"/>
        </w:rPr>
      </w:pPr>
      <w:r>
        <w:rPr>
          <w:b/>
          <w:bCs/>
          <w:color w:val="000000"/>
          <w:sz w:val="24"/>
          <w:szCs w:val="24"/>
        </w:rPr>
        <w:t>Continuidade na isenção do pagamento dos direitos e impostos na importação de materiais e equipamentos para o Programa Energia para Todos:</w:t>
      </w:r>
      <w:r>
        <w:rPr>
          <w:color w:val="000000"/>
          <w:sz w:val="24"/>
          <w:szCs w:val="24"/>
        </w:rPr>
        <w:t xml:space="preserve"> A isenção de direitos aduaneiros na importação de materiais e equipamentos acordada com o Banco Mundial e outros financiadores, foi tomada pelo Governo cessante em consideração a dificuldade de mobilização dos recursos financeiros para contribuir para o Pro</w:t>
      </w:r>
      <w:r>
        <w:rPr>
          <w:sz w:val="24"/>
          <w:szCs w:val="24"/>
        </w:rPr>
        <w:t>e</w:t>
      </w:r>
      <w:r>
        <w:rPr>
          <w:color w:val="000000"/>
          <w:sz w:val="24"/>
          <w:szCs w:val="24"/>
        </w:rPr>
        <w:t>nergia uma vez que tal obrigação é de lei. A sua interrupção coloca em causa a viabilidade das iniciativas e o relacionamento com a contraparte financiadora das iniciativas, para um programa de massificação do acesso à energia com a meta ambiciosa de alcançar os 100% até 2030 em meio a limitação de recursos financeiros.</w:t>
      </w:r>
    </w:p>
    <w:p w:rsidR="000635DE" w:rsidRDefault="00A90B96">
      <w:pPr>
        <w:rPr>
          <w:color w:val="000000"/>
          <w:sz w:val="24"/>
          <w:szCs w:val="24"/>
        </w:rPr>
      </w:pPr>
      <w:r>
        <w:br w:type="page"/>
      </w:r>
    </w:p>
    <w:p w:rsidR="000635DE" w:rsidRDefault="000635DE">
      <w:pPr>
        <w:pBdr>
          <w:top w:val="nil"/>
          <w:left w:val="nil"/>
          <w:bottom w:val="nil"/>
          <w:right w:val="nil"/>
          <w:between w:val="nil"/>
        </w:pBdr>
        <w:ind w:left="720"/>
        <w:jc w:val="both"/>
        <w:rPr>
          <w:color w:val="000000"/>
          <w:sz w:val="24"/>
          <w:szCs w:val="24"/>
        </w:rPr>
      </w:pPr>
    </w:p>
    <w:p w:rsidR="000635DE" w:rsidRDefault="00A90B96">
      <w:pPr>
        <w:rPr>
          <w:b/>
          <w:bCs/>
          <w:color w:val="FF0000"/>
        </w:rPr>
      </w:pPr>
      <w:r>
        <w:rPr>
          <w:b/>
          <w:bCs/>
          <w:color w:val="FF0000"/>
          <w:u w:val="single"/>
        </w:rPr>
        <w:t>PROJECTOS DE ALTO RISCO</w:t>
      </w:r>
      <w:r>
        <w:rPr>
          <w:b/>
          <w:bCs/>
          <w:color w:val="FF0000"/>
        </w:rPr>
        <w:t xml:space="preserve"> PARA A SUSTENTABILIDADE FINANCEIRA DA ELECTRICIDADE DE MOÇAMBIQUE</w:t>
      </w:r>
    </w:p>
    <w:tbl>
      <w:tblPr>
        <w:tblStyle w:val="a2"/>
        <w:tblW w:w="139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113"/>
        <w:gridCol w:w="3358"/>
        <w:gridCol w:w="3128"/>
        <w:gridCol w:w="3358"/>
      </w:tblGrid>
      <w:tr w:rsidR="000635DE">
        <w:trPr>
          <w:trHeight w:val="501"/>
          <w:tblHeader/>
        </w:trPr>
        <w:tc>
          <w:tcPr>
            <w:tcW w:w="4113" w:type="dxa"/>
            <w:vAlign w:val="center"/>
          </w:tcPr>
          <w:p w:rsidR="000635DE" w:rsidRDefault="00A90B96">
            <w:pPr>
              <w:spacing w:after="0" w:line="240" w:lineRule="auto"/>
              <w:rPr>
                <w:rFonts w:ascii="Times New Roman" w:eastAsia="Times New Roman" w:hAnsi="Times New Roman" w:cs="Times New Roman"/>
                <w:b/>
                <w:bCs/>
              </w:rPr>
            </w:pPr>
            <w:r>
              <w:rPr>
                <w:rFonts w:ascii="Times New Roman" w:eastAsia="Times New Roman" w:hAnsi="Times New Roman" w:cs="Times New Roman"/>
                <w:b/>
                <w:bCs/>
              </w:rPr>
              <w:t>DESCRIÇÃO DO PROJECTO</w:t>
            </w:r>
          </w:p>
        </w:tc>
        <w:tc>
          <w:tcPr>
            <w:tcW w:w="6486" w:type="dxa"/>
            <w:gridSpan w:val="2"/>
            <w:vAlign w:val="center"/>
          </w:tcPr>
          <w:p w:rsidR="000635DE" w:rsidRDefault="00A90B96">
            <w:pPr>
              <w:spacing w:after="0" w:line="240" w:lineRule="auto"/>
              <w:jc w:val="center"/>
              <w:rPr>
                <w:rFonts w:ascii="Times New Roman" w:eastAsia="Times New Roman" w:hAnsi="Times New Roman" w:cs="Times New Roman"/>
                <w:b/>
                <w:bCs/>
              </w:rPr>
            </w:pPr>
            <w:r>
              <w:rPr>
                <w:rFonts w:ascii="Times New Roman" w:eastAsia="Times New Roman" w:hAnsi="Times New Roman" w:cs="Times New Roman"/>
                <w:b/>
                <w:bCs/>
              </w:rPr>
              <w:t xml:space="preserve">CONSTRANGIMENTOS </w:t>
            </w:r>
            <w:r>
              <w:rPr>
                <w:rFonts w:ascii="Times New Roman" w:eastAsia="Times New Roman" w:hAnsi="Times New Roman" w:cs="Times New Roman"/>
              </w:rPr>
              <w:t>(</w:t>
            </w:r>
            <w:r>
              <w:rPr>
                <w:rFonts w:ascii="Times New Roman" w:eastAsia="Times New Roman" w:hAnsi="Times New Roman" w:cs="Times New Roman"/>
                <w:i/>
                <w:iCs/>
              </w:rPr>
              <w:t>Riscos para Sustentabilidade Financeira</w:t>
            </w:r>
            <w:r>
              <w:rPr>
                <w:rFonts w:ascii="Times New Roman" w:eastAsia="Times New Roman" w:hAnsi="Times New Roman" w:cs="Times New Roman"/>
              </w:rPr>
              <w:t>)</w:t>
            </w:r>
          </w:p>
        </w:tc>
        <w:tc>
          <w:tcPr>
            <w:tcW w:w="3358" w:type="dxa"/>
            <w:vAlign w:val="center"/>
          </w:tcPr>
          <w:p w:rsidR="000635DE" w:rsidRDefault="00A90B96">
            <w:pPr>
              <w:spacing w:after="0" w:line="240" w:lineRule="auto"/>
              <w:jc w:val="center"/>
              <w:rPr>
                <w:rFonts w:ascii="Times New Roman" w:eastAsia="Times New Roman" w:hAnsi="Times New Roman" w:cs="Times New Roman"/>
                <w:b/>
                <w:bCs/>
              </w:rPr>
            </w:pPr>
            <w:r>
              <w:rPr>
                <w:rFonts w:ascii="Times New Roman" w:eastAsia="Times New Roman" w:hAnsi="Times New Roman" w:cs="Times New Roman"/>
                <w:b/>
                <w:bCs/>
              </w:rPr>
              <w:t>PONTO DE SITUAÇÃO</w:t>
            </w:r>
          </w:p>
        </w:tc>
      </w:tr>
      <w:tr w:rsidR="000635DE">
        <w:trPr>
          <w:trHeight w:val="2913"/>
        </w:trPr>
        <w:tc>
          <w:tcPr>
            <w:tcW w:w="4113" w:type="dxa"/>
            <w:vAlign w:val="center"/>
          </w:tcPr>
          <w:p w:rsidR="000635DE" w:rsidRDefault="00A90B96">
            <w:pPr>
              <w:spacing w:after="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color w:val="FF0000"/>
                <w:sz w:val="24"/>
                <w:szCs w:val="24"/>
              </w:rPr>
              <w:t xml:space="preserve">PROJECTO 1: </w:t>
            </w:r>
            <w:r>
              <w:rPr>
                <w:rFonts w:ascii="Times New Roman" w:eastAsia="Times New Roman" w:hAnsi="Times New Roman" w:cs="Times New Roman"/>
                <w:b/>
                <w:bCs/>
                <w:sz w:val="24"/>
                <w:szCs w:val="24"/>
              </w:rPr>
              <w:t>Linha de Transmissão Chimuara–Nacala Fases II e III (Projecto da Gridworks)</w:t>
            </w:r>
          </w:p>
          <w:p w:rsidR="000635DE" w:rsidRDefault="00A90B96">
            <w:pPr>
              <w:spacing w:after="0" w:line="240" w:lineRule="auto"/>
              <w:ind w:left="708"/>
              <w:jc w:val="both"/>
              <w:rPr>
                <w:rFonts w:ascii="Times New Roman" w:eastAsia="Times New Roman" w:hAnsi="Times New Roman" w:cs="Times New Roman"/>
                <w:i/>
                <w:iCs/>
              </w:rPr>
            </w:pPr>
            <w:r>
              <w:rPr>
                <w:rFonts w:ascii="Times New Roman" w:eastAsia="Times New Roman" w:hAnsi="Times New Roman" w:cs="Times New Roman"/>
                <w:sz w:val="24"/>
                <w:szCs w:val="24"/>
              </w:rPr>
              <w:br/>
            </w:r>
            <w:r>
              <w:rPr>
                <w:rFonts w:ascii="Times New Roman" w:eastAsia="Times New Roman" w:hAnsi="Times New Roman" w:cs="Times New Roman"/>
                <w:i/>
                <w:iCs/>
              </w:rPr>
              <w:t>Projeto de linha de transmissão baseado em PPP para expandir a rede elétrica centro-norte, mudando de financiamento concessional (Fase I) para capital privado com TIR na ordem de ~15%.</w:t>
            </w:r>
          </w:p>
          <w:p w:rsidR="000635DE" w:rsidRDefault="00A90B96">
            <w:pPr>
              <w:spacing w:after="0" w:line="240" w:lineRule="auto"/>
              <w:ind w:left="708"/>
              <w:jc w:val="both"/>
              <w:rPr>
                <w:rFonts w:ascii="Times New Roman" w:eastAsia="Times New Roman" w:hAnsi="Times New Roman" w:cs="Times New Roman"/>
                <w:i/>
                <w:iCs/>
                <w:sz w:val="24"/>
                <w:szCs w:val="24"/>
              </w:rPr>
            </w:pPr>
            <w:r>
              <w:rPr>
                <w:rFonts w:ascii="Times New Roman" w:eastAsia="Times New Roman" w:hAnsi="Times New Roman" w:cs="Times New Roman"/>
                <w:i/>
                <w:iCs/>
              </w:rPr>
              <w:t>Antes desta abordagem, a EDM já havia engajado parceiros de cooperação para o financiamento da linha com base em fundos concessionais e donativos tendo em conta a natureza social dos seus benefícios, nomeadamente a electrificação rural e acesso universal, com o projecto orçado em cerca de 200MUSD.</w:t>
            </w:r>
          </w:p>
        </w:tc>
        <w:tc>
          <w:tcPr>
            <w:tcW w:w="6486" w:type="dxa"/>
            <w:gridSpan w:val="2"/>
            <w:vAlign w:val="center"/>
          </w:tcPr>
          <w:p w:rsidR="000635DE" w:rsidRDefault="00A90B96">
            <w:pPr>
              <w:numPr>
                <w:ilvl w:val="0"/>
                <w:numId w:val="29"/>
              </w:numPr>
              <w:pBdr>
                <w:top w:val="nil"/>
                <w:left w:val="nil"/>
                <w:bottom w:val="nil"/>
                <w:right w:val="nil"/>
                <w:between w:val="nil"/>
              </w:pBdr>
              <w:spacing w:after="0" w:line="240" w:lineRule="auto"/>
              <w:ind w:right="21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Altos custos devido ao modelo de financiamento privado (custo do projecto inicialmente previsto para cerca de 200MUSD passam para cerca de 450MUSD, </w:t>
            </w:r>
            <w:r>
              <w:rPr>
                <w:rFonts w:ascii="Times New Roman" w:eastAsia="Times New Roman" w:hAnsi="Times New Roman" w:cs="Times New Roman"/>
                <w:sz w:val="24"/>
                <w:szCs w:val="24"/>
              </w:rPr>
              <w:t>o</w:t>
            </w:r>
            <w:r>
              <w:rPr>
                <w:rFonts w:ascii="Times New Roman" w:eastAsia="Times New Roman" w:hAnsi="Times New Roman" w:cs="Times New Roman"/>
                <w:color w:val="000000"/>
                <w:sz w:val="24"/>
                <w:szCs w:val="24"/>
              </w:rPr>
              <w:t xml:space="preserve"> dobro dos custos tradicionais).</w:t>
            </w:r>
          </w:p>
          <w:p w:rsidR="000635DE" w:rsidRDefault="00A90B96">
            <w:pPr>
              <w:numPr>
                <w:ilvl w:val="0"/>
                <w:numId w:val="29"/>
              </w:numPr>
              <w:pBdr>
                <w:top w:val="nil"/>
                <w:left w:val="nil"/>
                <w:bottom w:val="nil"/>
                <w:right w:val="nil"/>
                <w:between w:val="nil"/>
              </w:pBdr>
              <w:spacing w:after="0" w:line="240" w:lineRule="auto"/>
              <w:ind w:right="21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Falta de estudos de viabilidade e estruturação financeira antes da abordagem negocial e compromisso do Estado e da EDM.</w:t>
            </w:r>
          </w:p>
          <w:p w:rsidR="000635DE" w:rsidRDefault="00A90B96">
            <w:pPr>
              <w:numPr>
                <w:ilvl w:val="0"/>
                <w:numId w:val="29"/>
              </w:numPr>
              <w:pBdr>
                <w:top w:val="nil"/>
                <w:left w:val="nil"/>
                <w:bottom w:val="nil"/>
                <w:right w:val="nil"/>
                <w:between w:val="nil"/>
              </w:pBdr>
              <w:spacing w:after="0" w:line="240" w:lineRule="auto"/>
              <w:ind w:right="21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Risco de distanciamento dos doadores tradicionais (como o Banco Mundial e o Banco Africano de Desenvolvimento).</w:t>
            </w:r>
          </w:p>
          <w:p w:rsidR="000635DE" w:rsidRDefault="00A90B96">
            <w:pPr>
              <w:numPr>
                <w:ilvl w:val="0"/>
                <w:numId w:val="29"/>
              </w:numPr>
              <w:pBdr>
                <w:top w:val="nil"/>
                <w:left w:val="nil"/>
                <w:bottom w:val="nil"/>
                <w:right w:val="nil"/>
                <w:between w:val="nil"/>
              </w:pBdr>
              <w:spacing w:after="0" w:line="240" w:lineRule="auto"/>
              <w:ind w:right="21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Potencial para erosão da sustentabilidade financeira da EDM com as tarifas elevadas sobre a utilização da linha, sem que haja abertura de um mercado novo de fornecimento de energia.</w:t>
            </w:r>
          </w:p>
          <w:p w:rsidR="000635DE" w:rsidRDefault="000635DE">
            <w:pPr>
              <w:pBdr>
                <w:top w:val="nil"/>
                <w:left w:val="nil"/>
                <w:bottom w:val="nil"/>
                <w:right w:val="nil"/>
                <w:between w:val="nil"/>
              </w:pBdr>
              <w:spacing w:after="0" w:line="240" w:lineRule="auto"/>
              <w:ind w:right="212"/>
              <w:jc w:val="both"/>
              <w:rPr>
                <w:rFonts w:ascii="Times New Roman" w:eastAsia="Times New Roman" w:hAnsi="Times New Roman" w:cs="Times New Roman"/>
                <w:sz w:val="24"/>
                <w:szCs w:val="24"/>
              </w:rPr>
            </w:pPr>
          </w:p>
          <w:p w:rsidR="000635DE" w:rsidRDefault="000635DE">
            <w:pPr>
              <w:pBdr>
                <w:top w:val="nil"/>
                <w:left w:val="nil"/>
                <w:bottom w:val="nil"/>
                <w:right w:val="nil"/>
                <w:between w:val="nil"/>
              </w:pBdr>
              <w:spacing w:after="0" w:line="240" w:lineRule="auto"/>
              <w:ind w:right="212"/>
              <w:jc w:val="both"/>
              <w:rPr>
                <w:rFonts w:ascii="Times New Roman" w:eastAsia="Times New Roman" w:hAnsi="Times New Roman" w:cs="Times New Roman"/>
                <w:sz w:val="24"/>
                <w:szCs w:val="24"/>
              </w:rPr>
            </w:pPr>
          </w:p>
        </w:tc>
        <w:tc>
          <w:tcPr>
            <w:tcW w:w="3358" w:type="dxa"/>
            <w:vAlign w:val="center"/>
          </w:tcPr>
          <w:p w:rsidR="000635DE" w:rsidRDefault="00A90B96">
            <w:pPr>
              <w:numPr>
                <w:ilvl w:val="0"/>
                <w:numId w:val="38"/>
              </w:numPr>
              <w:spacing w:after="0" w:line="240" w:lineRule="auto"/>
              <w:ind w:right="21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Finalizada a primeira fase dos estudos de impacto ambiental e social;</w:t>
            </w:r>
          </w:p>
          <w:p w:rsidR="000635DE" w:rsidRDefault="00A90B96">
            <w:pPr>
              <w:numPr>
                <w:ilvl w:val="0"/>
                <w:numId w:val="38"/>
              </w:numPr>
              <w:spacing w:after="0" w:line="240" w:lineRule="auto"/>
              <w:ind w:right="21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Encontram-se em actualização os estudos de viabilidade, para acomodar o aumento da capacidade do troço Namialo–Nacala Velha, de 220 kV para 400 kV.</w:t>
            </w:r>
          </w:p>
          <w:p w:rsidR="000635DE" w:rsidRDefault="00A90B96">
            <w:pPr>
              <w:numPr>
                <w:ilvl w:val="0"/>
                <w:numId w:val="38"/>
              </w:numPr>
              <w:spacing w:after="0" w:line="240" w:lineRule="auto"/>
              <w:ind w:right="21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Encontra-se em discussão com o proponente o modelo financeiro do projecto, com vista a assegurar a sua sustentabilidade financeira e a definição de uma estrutura de custos adequada.</w:t>
            </w:r>
          </w:p>
          <w:p w:rsidR="000635DE" w:rsidRDefault="00A90B96">
            <w:pPr>
              <w:numPr>
                <w:ilvl w:val="0"/>
                <w:numId w:val="38"/>
              </w:numPr>
              <w:spacing w:after="0" w:line="240" w:lineRule="auto"/>
              <w:ind w:right="21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Encontra-se igualmente em discussão com o proponente o Term Sheet do projecto.</w:t>
            </w:r>
          </w:p>
          <w:p w:rsidR="000635DE" w:rsidRDefault="000635DE">
            <w:pPr>
              <w:spacing w:after="0" w:line="240" w:lineRule="auto"/>
              <w:ind w:left="720" w:right="212"/>
              <w:jc w:val="both"/>
              <w:rPr>
                <w:rFonts w:ascii="Times New Roman" w:eastAsia="Times New Roman" w:hAnsi="Times New Roman" w:cs="Times New Roman"/>
                <w:sz w:val="24"/>
                <w:szCs w:val="24"/>
              </w:rPr>
            </w:pPr>
          </w:p>
        </w:tc>
      </w:tr>
      <w:tr w:rsidR="000635DE">
        <w:trPr>
          <w:trHeight w:val="2490"/>
        </w:trPr>
        <w:tc>
          <w:tcPr>
            <w:tcW w:w="4113" w:type="dxa"/>
            <w:vAlign w:val="center"/>
          </w:tcPr>
          <w:p w:rsidR="000635DE" w:rsidRDefault="00A90B9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bCs/>
                <w:color w:val="FF0000"/>
                <w:sz w:val="24"/>
                <w:szCs w:val="24"/>
              </w:rPr>
              <w:lastRenderedPageBreak/>
              <w:t xml:space="preserve">PROJECTO 2: </w:t>
            </w:r>
            <w:r>
              <w:rPr>
                <w:rFonts w:ascii="Times New Roman" w:eastAsia="Times New Roman" w:hAnsi="Times New Roman" w:cs="Times New Roman"/>
                <w:b/>
                <w:bCs/>
                <w:sz w:val="24"/>
                <w:szCs w:val="24"/>
              </w:rPr>
              <w:t>Linhas de Transmissão África 50 / PowerGrid</w:t>
            </w:r>
            <w:r>
              <w:rPr>
                <w:rFonts w:ascii="Times New Roman" w:eastAsia="Times New Roman" w:hAnsi="Times New Roman" w:cs="Times New Roman"/>
                <w:sz w:val="24"/>
                <w:szCs w:val="24"/>
              </w:rPr>
              <w:br/>
            </w:r>
          </w:p>
          <w:p w:rsidR="000635DE" w:rsidRDefault="00A90B96">
            <w:pPr>
              <w:spacing w:after="0" w:line="240" w:lineRule="auto"/>
              <w:ind w:left="708"/>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Iniciativa privada para três novas linhas de transmissão (Metoro–Montepuez–Marrupa, Chimuara–Inhaminga–Inchope, Namialo–Metoro) sob um modelo PPP com ~17% TIR.</w:t>
            </w:r>
          </w:p>
          <w:p w:rsidR="000635DE" w:rsidRDefault="00A90B96">
            <w:pPr>
              <w:spacing w:after="0" w:line="240" w:lineRule="auto"/>
              <w:ind w:left="708"/>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Projectos antes incluídos no plano de expansão da transmissão proposto para financiamento concessional ou donativos, como a lista de corredores verdes submetida ao Banco Mundial.</w:t>
            </w:r>
          </w:p>
        </w:tc>
        <w:tc>
          <w:tcPr>
            <w:tcW w:w="6486" w:type="dxa"/>
            <w:gridSpan w:val="2"/>
            <w:vAlign w:val="center"/>
          </w:tcPr>
          <w:p w:rsidR="000635DE" w:rsidRDefault="00A90B96">
            <w:pPr>
              <w:numPr>
                <w:ilvl w:val="0"/>
                <w:numId w:val="36"/>
              </w:numPr>
              <w:spacing w:before="240" w:after="0" w:line="240" w:lineRule="auto"/>
              <w:rPr>
                <w:rFonts w:ascii="Arial" w:eastAsia="Arial" w:hAnsi="Arial" w:cs="Arial"/>
              </w:rPr>
            </w:pPr>
            <w:r>
              <w:rPr>
                <w:rFonts w:ascii="Times New Roman" w:eastAsia="Times New Roman" w:hAnsi="Times New Roman" w:cs="Times New Roman"/>
                <w:sz w:val="24"/>
                <w:szCs w:val="24"/>
              </w:rPr>
              <w:t>Foi assinado o Acordo de Desenvolvimento dos Projectos (PDA) entre a EDM e a Africa50, em 13 de Agosto de 2025, e, subsequentemente, o Acordo de Confidencialidade (NDA). Contudo, até à presente data, a Africa50 ainda não iniciou a realização dos estudos de viabilidade dos projectos;</w:t>
            </w:r>
          </w:p>
          <w:p w:rsidR="000635DE" w:rsidRDefault="00A90B96">
            <w:pPr>
              <w:numPr>
                <w:ilvl w:val="0"/>
                <w:numId w:val="36"/>
              </w:numPr>
              <w:spacing w:after="0" w:line="240" w:lineRule="auto"/>
              <w:rPr>
                <w:rFonts w:ascii="Arial" w:eastAsia="Arial" w:hAnsi="Arial" w:cs="Arial"/>
              </w:rPr>
            </w:pPr>
            <w:r>
              <w:rPr>
                <w:rFonts w:ascii="Times New Roman" w:eastAsia="Times New Roman" w:hAnsi="Times New Roman" w:cs="Times New Roman"/>
                <w:sz w:val="24"/>
                <w:szCs w:val="24"/>
              </w:rPr>
              <w:t>A Africa50 condiciona a realização dos estudos de viabilidade à celebração prévia de acordos comerciais firmes, alegando o risco de incorrer em custos de desenvolvimento sem qualquer garantia de implementação dos projectos. Por seu turno, a EDM considera prematura a celebração de acordos comerciais firmes antes da conclusão dos referidos estudos;</w:t>
            </w:r>
          </w:p>
          <w:p w:rsidR="000635DE" w:rsidRDefault="00A90B96">
            <w:pPr>
              <w:numPr>
                <w:ilvl w:val="0"/>
                <w:numId w:val="36"/>
              </w:numPr>
              <w:spacing w:after="240" w:line="240" w:lineRule="auto"/>
              <w:rPr>
                <w:rFonts w:ascii="Arial" w:eastAsia="Arial" w:hAnsi="Arial" w:cs="Arial"/>
              </w:rPr>
            </w:pPr>
            <w:r>
              <w:rPr>
                <w:rFonts w:ascii="Times New Roman" w:eastAsia="Times New Roman" w:hAnsi="Times New Roman" w:cs="Times New Roman"/>
                <w:sz w:val="24"/>
                <w:szCs w:val="24"/>
              </w:rPr>
              <w:t>Existe o risco de insustentabilidade financeira dos projectos. Os estudos preliminares realizados pela Africa50 indicam que a capacidade de pagamento da EDM poderá cobrir apenas cerca de 33% das necessidades financeiras para a remuneração dos projectos. Para colmatar o défice de financiamento identificado, propõe-se a adopção, entre outras, das seguintes medidas: (i) aprovação de um pacote especial de benefícios e isenções fiscais; (ii) mobilização de financiamento concessional; e (iii) mobilização de donativos.</w:t>
            </w:r>
          </w:p>
          <w:p w:rsidR="000635DE" w:rsidRDefault="000635DE">
            <w:pPr>
              <w:pBdr>
                <w:top w:val="nil"/>
                <w:left w:val="nil"/>
                <w:bottom w:val="nil"/>
                <w:right w:val="nil"/>
                <w:between w:val="nil"/>
              </w:pBdr>
              <w:spacing w:after="0" w:line="240" w:lineRule="auto"/>
              <w:ind w:left="720" w:right="212"/>
              <w:jc w:val="both"/>
              <w:rPr>
                <w:rFonts w:ascii="Times New Roman" w:eastAsia="Times New Roman" w:hAnsi="Times New Roman" w:cs="Times New Roman"/>
                <w:color w:val="000000"/>
                <w:sz w:val="24"/>
                <w:szCs w:val="24"/>
              </w:rPr>
            </w:pPr>
          </w:p>
        </w:tc>
        <w:tc>
          <w:tcPr>
            <w:tcW w:w="3358" w:type="dxa"/>
            <w:vAlign w:val="center"/>
          </w:tcPr>
          <w:sdt>
            <w:sdtPr>
              <w:tag w:val="goog_rdk_3"/>
              <w:id w:val="-1247466264"/>
            </w:sdtPr>
            <w:sdtEndPr/>
            <w:sdtContent>
              <w:p w:rsidR="000635DE" w:rsidRDefault="00344B34">
                <w:pPr>
                  <w:numPr>
                    <w:ilvl w:val="0"/>
                    <w:numId w:val="8"/>
                  </w:numPr>
                  <w:spacing w:before="240" w:after="240" w:line="240" w:lineRule="auto"/>
                  <w:rPr>
                    <w:rFonts w:ascii="Times New Roman" w:eastAsia="Times New Roman" w:hAnsi="Times New Roman" w:cs="Times New Roman"/>
                    <w:sz w:val="24"/>
                    <w:szCs w:val="24"/>
                  </w:rPr>
                </w:pPr>
                <w:sdt>
                  <w:sdtPr>
                    <w:tag w:val="goog_rdk_2"/>
                    <w:id w:val="201672835"/>
                  </w:sdtPr>
                  <w:sdtEndPr/>
                  <w:sdtContent>
                    <w:r w:rsidR="00A90B96">
                      <w:rPr>
                        <w:rFonts w:ascii="Times New Roman" w:eastAsia="Times New Roman" w:hAnsi="Times New Roman" w:cs="Times New Roman"/>
                        <w:sz w:val="24"/>
                        <w:szCs w:val="24"/>
                      </w:rPr>
                      <w:t>Troca de informações técnicas para início de estudos de viabilidade</w:t>
                    </w:r>
                  </w:sdtContent>
                </w:sdt>
              </w:p>
            </w:sdtContent>
          </w:sdt>
          <w:sdt>
            <w:sdtPr>
              <w:tag w:val="goog_rdk_5"/>
              <w:id w:val="-922908653"/>
            </w:sdtPr>
            <w:sdtEndPr/>
            <w:sdtContent>
              <w:p w:rsidR="000635DE" w:rsidRDefault="00344B34" w:rsidP="007217CB">
                <w:pPr>
                  <w:numPr>
                    <w:ilvl w:val="0"/>
                    <w:numId w:val="8"/>
                  </w:numPr>
                  <w:spacing w:before="240" w:after="240" w:line="240" w:lineRule="auto"/>
                  <w:rPr>
                    <w:rFonts w:ascii="Times New Roman" w:eastAsia="Times New Roman" w:hAnsi="Times New Roman" w:cs="Times New Roman"/>
                    <w:sz w:val="24"/>
                    <w:szCs w:val="24"/>
                  </w:rPr>
                </w:pPr>
                <w:sdt>
                  <w:sdtPr>
                    <w:tag w:val="goog_rdk_4"/>
                    <w:id w:val="1753136218"/>
                  </w:sdtPr>
                  <w:sdtEndPr/>
                  <w:sdtContent>
                    <w:r w:rsidR="00A90B96">
                      <w:rPr>
                        <w:rFonts w:ascii="Times New Roman" w:eastAsia="Times New Roman" w:hAnsi="Times New Roman" w:cs="Times New Roman"/>
                        <w:sz w:val="24"/>
                        <w:szCs w:val="24"/>
                      </w:rPr>
                      <w:t>Formação de equipas de trabalho para realização de estudos</w:t>
                    </w:r>
                  </w:sdtContent>
                </w:sdt>
              </w:p>
            </w:sdtContent>
          </w:sdt>
        </w:tc>
      </w:tr>
      <w:tr w:rsidR="000635DE" w:rsidTr="007217CB">
        <w:trPr>
          <w:trHeight w:val="2490"/>
        </w:trPr>
        <w:tc>
          <w:tcPr>
            <w:tcW w:w="4113" w:type="dxa"/>
            <w:vAlign w:val="center"/>
          </w:tcPr>
          <w:p w:rsidR="000635DE" w:rsidRDefault="00A90B9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bCs/>
                <w:color w:val="FF0000"/>
                <w:sz w:val="24"/>
                <w:szCs w:val="24"/>
              </w:rPr>
              <w:t xml:space="preserve">PROJECTO 4: </w:t>
            </w:r>
            <w:r>
              <w:rPr>
                <w:rFonts w:ascii="Times New Roman" w:eastAsia="Times New Roman" w:hAnsi="Times New Roman" w:cs="Times New Roman"/>
                <w:b/>
                <w:bCs/>
                <w:sz w:val="24"/>
                <w:szCs w:val="24"/>
              </w:rPr>
              <w:t>Central Solar de Mocuba (CESOM) – 30 MW</w:t>
            </w:r>
            <w:r>
              <w:rPr>
                <w:rFonts w:ascii="Times New Roman" w:eastAsia="Times New Roman" w:hAnsi="Times New Roman" w:cs="Times New Roman"/>
                <w:sz w:val="24"/>
                <w:szCs w:val="24"/>
              </w:rPr>
              <w:br/>
            </w:r>
          </w:p>
          <w:p w:rsidR="000635DE" w:rsidRDefault="00A90B96">
            <w:pPr>
              <w:spacing w:after="0" w:line="240" w:lineRule="auto"/>
              <w:ind w:left="708"/>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Primeira Central Solar de grande porte, em operação desde 2019, com tarifas elevadas impactando a sustentabilidade financeira da EDM.</w:t>
            </w:r>
          </w:p>
        </w:tc>
        <w:sdt>
          <w:sdtPr>
            <w:tag w:val="goog_rdk_54"/>
            <w:id w:val="-972861144"/>
          </w:sdtPr>
          <w:sdtEndPr/>
          <w:sdtContent>
            <w:tc>
              <w:tcPr>
                <w:tcW w:w="3358" w:type="dxa"/>
                <w:vAlign w:val="center"/>
              </w:tcPr>
              <w:p w:rsidR="000635DE" w:rsidRDefault="00A90B96">
                <w:pPr>
                  <w:numPr>
                    <w:ilvl w:val="0"/>
                    <w:numId w:val="17"/>
                  </w:num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 tarifa (13,5 USc/kWh) excede o custo médio </w:t>
                </w:r>
                <w:r>
                  <w:rPr>
                    <w:rFonts w:ascii="Times New Roman" w:eastAsia="Times New Roman" w:hAnsi="Times New Roman" w:cs="Times New Roman"/>
                    <w:sz w:val="24"/>
                    <w:szCs w:val="24"/>
                  </w:rPr>
                  <w:t xml:space="preserve">de energia </w:t>
                </w:r>
                <w:r>
                  <w:rPr>
                    <w:rFonts w:ascii="Times New Roman" w:eastAsia="Times New Roman" w:hAnsi="Times New Roman" w:cs="Times New Roman"/>
                    <w:color w:val="000000"/>
                    <w:sz w:val="24"/>
                    <w:szCs w:val="24"/>
                  </w:rPr>
                  <w:t>da EDM (~</w:t>
                </w:r>
                <w:r>
                  <w:rPr>
                    <w:rFonts w:ascii="Times New Roman" w:eastAsia="Times New Roman" w:hAnsi="Times New Roman" w:cs="Times New Roman"/>
                    <w:sz w:val="24"/>
                    <w:szCs w:val="24"/>
                  </w:rPr>
                  <w:t>7</w:t>
                </w:r>
                <w:r>
                  <w:rPr>
                    <w:rFonts w:ascii="Times New Roman" w:eastAsia="Times New Roman" w:hAnsi="Times New Roman" w:cs="Times New Roman"/>
                    <w:color w:val="000000"/>
                    <w:sz w:val="24"/>
                    <w:szCs w:val="24"/>
                  </w:rPr>
                  <w:t xml:space="preserve"> USc/kWh).</w:t>
                </w:r>
              </w:p>
              <w:p w:rsidR="000635DE" w:rsidRDefault="00A90B96">
                <w:pPr>
                  <w:numPr>
                    <w:ilvl w:val="0"/>
                    <w:numId w:val="17"/>
                  </w:num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Aumentos tarifários anuais pressionam as finanças da EDM.</w:t>
                </w:r>
              </w:p>
              <w:p w:rsidR="000635DE" w:rsidRDefault="00A90B96">
                <w:pPr>
                  <w:numPr>
                    <w:ilvl w:val="0"/>
                    <w:numId w:val="17"/>
                  </w:num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Alto CAPEX em comparação com os padrões das centrais </w:t>
                </w:r>
                <w:r>
                  <w:rPr>
                    <w:rFonts w:ascii="Times New Roman" w:eastAsia="Times New Roman" w:hAnsi="Times New Roman" w:cs="Times New Roman"/>
                    <w:color w:val="000000"/>
                    <w:sz w:val="24"/>
                    <w:szCs w:val="24"/>
                  </w:rPr>
                  <w:lastRenderedPageBreak/>
                  <w:t>solares a nível internacionais.</w:t>
                </w:r>
              </w:p>
              <w:sdt>
                <w:sdtPr>
                  <w:tag w:val="goog_rdk_57"/>
                  <w:id w:val="-142045212"/>
                </w:sdtPr>
                <w:sdtEndPr/>
                <w:sdtContent>
                  <w:p w:rsidR="000635DE" w:rsidRDefault="00A90B96">
                    <w:pPr>
                      <w:numPr>
                        <w:ilvl w:val="0"/>
                        <w:numId w:val="17"/>
                      </w:num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Desafios de expansão devido a insustentabilidade tarifária.</w:t>
                    </w:r>
                    <w:sdt>
                      <w:sdtPr>
                        <w:tag w:val="goog_rdk_55"/>
                        <w:id w:val="1379442129"/>
                      </w:sdtPr>
                      <w:sdtEndPr/>
                      <w:sdtContent>
                        <w:sdt>
                          <w:sdtPr>
                            <w:tag w:val="goog_rdk_56"/>
                            <w:id w:val="-1972708934"/>
                          </w:sdtPr>
                          <w:sdtEndPr/>
                          <w:sdtContent/>
                        </w:sdt>
                      </w:sdtContent>
                    </w:sdt>
                  </w:p>
                </w:sdtContent>
              </w:sdt>
              <w:sdt>
                <w:sdtPr>
                  <w:tag w:val="goog_rdk_61"/>
                  <w:id w:val="-233383636"/>
                </w:sdtPr>
                <w:sdtEndPr/>
                <w:sdtContent>
                  <w:p w:rsidR="000635DE" w:rsidRPr="007217CB" w:rsidRDefault="00344B34" w:rsidP="007217CB">
                    <w:pPr>
                      <w:widowControl w:val="0"/>
                      <w:spacing w:after="0" w:line="276" w:lineRule="auto"/>
                      <w:ind w:left="720"/>
                      <w:rPr>
                        <w:rFonts w:ascii="Arial" w:eastAsia="Arial" w:hAnsi="Arial" w:cs="Arial"/>
                        <w:color w:val="000000"/>
                      </w:rPr>
                    </w:pPr>
                    <w:sdt>
                      <w:sdtPr>
                        <w:tag w:val="goog_rdk_58"/>
                        <w:id w:val="-1533086716"/>
                      </w:sdtPr>
                      <w:sdtEndPr/>
                      <w:sdtContent>
                        <w:sdt>
                          <w:sdtPr>
                            <w:tag w:val="goog_rdk_59"/>
                            <w:id w:val="1400981315"/>
                          </w:sdtPr>
                          <w:sdtEndPr/>
                          <w:sdtContent>
                            <w:r w:rsidR="00A90B96" w:rsidRPr="007217CB">
                              <w:rPr>
                                <w:rFonts w:ascii="Times New Roman" w:eastAsia="Times New Roman" w:hAnsi="Times New Roman" w:cs="Times New Roman"/>
                                <w:i/>
                                <w:iCs/>
                                <w:sz w:val="24"/>
                                <w:szCs w:val="24"/>
                              </w:rPr>
                              <w:t>A iniciativa de expansão da PV Mocuba liderada pela Globeleq, encontra-se pendente em virtude de não ter havido consenso entre as partes, relativamente à tarifa proposta.</w:t>
                            </w:r>
                          </w:sdtContent>
                        </w:sdt>
                      </w:sdtContent>
                    </w:sdt>
                    <w:sdt>
                      <w:sdtPr>
                        <w:tag w:val="goog_rdk_60"/>
                        <w:id w:val="560885096"/>
                      </w:sdtPr>
                      <w:sdtEndPr/>
                      <w:sdtContent/>
                    </w:sdt>
                  </w:p>
                </w:sdtContent>
              </w:sdt>
            </w:tc>
          </w:sdtContent>
        </w:sdt>
        <w:sdt>
          <w:sdtPr>
            <w:tag w:val="goog_rdk_62"/>
            <w:id w:val="-718043665"/>
          </w:sdtPr>
          <w:sdtEndPr/>
          <w:sdtContent>
            <w:tc>
              <w:tcPr>
                <w:tcW w:w="3128" w:type="dxa"/>
                <w:vAlign w:val="center"/>
              </w:tcPr>
              <w:sdt>
                <w:sdtPr>
                  <w:tag w:val="goog_rdk_65"/>
                  <w:id w:val="-247075946"/>
                </w:sdtPr>
                <w:sdtEndPr/>
                <w:sdtContent>
                  <w:p w:rsidR="000635DE" w:rsidRDefault="00344B34" w:rsidP="007217CB">
                    <w:pPr>
                      <w:widowControl w:val="0"/>
                      <w:pBdr>
                        <w:top w:val="nil"/>
                        <w:left w:val="nil"/>
                        <w:bottom w:val="nil"/>
                        <w:right w:val="nil"/>
                        <w:between w:val="nil"/>
                      </w:pBdr>
                      <w:spacing w:after="0" w:line="240" w:lineRule="auto"/>
                      <w:rPr>
                        <w:rFonts w:ascii="Times New Roman" w:eastAsia="Times New Roman" w:hAnsi="Times New Roman" w:cs="Times New Roman"/>
                        <w:i/>
                        <w:iCs/>
                        <w:color w:val="000000"/>
                        <w:sz w:val="24"/>
                        <w:szCs w:val="24"/>
                      </w:rPr>
                    </w:pPr>
                    <w:sdt>
                      <w:sdtPr>
                        <w:tag w:val="goog_rdk_64"/>
                        <w:id w:val="1705278987"/>
                        <w:showingPlcHdr/>
                      </w:sdtPr>
                      <w:sdtEndPr/>
                      <w:sdtContent>
                        <w:r w:rsidR="007217CB">
                          <w:t xml:space="preserve">     </w:t>
                        </w:r>
                      </w:sdtContent>
                    </w:sdt>
                  </w:p>
                </w:sdtContent>
              </w:sdt>
            </w:tc>
          </w:sdtContent>
        </w:sdt>
        <w:sdt>
          <w:sdtPr>
            <w:tag w:val="goog_rdk_66"/>
            <w:id w:val="-1324560050"/>
          </w:sdtPr>
          <w:sdtEndPr/>
          <w:sdtContent>
            <w:tc>
              <w:tcPr>
                <w:tcW w:w="3358" w:type="dxa"/>
                <w:vAlign w:val="center"/>
              </w:tcPr>
              <w:sdt>
                <w:sdtPr>
                  <w:tag w:val="goog_rdk_71"/>
                  <w:id w:val="-436217693"/>
                </w:sdtPr>
                <w:sdtEndPr/>
                <w:sdtContent>
                  <w:p w:rsidR="000635DE" w:rsidRPr="007217CB" w:rsidRDefault="00344B34" w:rsidP="007217CB">
                    <w:pPr>
                      <w:spacing w:after="0" w:line="240" w:lineRule="auto"/>
                      <w:ind w:left="720"/>
                      <w:jc w:val="both"/>
                      <w:rPr>
                        <w:rFonts w:ascii="Times New Roman" w:eastAsia="Times New Roman" w:hAnsi="Times New Roman" w:cs="Times New Roman"/>
                        <w:i/>
                        <w:iCs/>
                        <w:sz w:val="24"/>
                        <w:szCs w:val="24"/>
                      </w:rPr>
                    </w:pPr>
                    <w:sdt>
                      <w:sdtPr>
                        <w:tag w:val="goog_rdk_68"/>
                        <w:id w:val="178882319"/>
                      </w:sdtPr>
                      <w:sdtEndPr/>
                      <w:sdtContent>
                        <w:sdt>
                          <w:sdtPr>
                            <w:tag w:val="goog_rdk_69"/>
                            <w:id w:val="1446607148"/>
                          </w:sdtPr>
                          <w:sdtEndPr/>
                          <w:sdtContent>
                            <w:r w:rsidR="00A90B96" w:rsidRPr="007217CB">
                              <w:rPr>
                                <w:rFonts w:ascii="Times New Roman" w:eastAsia="Times New Roman" w:hAnsi="Times New Roman" w:cs="Times New Roman"/>
                                <w:i/>
                                <w:iCs/>
                                <w:sz w:val="24"/>
                                <w:szCs w:val="24"/>
                              </w:rPr>
                              <w:t>A iniciativa de expansão da PV Mocuba liderada pela Globeleq, encontra-se pendente em virtude de não ter havido consenso entre as partes, relativamente à tarifa proposta.</w:t>
                            </w:r>
                          </w:sdtContent>
                        </w:sdt>
                      </w:sdtContent>
                    </w:sdt>
                    <w:sdt>
                      <w:sdtPr>
                        <w:tag w:val="goog_rdk_70"/>
                        <w:id w:val="-1608815079"/>
                      </w:sdtPr>
                      <w:sdtEndPr/>
                      <w:sdtContent/>
                    </w:sdt>
                  </w:p>
                </w:sdtContent>
              </w:sdt>
            </w:tc>
          </w:sdtContent>
        </w:sdt>
      </w:tr>
      <w:tr w:rsidR="000635DE">
        <w:trPr>
          <w:trHeight w:val="2490"/>
        </w:trPr>
        <w:tc>
          <w:tcPr>
            <w:tcW w:w="4113" w:type="dxa"/>
            <w:vAlign w:val="center"/>
          </w:tcPr>
          <w:p w:rsidR="000635DE" w:rsidRDefault="00A90B96">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b/>
                <w:bCs/>
                <w:color w:val="FF0000"/>
                <w:sz w:val="24"/>
                <w:szCs w:val="24"/>
              </w:rPr>
              <w:lastRenderedPageBreak/>
              <w:t xml:space="preserve">PROJECTO 5: </w:t>
            </w:r>
            <w:r>
              <w:rPr>
                <w:rFonts w:ascii="Times New Roman" w:eastAsia="Times New Roman" w:hAnsi="Times New Roman" w:cs="Times New Roman"/>
                <w:b/>
                <w:bCs/>
                <w:color w:val="000000"/>
                <w:sz w:val="24"/>
                <w:szCs w:val="24"/>
              </w:rPr>
              <w:t>Aprovação de Projectos de Auto-Geração para as Cimenteiras</w:t>
            </w:r>
            <w:r>
              <w:rPr>
                <w:rFonts w:ascii="Times New Roman" w:eastAsia="Times New Roman" w:hAnsi="Times New Roman" w:cs="Times New Roman"/>
                <w:color w:val="000000"/>
                <w:sz w:val="24"/>
                <w:szCs w:val="24"/>
              </w:rPr>
              <w:br/>
            </w:r>
          </w:p>
          <w:p w:rsidR="000635DE" w:rsidRDefault="00A90B96">
            <w:pPr>
              <w:spacing w:after="0" w:line="240" w:lineRule="auto"/>
              <w:ind w:left="708"/>
              <w:rPr>
                <w:rFonts w:ascii="Times New Roman" w:eastAsia="Times New Roman" w:hAnsi="Times New Roman" w:cs="Times New Roman"/>
                <w:b/>
                <w:bCs/>
                <w:color w:val="000000"/>
                <w:sz w:val="24"/>
                <w:szCs w:val="24"/>
              </w:rPr>
            </w:pPr>
            <w:r>
              <w:rPr>
                <w:rFonts w:ascii="Times New Roman" w:eastAsia="Times New Roman" w:hAnsi="Times New Roman" w:cs="Times New Roman"/>
                <w:i/>
                <w:iCs/>
                <w:color w:val="000000"/>
                <w:sz w:val="24"/>
                <w:szCs w:val="24"/>
              </w:rPr>
              <w:t>A proliferação de nichos de geração própria, contraria o compromisso do governo de minimizar a utilização de combustíveis fosseis e consequente redução da pegada do carbono na atmosfera.</w:t>
            </w:r>
          </w:p>
        </w:tc>
        <w:tc>
          <w:tcPr>
            <w:tcW w:w="6486" w:type="dxa"/>
            <w:gridSpan w:val="2"/>
            <w:vAlign w:val="center"/>
          </w:tcPr>
          <w:p w:rsidR="000635DE" w:rsidRDefault="00A90B96">
            <w:pPr>
              <w:numPr>
                <w:ilvl w:val="0"/>
                <w:numId w:val="19"/>
              </w:num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Pr>
                <w:rFonts w:ascii="Book Antiqua" w:eastAsia="Book Antiqua" w:hAnsi="Book Antiqua" w:cs="Book Antiqua"/>
                <w:color w:val="000000"/>
              </w:rPr>
              <w:t xml:space="preserve">As aprovações de projectos de geração de autoconsumo feitas para: Limak Cimentos; Jindal; Dugongo Cimentos Salamanga; Dugongo Cimentos Nacala e Cimentos de Nacala, conjuntamente geram uma perda de receitas na ordém dos </w:t>
            </w:r>
            <w:r>
              <w:rPr>
                <w:rFonts w:ascii="Book Antiqua" w:eastAsia="Book Antiqua" w:hAnsi="Book Antiqua" w:cs="Book Antiqua"/>
                <w:b/>
                <w:bCs/>
                <w:color w:val="000000"/>
              </w:rPr>
              <w:t>50 MUSD por ano</w:t>
            </w:r>
            <w:r>
              <w:rPr>
                <w:rFonts w:ascii="Book Antiqua" w:eastAsia="Book Antiqua" w:hAnsi="Book Antiqua" w:cs="Book Antiqua"/>
                <w:color w:val="000000"/>
              </w:rPr>
              <w:t xml:space="preserve">, comprometendo a capacidade da EDM de fazer o serviço da divida contratada para investimentos em infraestruturas bem como do financiamento dos serviços vitais de manutenção, operação e expansão do programa de electrificação rural no âmbito da universalização do acesso à energia eléctrica. </w:t>
            </w:r>
          </w:p>
        </w:tc>
        <w:tc>
          <w:tcPr>
            <w:tcW w:w="3358" w:type="dxa"/>
            <w:vAlign w:val="center"/>
          </w:tcPr>
          <w:p w:rsidR="007217CB" w:rsidRPr="007217CB" w:rsidRDefault="007217CB" w:rsidP="007217CB">
            <w:pPr>
              <w:pBdr>
                <w:top w:val="nil"/>
                <w:left w:val="nil"/>
                <w:bottom w:val="nil"/>
                <w:right w:val="nil"/>
                <w:between w:val="nil"/>
              </w:pBdr>
              <w:spacing w:after="0" w:line="240" w:lineRule="auto"/>
              <w:ind w:left="720"/>
              <w:jc w:val="both"/>
              <w:rPr>
                <w:rFonts w:ascii="Book Antiqua" w:eastAsia="Book Antiqua" w:hAnsi="Book Antiqua" w:cs="Book Antiqua"/>
                <w:color w:val="000000"/>
              </w:rPr>
            </w:pPr>
          </w:p>
          <w:p w:rsidR="000635DE" w:rsidRDefault="00A90B96">
            <w:pPr>
              <w:numPr>
                <w:ilvl w:val="0"/>
                <w:numId w:val="39"/>
              </w:numPr>
              <w:pBdr>
                <w:top w:val="nil"/>
                <w:left w:val="nil"/>
                <w:bottom w:val="nil"/>
                <w:right w:val="nil"/>
                <w:between w:val="nil"/>
              </w:pBdr>
              <w:spacing w:after="0" w:line="240" w:lineRule="auto"/>
              <w:jc w:val="both"/>
              <w:rPr>
                <w:rFonts w:ascii="Book Antiqua" w:eastAsia="Book Antiqua" w:hAnsi="Book Antiqua" w:cs="Book Antiqua"/>
                <w:color w:val="000000"/>
              </w:rPr>
            </w:pPr>
            <w:r>
              <w:rPr>
                <w:rFonts w:ascii="Book Antiqua" w:eastAsia="Book Antiqua" w:hAnsi="Book Antiqua" w:cs="Book Antiqua"/>
              </w:rPr>
              <w:t xml:space="preserve">Concluído o JDA com a cimentos de Dondo para uma central de 75-150MW; </w:t>
            </w:r>
          </w:p>
          <w:p w:rsidR="000635DE" w:rsidRDefault="00A90B96">
            <w:pPr>
              <w:numPr>
                <w:ilvl w:val="0"/>
                <w:numId w:val="39"/>
              </w:numPr>
              <w:pBdr>
                <w:top w:val="nil"/>
                <w:left w:val="nil"/>
                <w:bottom w:val="nil"/>
                <w:right w:val="nil"/>
                <w:between w:val="nil"/>
              </w:pBdr>
              <w:spacing w:after="0" w:line="240" w:lineRule="auto"/>
              <w:jc w:val="both"/>
              <w:rPr>
                <w:rFonts w:ascii="Book Antiqua" w:eastAsia="Book Antiqua" w:hAnsi="Book Antiqua" w:cs="Book Antiqua"/>
              </w:rPr>
            </w:pPr>
            <w:r>
              <w:rPr>
                <w:rFonts w:ascii="Book Antiqua" w:eastAsia="Book Antiqua" w:hAnsi="Book Antiqua" w:cs="Book Antiqua"/>
              </w:rPr>
              <w:t>Em curso a preparação do plano de trabalho para interligação da Central da Cimentos 16MW à REN a partir da SE Dondo;</w:t>
            </w:r>
          </w:p>
          <w:p w:rsidR="000635DE" w:rsidRDefault="00A90B96">
            <w:pPr>
              <w:numPr>
                <w:ilvl w:val="0"/>
                <w:numId w:val="39"/>
              </w:numPr>
              <w:pBdr>
                <w:top w:val="nil"/>
                <w:left w:val="nil"/>
                <w:bottom w:val="nil"/>
                <w:right w:val="nil"/>
                <w:between w:val="nil"/>
              </w:pBdr>
              <w:spacing w:after="0" w:line="240" w:lineRule="auto"/>
              <w:jc w:val="both"/>
              <w:rPr>
                <w:rFonts w:ascii="Book Antiqua" w:eastAsia="Book Antiqua" w:hAnsi="Book Antiqua" w:cs="Book Antiqua"/>
              </w:rPr>
            </w:pPr>
            <w:r>
              <w:rPr>
                <w:rFonts w:ascii="Book Antiqua" w:eastAsia="Book Antiqua" w:hAnsi="Book Antiqua" w:cs="Book Antiqua"/>
              </w:rPr>
              <w:t>Efectuada Visita Técnica Twigg e MRM em Balama e Montepuez e na fase de aprovação interna do modelo de negócios para financiamento da linha de transporte Metoro-Montepuez-Marrupa</w:t>
            </w:r>
          </w:p>
        </w:tc>
      </w:tr>
    </w:tbl>
    <w:p w:rsidR="000635DE" w:rsidRDefault="000635DE"/>
    <w:sectPr w:rsidR="000635DE">
      <w:pgSz w:w="16838" w:h="11906" w:orient="landscape"/>
      <w:pgMar w:top="709" w:right="1440" w:bottom="568" w:left="1440" w:header="720" w:footer="720" w:gutter="0"/>
      <w:pgNumType w:start="0"/>
      <w:cols w:space="720"/>
      <w:titlePg/>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charset w:val="00"/>
    <w:family w:val="auto"/>
    <w:pitch w:val="default"/>
    <w:embedRegular r:id="rId1" w:fontKey="{855B36E8-94B0-4772-9056-9AE580708817}"/>
  </w:font>
  <w:font w:name="Arial Narrow">
    <w:panose1 w:val="020B0606020202030204"/>
    <w:charset w:val="00"/>
    <w:family w:val="swiss"/>
    <w:pitch w:val="variable"/>
    <w:sig w:usb0="00000287" w:usb1="00000800" w:usb2="00000000" w:usb3="00000000" w:csb0="0000009F" w:csb1="00000000"/>
    <w:embedRegular r:id="rId2" w:fontKey="{9AD578FD-702A-4FCE-815E-35E49D7679BC}"/>
    <w:embedBold r:id="rId3" w:fontKey="{3635E43F-CB38-43B8-AE12-471CA73ACB42}"/>
  </w:font>
  <w:font w:name="Calibri">
    <w:panose1 w:val="020F0502020204030204"/>
    <w:charset w:val="00"/>
    <w:family w:val="swiss"/>
    <w:pitch w:val="variable"/>
    <w:sig w:usb0="E4002EFF" w:usb1="C000247B" w:usb2="00000009" w:usb3="00000000" w:csb0="000001FF" w:csb1="00000000"/>
    <w:embedRegular r:id="rId4" w:fontKey="{FE93DFA5-7523-40EA-9711-0D5A26BF9891}"/>
    <w:embedBold r:id="rId5" w:fontKey="{AC31558A-7BAF-463C-A3D5-8E01D1CC98EC}"/>
    <w:embedItalic r:id="rId6" w:fontKey="{C2BD30D0-A3C8-46E4-BFD2-1A6C6504FBCE}"/>
    <w:embedBoldItalic r:id="rId7" w:fontKey="{FD24D67A-666B-41CD-A450-F697DD463AAA}"/>
  </w:font>
  <w:font w:name="Georgia">
    <w:panose1 w:val="02040502050405020303"/>
    <w:charset w:val="00"/>
    <w:family w:val="roman"/>
    <w:pitch w:val="variable"/>
    <w:sig w:usb0="00000287" w:usb1="00000000" w:usb2="00000000" w:usb3="00000000" w:csb0="0000009F" w:csb1="00000000"/>
    <w:embedItalic r:id="rId8" w:fontKey="{76D32686-C0A7-45B6-8487-9BC104786A28}"/>
  </w:font>
  <w:font w:name="Segoe UI">
    <w:panose1 w:val="020B0502040204020203"/>
    <w:charset w:val="00"/>
    <w:family w:val="swiss"/>
    <w:pitch w:val="variable"/>
    <w:sig w:usb0="E4002EFF" w:usb1="C000E47F" w:usb2="00000009" w:usb3="00000000" w:csb0="000001FF" w:csb1="00000000"/>
    <w:embedRegular r:id="rId9" w:fontKey="{2AA5A076-7A76-46BD-BD6E-3DD4FDD44847}"/>
  </w:font>
  <w:font w:name="Arial">
    <w:panose1 w:val="020B0604020202020204"/>
    <w:charset w:val="00"/>
    <w:family w:val="swiss"/>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embedRegular r:id="rId10" w:fontKey="{23834A75-9265-41EF-812D-DDFA0077DD4C}"/>
    <w:embedBold r:id="rId11" w:fontKey="{1A661E34-39E5-4C27-A900-A7943CCF811B}"/>
  </w:font>
  <w:font w:name="Calibri Light">
    <w:panose1 w:val="020F0302020204030204"/>
    <w:charset w:val="00"/>
    <w:family w:val="swiss"/>
    <w:pitch w:val="variable"/>
    <w:sig w:usb0="E4002EFF" w:usb1="C000247B" w:usb2="00000009" w:usb3="00000000" w:csb0="000001FF" w:csb1="00000000"/>
    <w:embedRegular r:id="rId12" w:fontKey="{3D87A5C7-623A-47D7-B21F-5F0898390EF5}"/>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163B67"/>
    <w:multiLevelType w:val="multilevel"/>
    <w:tmpl w:val="1A440F6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4544584"/>
    <w:multiLevelType w:val="multilevel"/>
    <w:tmpl w:val="3A18054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9181FEC"/>
    <w:multiLevelType w:val="multilevel"/>
    <w:tmpl w:val="C6EE459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096055FC"/>
    <w:multiLevelType w:val="multilevel"/>
    <w:tmpl w:val="F3FE1BA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0B1723B8"/>
    <w:multiLevelType w:val="multilevel"/>
    <w:tmpl w:val="F5BE2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DE0B6D"/>
    <w:multiLevelType w:val="multilevel"/>
    <w:tmpl w:val="FC22424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0F420E47"/>
    <w:multiLevelType w:val="multilevel"/>
    <w:tmpl w:val="F4E8099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153C5881"/>
    <w:multiLevelType w:val="multilevel"/>
    <w:tmpl w:val="D244FC1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15EF32FA"/>
    <w:multiLevelType w:val="multilevel"/>
    <w:tmpl w:val="B84CAF4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18F76DE2"/>
    <w:multiLevelType w:val="multilevel"/>
    <w:tmpl w:val="7CCE6A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194B14FD"/>
    <w:multiLevelType w:val="multilevel"/>
    <w:tmpl w:val="DAC0A1C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15:restartNumberingAfterBreak="0">
    <w:nsid w:val="1DB0271D"/>
    <w:multiLevelType w:val="multilevel"/>
    <w:tmpl w:val="6194C8A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1E031524"/>
    <w:multiLevelType w:val="multilevel"/>
    <w:tmpl w:val="56BAB8DA"/>
    <w:lvl w:ilvl="0">
      <w:start w:val="1"/>
      <w:numFmt w:val="decimal"/>
      <w:lvlText w:val="%1."/>
      <w:lvlJc w:val="left"/>
      <w:pPr>
        <w:ind w:left="360" w:hanging="360"/>
      </w:p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3" w15:restartNumberingAfterBreak="0">
    <w:nsid w:val="20C30584"/>
    <w:multiLevelType w:val="multilevel"/>
    <w:tmpl w:val="9EBABA4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15:restartNumberingAfterBreak="0">
    <w:nsid w:val="213F13AA"/>
    <w:multiLevelType w:val="multilevel"/>
    <w:tmpl w:val="464E7B8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15:restartNumberingAfterBreak="0">
    <w:nsid w:val="24E77D18"/>
    <w:multiLevelType w:val="hybridMultilevel"/>
    <w:tmpl w:val="C7A6A6BA"/>
    <w:lvl w:ilvl="0" w:tplc="0409000F">
      <w:start w:val="1"/>
      <w:numFmt w:val="decimal"/>
      <w:lvlText w:val="%1."/>
      <w:lvlJc w:val="left"/>
      <w:pPr>
        <w:ind w:left="720" w:hanging="360"/>
      </w:p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16" w15:restartNumberingAfterBreak="0">
    <w:nsid w:val="268A309A"/>
    <w:multiLevelType w:val="multilevel"/>
    <w:tmpl w:val="5C72D46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276F118B"/>
    <w:multiLevelType w:val="multilevel"/>
    <w:tmpl w:val="50E83F2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8" w15:restartNumberingAfterBreak="0">
    <w:nsid w:val="2C0E4D42"/>
    <w:multiLevelType w:val="multilevel"/>
    <w:tmpl w:val="3C7E2E8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15:restartNumberingAfterBreak="0">
    <w:nsid w:val="2CE6407B"/>
    <w:multiLevelType w:val="multilevel"/>
    <w:tmpl w:val="F95AB2D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15:restartNumberingAfterBreak="0">
    <w:nsid w:val="30475EC1"/>
    <w:multiLevelType w:val="multilevel"/>
    <w:tmpl w:val="A0B6DB4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 w15:restartNumberingAfterBreak="0">
    <w:nsid w:val="31F714D7"/>
    <w:multiLevelType w:val="multilevel"/>
    <w:tmpl w:val="44BA106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15:restartNumberingAfterBreak="0">
    <w:nsid w:val="32A776D9"/>
    <w:multiLevelType w:val="multilevel"/>
    <w:tmpl w:val="5B80A32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 w15:restartNumberingAfterBreak="0">
    <w:nsid w:val="35581ED4"/>
    <w:multiLevelType w:val="multilevel"/>
    <w:tmpl w:val="A97A294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 w15:restartNumberingAfterBreak="0">
    <w:nsid w:val="39245E94"/>
    <w:multiLevelType w:val="multilevel"/>
    <w:tmpl w:val="3D48537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 w15:restartNumberingAfterBreak="0">
    <w:nsid w:val="3B4C01A9"/>
    <w:multiLevelType w:val="multilevel"/>
    <w:tmpl w:val="A9908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15:restartNumberingAfterBreak="0">
    <w:nsid w:val="3F0C6E72"/>
    <w:multiLevelType w:val="multilevel"/>
    <w:tmpl w:val="D244FC1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7" w15:restartNumberingAfterBreak="0">
    <w:nsid w:val="3FC109BE"/>
    <w:multiLevelType w:val="multilevel"/>
    <w:tmpl w:val="EE4441A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 w15:restartNumberingAfterBreak="0">
    <w:nsid w:val="45CD17C3"/>
    <w:multiLevelType w:val="multilevel"/>
    <w:tmpl w:val="B024F50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9" w15:restartNumberingAfterBreak="0">
    <w:nsid w:val="46C2445B"/>
    <w:multiLevelType w:val="multilevel"/>
    <w:tmpl w:val="2F2053FE"/>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30" w15:restartNumberingAfterBreak="0">
    <w:nsid w:val="4D4F1428"/>
    <w:multiLevelType w:val="multilevel"/>
    <w:tmpl w:val="E7EE4C7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 w15:restartNumberingAfterBreak="0">
    <w:nsid w:val="50144A44"/>
    <w:multiLevelType w:val="multilevel"/>
    <w:tmpl w:val="98CC356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 w15:restartNumberingAfterBreak="0">
    <w:nsid w:val="5366280C"/>
    <w:multiLevelType w:val="multilevel"/>
    <w:tmpl w:val="3C52711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3" w15:restartNumberingAfterBreak="0">
    <w:nsid w:val="53B8003D"/>
    <w:multiLevelType w:val="multilevel"/>
    <w:tmpl w:val="ACDCFA8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4" w15:restartNumberingAfterBreak="0">
    <w:nsid w:val="56E26616"/>
    <w:multiLevelType w:val="multilevel"/>
    <w:tmpl w:val="5D68DC9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5" w15:restartNumberingAfterBreak="0">
    <w:nsid w:val="586F5791"/>
    <w:multiLevelType w:val="multilevel"/>
    <w:tmpl w:val="37122A9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6" w15:restartNumberingAfterBreak="0">
    <w:nsid w:val="5B4400F8"/>
    <w:multiLevelType w:val="hybridMultilevel"/>
    <w:tmpl w:val="2F9035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5BF350CA"/>
    <w:multiLevelType w:val="multilevel"/>
    <w:tmpl w:val="2D74129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8" w15:restartNumberingAfterBreak="0">
    <w:nsid w:val="5DE604A6"/>
    <w:multiLevelType w:val="multilevel"/>
    <w:tmpl w:val="F39A0C9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9" w15:restartNumberingAfterBreak="0">
    <w:nsid w:val="636E518D"/>
    <w:multiLevelType w:val="multilevel"/>
    <w:tmpl w:val="8C786BB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0" w15:restartNumberingAfterBreak="0">
    <w:nsid w:val="63B847F5"/>
    <w:multiLevelType w:val="multilevel"/>
    <w:tmpl w:val="86026080"/>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41" w15:restartNumberingAfterBreak="0">
    <w:nsid w:val="64FE23D8"/>
    <w:multiLevelType w:val="multilevel"/>
    <w:tmpl w:val="804079E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2" w15:restartNumberingAfterBreak="0">
    <w:nsid w:val="66510DCB"/>
    <w:multiLevelType w:val="multilevel"/>
    <w:tmpl w:val="20F6CBA8"/>
    <w:lvl w:ilvl="0">
      <w:start w:val="1"/>
      <w:numFmt w:val="decimal"/>
      <w:lvlText w:val="%1."/>
      <w:lvlJc w:val="left"/>
      <w:pPr>
        <w:tabs>
          <w:tab w:val="num" w:pos="720"/>
        </w:tabs>
        <w:ind w:left="720" w:hanging="360"/>
      </w:pPr>
      <w:rPr>
        <w:rFonts w:ascii="Arial Narrow" w:eastAsia="Times New Roman" w:hAnsi="Arial Narrow"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F4046ED"/>
    <w:multiLevelType w:val="multilevel"/>
    <w:tmpl w:val="751AEE2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4" w15:restartNumberingAfterBreak="0">
    <w:nsid w:val="79120D2E"/>
    <w:multiLevelType w:val="multilevel"/>
    <w:tmpl w:val="BF3262D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5" w15:restartNumberingAfterBreak="0">
    <w:nsid w:val="7AF00BFD"/>
    <w:multiLevelType w:val="multilevel"/>
    <w:tmpl w:val="35DA63A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6" w15:restartNumberingAfterBreak="0">
    <w:nsid w:val="7B216EE1"/>
    <w:multiLevelType w:val="multilevel"/>
    <w:tmpl w:val="F57C1BA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7" w15:restartNumberingAfterBreak="0">
    <w:nsid w:val="7B874FD4"/>
    <w:multiLevelType w:val="multilevel"/>
    <w:tmpl w:val="671C35C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8" w15:restartNumberingAfterBreak="0">
    <w:nsid w:val="7DC07F5A"/>
    <w:multiLevelType w:val="multilevel"/>
    <w:tmpl w:val="D244FC1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9" w15:restartNumberingAfterBreak="0">
    <w:nsid w:val="7E84706D"/>
    <w:multiLevelType w:val="multilevel"/>
    <w:tmpl w:val="A344F8C0"/>
    <w:lvl w:ilvl="0">
      <w:start w:val="1"/>
      <w:numFmt w:val="decimal"/>
      <w:lvlText w:val="%1."/>
      <w:lvlJc w:val="left"/>
      <w:pPr>
        <w:ind w:left="780" w:hanging="360"/>
      </w:pPr>
    </w:lvl>
    <w:lvl w:ilvl="1">
      <w:start w:val="1"/>
      <w:numFmt w:val="lowerLetter"/>
      <w:lvlText w:val="%2."/>
      <w:lvlJc w:val="left"/>
      <w:pPr>
        <w:ind w:left="1500" w:hanging="360"/>
      </w:pPr>
    </w:lvl>
    <w:lvl w:ilvl="2">
      <w:start w:val="1"/>
      <w:numFmt w:val="lowerRoman"/>
      <w:lvlText w:val="%3."/>
      <w:lvlJc w:val="right"/>
      <w:pPr>
        <w:ind w:left="2220" w:hanging="180"/>
      </w:pPr>
    </w:lvl>
    <w:lvl w:ilvl="3">
      <w:start w:val="1"/>
      <w:numFmt w:val="decimal"/>
      <w:lvlText w:val="%4."/>
      <w:lvlJc w:val="left"/>
      <w:pPr>
        <w:ind w:left="2940" w:hanging="360"/>
      </w:pPr>
    </w:lvl>
    <w:lvl w:ilvl="4">
      <w:start w:val="1"/>
      <w:numFmt w:val="lowerLetter"/>
      <w:lvlText w:val="%5."/>
      <w:lvlJc w:val="left"/>
      <w:pPr>
        <w:ind w:left="3660" w:hanging="360"/>
      </w:pPr>
    </w:lvl>
    <w:lvl w:ilvl="5">
      <w:start w:val="1"/>
      <w:numFmt w:val="lowerRoman"/>
      <w:lvlText w:val="%6."/>
      <w:lvlJc w:val="right"/>
      <w:pPr>
        <w:ind w:left="4380" w:hanging="180"/>
      </w:pPr>
    </w:lvl>
    <w:lvl w:ilvl="6">
      <w:start w:val="1"/>
      <w:numFmt w:val="decimal"/>
      <w:lvlText w:val="%7."/>
      <w:lvlJc w:val="left"/>
      <w:pPr>
        <w:ind w:left="5100" w:hanging="360"/>
      </w:pPr>
    </w:lvl>
    <w:lvl w:ilvl="7">
      <w:start w:val="1"/>
      <w:numFmt w:val="lowerLetter"/>
      <w:lvlText w:val="%8."/>
      <w:lvlJc w:val="left"/>
      <w:pPr>
        <w:ind w:left="5820" w:hanging="360"/>
      </w:pPr>
    </w:lvl>
    <w:lvl w:ilvl="8">
      <w:start w:val="1"/>
      <w:numFmt w:val="lowerRoman"/>
      <w:lvlText w:val="%9."/>
      <w:lvlJc w:val="right"/>
      <w:pPr>
        <w:ind w:left="6540" w:hanging="180"/>
      </w:pPr>
    </w:lvl>
  </w:abstractNum>
  <w:num w:numId="1">
    <w:abstractNumId w:val="3"/>
  </w:num>
  <w:num w:numId="2">
    <w:abstractNumId w:val="6"/>
  </w:num>
  <w:num w:numId="3">
    <w:abstractNumId w:val="33"/>
  </w:num>
  <w:num w:numId="4">
    <w:abstractNumId w:val="38"/>
  </w:num>
  <w:num w:numId="5">
    <w:abstractNumId w:val="18"/>
  </w:num>
  <w:num w:numId="6">
    <w:abstractNumId w:val="35"/>
  </w:num>
  <w:num w:numId="7">
    <w:abstractNumId w:val="10"/>
  </w:num>
  <w:num w:numId="8">
    <w:abstractNumId w:val="30"/>
  </w:num>
  <w:num w:numId="9">
    <w:abstractNumId w:val="13"/>
  </w:num>
  <w:num w:numId="10">
    <w:abstractNumId w:val="24"/>
  </w:num>
  <w:num w:numId="11">
    <w:abstractNumId w:val="25"/>
  </w:num>
  <w:num w:numId="12">
    <w:abstractNumId w:val="0"/>
  </w:num>
  <w:num w:numId="13">
    <w:abstractNumId w:val="20"/>
  </w:num>
  <w:num w:numId="14">
    <w:abstractNumId w:val="28"/>
  </w:num>
  <w:num w:numId="15">
    <w:abstractNumId w:val="41"/>
  </w:num>
  <w:num w:numId="16">
    <w:abstractNumId w:val="16"/>
  </w:num>
  <w:num w:numId="17">
    <w:abstractNumId w:val="45"/>
  </w:num>
  <w:num w:numId="18">
    <w:abstractNumId w:val="17"/>
  </w:num>
  <w:num w:numId="19">
    <w:abstractNumId w:val="2"/>
  </w:num>
  <w:num w:numId="20">
    <w:abstractNumId w:val="49"/>
  </w:num>
  <w:num w:numId="21">
    <w:abstractNumId w:val="29"/>
  </w:num>
  <w:num w:numId="22">
    <w:abstractNumId w:val="37"/>
  </w:num>
  <w:num w:numId="23">
    <w:abstractNumId w:val="44"/>
  </w:num>
  <w:num w:numId="24">
    <w:abstractNumId w:val="32"/>
  </w:num>
  <w:num w:numId="25">
    <w:abstractNumId w:val="39"/>
  </w:num>
  <w:num w:numId="26">
    <w:abstractNumId w:val="22"/>
  </w:num>
  <w:num w:numId="27">
    <w:abstractNumId w:val="40"/>
  </w:num>
  <w:num w:numId="28">
    <w:abstractNumId w:val="34"/>
  </w:num>
  <w:num w:numId="29">
    <w:abstractNumId w:val="27"/>
  </w:num>
  <w:num w:numId="30">
    <w:abstractNumId w:val="11"/>
  </w:num>
  <w:num w:numId="31">
    <w:abstractNumId w:val="5"/>
  </w:num>
  <w:num w:numId="32">
    <w:abstractNumId w:val="23"/>
  </w:num>
  <w:num w:numId="33">
    <w:abstractNumId w:val="48"/>
  </w:num>
  <w:num w:numId="34">
    <w:abstractNumId w:val="8"/>
  </w:num>
  <w:num w:numId="35">
    <w:abstractNumId w:val="46"/>
  </w:num>
  <w:num w:numId="36">
    <w:abstractNumId w:val="1"/>
  </w:num>
  <w:num w:numId="37">
    <w:abstractNumId w:val="43"/>
  </w:num>
  <w:num w:numId="38">
    <w:abstractNumId w:val="19"/>
  </w:num>
  <w:num w:numId="39">
    <w:abstractNumId w:val="47"/>
  </w:num>
  <w:num w:numId="40">
    <w:abstractNumId w:val="31"/>
  </w:num>
  <w:num w:numId="41">
    <w:abstractNumId w:val="9"/>
  </w:num>
  <w:num w:numId="42">
    <w:abstractNumId w:val="14"/>
  </w:num>
  <w:num w:numId="43">
    <w:abstractNumId w:val="21"/>
  </w:num>
  <w:num w:numId="44">
    <w:abstractNumId w:val="4"/>
  </w:num>
  <w:num w:numId="45">
    <w:abstractNumId w:val="36"/>
  </w:num>
  <w:num w:numId="46">
    <w:abstractNumId w:val="7"/>
  </w:num>
  <w:num w:numId="47">
    <w:abstractNumId w:val="12"/>
  </w:num>
  <w:num w:numId="48">
    <w:abstractNumId w:val="15"/>
  </w:num>
  <w:num w:numId="49">
    <w:abstractNumId w:val="42"/>
  </w:num>
  <w:num w:numId="50">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635DE"/>
    <w:rsid w:val="000635DE"/>
    <w:rsid w:val="000C5FCB"/>
    <w:rsid w:val="002D7366"/>
    <w:rsid w:val="00344B34"/>
    <w:rsid w:val="00480049"/>
    <w:rsid w:val="00523EDD"/>
    <w:rsid w:val="00595571"/>
    <w:rsid w:val="007217CB"/>
    <w:rsid w:val="00796329"/>
    <w:rsid w:val="007A76D8"/>
    <w:rsid w:val="00987CB6"/>
    <w:rsid w:val="00A90B96"/>
    <w:rsid w:val="00DA033D"/>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4AAB3B62"/>
  <w15:docId w15:val="{645CBFFD-587B-4092-872C-7846BF4123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pt-PT" w:eastAsia="pt-PT"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80" w:after="120"/>
      <w:outlineLvl w:val="0"/>
    </w:pPr>
    <w:rPr>
      <w:b/>
      <w:bCs/>
      <w:sz w:val="48"/>
      <w:szCs w:val="48"/>
    </w:rPr>
  </w:style>
  <w:style w:type="paragraph" w:styleId="Heading2">
    <w:name w:val="heading 2"/>
    <w:basedOn w:val="Normal"/>
    <w:next w:val="Normal"/>
    <w:pPr>
      <w:keepNext/>
      <w:keepLines/>
      <w:spacing w:before="360" w:after="80"/>
      <w:outlineLvl w:val="1"/>
    </w:pPr>
    <w:rPr>
      <w:b/>
      <w:bCs/>
      <w:sz w:val="36"/>
      <w:szCs w:val="36"/>
    </w:rPr>
  </w:style>
  <w:style w:type="paragraph" w:styleId="Heading3">
    <w:name w:val="heading 3"/>
    <w:basedOn w:val="Normal"/>
    <w:next w:val="Normal"/>
    <w:pPr>
      <w:keepNext/>
      <w:keepLines/>
      <w:spacing w:before="280" w:after="80"/>
      <w:outlineLvl w:val="2"/>
    </w:pPr>
    <w:rPr>
      <w:b/>
      <w:bCs/>
      <w:sz w:val="28"/>
      <w:szCs w:val="28"/>
    </w:rPr>
  </w:style>
  <w:style w:type="paragraph" w:styleId="Heading4">
    <w:name w:val="heading 4"/>
    <w:basedOn w:val="Normal"/>
    <w:next w:val="Normal"/>
    <w:pPr>
      <w:keepNext/>
      <w:keepLines/>
      <w:spacing w:before="240" w:after="40"/>
      <w:outlineLvl w:val="3"/>
    </w:pPr>
    <w:rPr>
      <w:b/>
      <w:bCs/>
      <w:sz w:val="24"/>
      <w:szCs w:val="24"/>
    </w:rPr>
  </w:style>
  <w:style w:type="paragraph" w:styleId="Heading5">
    <w:name w:val="heading 5"/>
    <w:basedOn w:val="Normal"/>
    <w:next w:val="Normal"/>
    <w:pPr>
      <w:keepNext/>
      <w:keepLines/>
      <w:spacing w:before="220" w:after="40"/>
      <w:outlineLvl w:val="4"/>
    </w:pPr>
    <w:rPr>
      <w:b/>
      <w:bCs/>
    </w:rPr>
  </w:style>
  <w:style w:type="paragraph" w:styleId="Heading6">
    <w:name w:val="heading 6"/>
    <w:basedOn w:val="Normal"/>
    <w:next w:val="Normal"/>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before="480" w:after="120"/>
    </w:pPr>
    <w:rPr>
      <w:b/>
      <w:bCs/>
      <w:sz w:val="72"/>
      <w:szCs w:val="72"/>
    </w:rPr>
  </w:style>
  <w:style w:type="paragraph" w:styleId="ListParagraph">
    <w:name w:val="List Paragraph"/>
    <w:basedOn w:val="Normal"/>
    <w:uiPriority w:val="34"/>
    <w:qFormat/>
    <w:rsid w:val="000A3CAA"/>
    <w:pPr>
      <w:ind w:left="720"/>
      <w:contextualSpacing/>
    </w:pPr>
  </w:style>
  <w:style w:type="paragraph" w:styleId="Header">
    <w:name w:val="header"/>
    <w:basedOn w:val="Normal"/>
    <w:link w:val="HeaderChar"/>
    <w:uiPriority w:val="99"/>
    <w:unhideWhenUsed/>
    <w:rsid w:val="00027075"/>
    <w:pPr>
      <w:tabs>
        <w:tab w:val="center" w:pos="4513"/>
        <w:tab w:val="right" w:pos="9026"/>
      </w:tabs>
      <w:spacing w:after="0" w:line="240" w:lineRule="auto"/>
    </w:pPr>
  </w:style>
  <w:style w:type="character" w:customStyle="1" w:styleId="HeaderChar">
    <w:name w:val="Header Char"/>
    <w:basedOn w:val="DefaultParagraphFont"/>
    <w:link w:val="Header"/>
    <w:uiPriority w:val="99"/>
    <w:rsid w:val="00027075"/>
  </w:style>
  <w:style w:type="paragraph" w:styleId="Footer">
    <w:name w:val="footer"/>
    <w:basedOn w:val="Normal"/>
    <w:link w:val="FooterChar"/>
    <w:uiPriority w:val="99"/>
    <w:unhideWhenUsed/>
    <w:rsid w:val="00027075"/>
    <w:pPr>
      <w:tabs>
        <w:tab w:val="center" w:pos="4513"/>
        <w:tab w:val="right" w:pos="9026"/>
      </w:tabs>
      <w:spacing w:after="0" w:line="240" w:lineRule="auto"/>
    </w:pPr>
  </w:style>
  <w:style w:type="character" w:customStyle="1" w:styleId="FooterChar">
    <w:name w:val="Footer Char"/>
    <w:basedOn w:val="DefaultParagraphFont"/>
    <w:link w:val="Footer"/>
    <w:uiPriority w:val="99"/>
    <w:rsid w:val="00027075"/>
  </w:style>
  <w:style w:type="paragraph" w:styleId="NoSpacing">
    <w:name w:val="No Spacing"/>
    <w:link w:val="NoSpacingChar"/>
    <w:uiPriority w:val="1"/>
    <w:qFormat/>
    <w:rsid w:val="00791F00"/>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791F00"/>
    <w:rPr>
      <w:rFonts w:eastAsiaTheme="minorEastAsia"/>
      <w:lang w:val="en-US"/>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15" w:type="dxa"/>
        <w:left w:w="15" w:type="dxa"/>
        <w:bottom w:w="15" w:type="dxa"/>
        <w:right w:w="15" w:type="dxa"/>
      </w:tblCellMar>
    </w:tblPr>
  </w:style>
  <w:style w:type="table" w:customStyle="1" w:styleId="a0">
    <w:basedOn w:val="TableNormal"/>
    <w:tblPr>
      <w:tblStyleRowBandSize w:val="1"/>
      <w:tblStyleColBandSize w:val="1"/>
      <w:tblCellMar>
        <w:top w:w="15" w:type="dxa"/>
        <w:left w:w="15" w:type="dxa"/>
        <w:bottom w:w="15" w:type="dxa"/>
        <w:right w:w="15" w:type="dxa"/>
      </w:tblCellMar>
    </w:tblPr>
  </w:style>
  <w:style w:type="table" w:customStyle="1" w:styleId="a1">
    <w:basedOn w:val="TableNormal"/>
    <w:tblPr>
      <w:tblStyleRowBandSize w:val="1"/>
      <w:tblStyleColBandSize w:val="1"/>
      <w:tblCellMar>
        <w:top w:w="15" w:type="dxa"/>
        <w:left w:w="15" w:type="dxa"/>
        <w:bottom w:w="15" w:type="dxa"/>
        <w:right w:w="15" w:type="dxa"/>
      </w:tblCellMar>
    </w:tblPr>
  </w:style>
  <w:style w:type="table" w:customStyle="1" w:styleId="a2">
    <w:basedOn w:val="TableNormal"/>
    <w:tblPr>
      <w:tblStyleRowBandSize w:val="1"/>
      <w:tblStyleColBandSize w:val="1"/>
      <w:tblCellMar>
        <w:top w:w="15" w:type="dxa"/>
        <w:left w:w="15" w:type="dxa"/>
        <w:bottom w:w="15" w:type="dxa"/>
        <w:right w:w="15" w:type="dxa"/>
      </w:tblCellMar>
    </w:tblPr>
  </w:style>
  <w:style w:type="paragraph" w:styleId="BalloonText">
    <w:name w:val="Balloon Text"/>
    <w:basedOn w:val="Normal"/>
    <w:link w:val="BalloonTextChar"/>
    <w:uiPriority w:val="99"/>
    <w:semiHidden/>
    <w:unhideWhenUsed/>
    <w:rsid w:val="000C5FC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C5FCB"/>
    <w:rPr>
      <w:rFonts w:ascii="Segoe UI" w:hAnsi="Segoe UI" w:cs="Segoe UI"/>
      <w:sz w:val="18"/>
      <w:szCs w:val="18"/>
    </w:rPr>
  </w:style>
  <w:style w:type="paragraph" w:styleId="NormalWeb">
    <w:name w:val="Normal (Web)"/>
    <w:basedOn w:val="Normal"/>
    <w:uiPriority w:val="99"/>
    <w:semiHidden/>
    <w:unhideWhenUsed/>
    <w:rsid w:val="000C5FCB"/>
    <w:pPr>
      <w:spacing w:before="100" w:beforeAutospacing="1" w:after="100" w:afterAutospacing="1" w:line="240" w:lineRule="auto"/>
    </w:pPr>
    <w:rPr>
      <w:rFonts w:ascii="Times New Roman" w:eastAsia="Times New Roman" w:hAnsi="Times New Roman" w:cs="Times New Roman"/>
      <w:sz w:val="24"/>
      <w:szCs w:val="24"/>
      <w:lang w:val="en-US" w:eastAsia="en-US"/>
    </w:rPr>
  </w:style>
  <w:style w:type="paragraph" w:styleId="BodyText2">
    <w:name w:val="Body Text 2"/>
    <w:basedOn w:val="Normal"/>
    <w:link w:val="BodyText2Char"/>
    <w:uiPriority w:val="99"/>
    <w:unhideWhenUsed/>
    <w:rsid w:val="002D7366"/>
    <w:pPr>
      <w:spacing w:after="120" w:line="480" w:lineRule="auto"/>
    </w:pPr>
    <w:rPr>
      <w:rFonts w:ascii="Arial" w:eastAsiaTheme="minorEastAsia" w:hAnsi="Arial" w:cstheme="minorBidi"/>
      <w:color w:val="000000"/>
      <w:sz w:val="19"/>
      <w:lang w:val="en-US" w:eastAsia="en-US"/>
    </w:rPr>
  </w:style>
  <w:style w:type="character" w:customStyle="1" w:styleId="BodyText2Char">
    <w:name w:val="Body Text 2 Char"/>
    <w:basedOn w:val="DefaultParagraphFont"/>
    <w:link w:val="BodyText2"/>
    <w:uiPriority w:val="99"/>
    <w:rsid w:val="002D7366"/>
    <w:rPr>
      <w:rFonts w:ascii="Arial" w:eastAsiaTheme="minorEastAsia" w:hAnsi="Arial" w:cstheme="minorBidi"/>
      <w:color w:val="000000"/>
      <w:sz w:val="19"/>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2TJDgPSHfqmxD0MmGDn4aIysUGw==">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14</Pages>
  <Words>4090</Words>
  <Characters>22090</Characters>
  <Application>Microsoft Office Word</Application>
  <DocSecurity>0</DocSecurity>
  <Lines>184</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26128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Maputo, 08 de Outubro de 2025</dc:creator>
  <cp:lastModifiedBy>EDM</cp:lastModifiedBy>
  <cp:revision>4</cp:revision>
  <dcterms:created xsi:type="dcterms:W3CDTF">2026-09-12T15:20:00Z</dcterms:created>
  <dcterms:modified xsi:type="dcterms:W3CDTF">2026-09-12T17:48:00Z</dcterms:modified>
</cp:coreProperties>
</file>