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E58"/>
          <w:sz w:val="40"/>
        </w:rPr>
        <w:t>Cosmic Binding Basins</w:t>
      </w:r>
    </w:p>
    <w:p>
      <w:pPr>
        <w:jc w:val="center"/>
      </w:pPr>
      <w:r>
        <w:rPr>
          <w:rFonts w:ascii="Arial" w:hAnsi="Arial"/>
          <w:i/>
          <w:sz w:val="24"/>
        </w:rPr>
        <w:t>A Dimensionless Boundary Index for Gravitational Membership in ΛCDM</w:t>
      </w:r>
    </w:p>
    <w:p>
      <w:pPr>
        <w:jc w:val="center"/>
      </w:pPr>
      <w:r>
        <w:rPr>
          <w:color w:val="5A5A5A"/>
          <w:sz w:val="17"/>
        </w:rPr>
        <w:t>Short exploratory preprint draft v0.2 | 20 May 2026 | Afonso Brardo Buinheira Sal Jorge</w:t>
      </w:r>
    </w:p>
    <w:p>
      <w:pPr>
        <w:pStyle w:val="Heading1"/>
      </w:pPr>
      <w:r>
        <w:t>Abstract</w:t>
      </w:r>
    </w:p>
    <w:p>
      <w:r>
        <w:t>We propose Cosmic Binding Basins (TEC-2), a phenomenological ΛCDM-compatible framework in which dark energy is treated as a large-scale boundary-setting term for gravitational membership, rather than as an internal dynamical disruption mechanism within already bound systems. The central diagnostic is a dimensionless local-global index comparing the effective acceleration associated with the cosmological constant to the mean gravitational acceleration of an enclosed mass.</w:t>
      </w:r>
    </w:p>
    <w:p>
      <w:pPr>
        <w:spacing w:before="80" w:after="80"/>
        <w:jc w:val="center"/>
      </w:pPr>
      <w:r>
        <w:rPr>
          <w:rFonts w:ascii="Cambria Math" w:hAnsi="Cambria Math"/>
          <w:sz w:val="22"/>
        </w:rPr>
        <w:t>TΛ(R,M) = ΩΛ H0² R³ / (GM)</w:t>
      </w:r>
    </w:p>
    <w:p>
      <w:r>
        <w:t>This work is not claimed as a new physical law, but as a compact diagnostic derived from the ΛCDM turnaround scale.</w:t>
      </w:r>
    </w:p>
    <w:p>
      <w:r>
        <w:t>We test the index in a pilot literature sample of 11 published structures, including Local Group, M81/M82, Fornax-Eridanus, Virgo, Coma, and several collapsing supercluster cores. Among 9 turnaround-like or zero-velocity entries, all central estimates satisfy TΛ ≤ 1, with median TΛ = 0.319. This does not prove universality, but provides preliminary independent consistency with TEC-2 as an exterior-boundary criterion.</w:t>
      </w:r>
    </w:p>
    <w:p>
      <w:pPr>
        <w:pStyle w:val="Heading1"/>
      </w:pPr>
      <w:r>
        <w:t>1. Physical Idea</w:t>
      </w:r>
    </w:p>
    <w:p>
      <w:r>
        <w:t>The guiding claim is deliberately limited: TEC-2 does not introduce a new force. It reorganizes a known ΛCDM boundary scale into an operational index. The phrase 'structural tension' refers to the balance between local gravitational aggregation and global accelerated expansion. In this view, galaxies, halos, clusters and superclusters are nested gravitational basins; black holes are extreme inner basins, not exceptions to the framework.</w:t>
      </w:r>
    </w:p>
    <w:p>
      <w:r>
        <w:t>The proposed publication-level statement is: dark energy is treated here as a large-scale boundary-setting term for gravitational membership, rather than as an internal dynamical disruption mechanism within already bound systems. The testable question is whether observed boundaries such as zero-velocity or turnaround surfaces lie at or below TΛ ≈ 1.</w:t>
      </w:r>
    </w:p>
    <w:p>
      <w:pPr>
        <w:pStyle w:val="Heading1"/>
      </w:pPr>
      <w:r>
        <w:t>2. Formal Derivation Of The Base Index</w:t>
      </w:r>
    </w:p>
    <w:p>
      <w:r>
        <w:t>The base index follows from comparing two accelerations. For a mass M enclosed within physical radius R, the characteristic inward gravitational acceleration is</w:t>
      </w:r>
    </w:p>
    <w:p>
      <w:pPr>
        <w:spacing w:before="80" w:after="80"/>
        <w:jc w:val="center"/>
      </w:pPr>
      <w:r>
        <w:rPr>
          <w:rFonts w:ascii="Cambria Math" w:hAnsi="Cambria Math"/>
          <w:sz w:val="22"/>
        </w:rPr>
        <w:t>ag(R,M) = GM/R²</w:t>
      </w:r>
    </w:p>
    <w:p>
      <w:r>
        <w:t>For a cosmological constant in the low-redshift ΛCDM limit, the outward acceleration scale associated with dark energy is</w:t>
      </w:r>
    </w:p>
    <w:p>
      <w:pPr>
        <w:spacing w:before="80" w:after="80"/>
        <w:jc w:val="center"/>
      </w:pPr>
      <w:r>
        <w:rPr>
          <w:rFonts w:ascii="Cambria Math" w:hAnsi="Cambria Math"/>
          <w:sz w:val="22"/>
        </w:rPr>
        <w:t>aΛ(R) ≈ ΩΛ H0² R</w:t>
      </w:r>
    </w:p>
    <w:p>
      <w:r>
        <w:t>The boundary regime is obtained when aΛ and ag are comparable. Their ratio defines a dimensionless continuous diagnostic:</w:t>
      </w:r>
    </w:p>
    <w:p>
      <w:pPr>
        <w:spacing w:before="80" w:after="80"/>
        <w:jc w:val="center"/>
      </w:pPr>
      <w:r>
        <w:rPr>
          <w:rFonts w:ascii="Cambria Math" w:hAnsi="Cambria Math"/>
          <w:sz w:val="22"/>
        </w:rPr>
        <w:t>TΛ(R,M) = aΛ/ag = ΩΛ H0² R³/(GM)</w:t>
      </w:r>
    </w:p>
    <w:p>
      <w:r>
        <w:t>Thus TΛ &lt; 1 indicates that local gravity dominates the analysed scale; TΛ ≈ 1 marks the exterior boundary regime; TΛ &gt; 1 indicates that the analysed scale lies beyond the gravitational basin in the ideal isolated limit.</w:t>
      </w:r>
    </w:p>
    <w:p>
      <w:pPr>
        <w:pStyle w:val="Heading1"/>
      </w:pPr>
      <w:r>
        <w:t>3. Relation To Existing ΛCDM Boundaries</w:t>
      </w:r>
    </w:p>
    <w:p>
      <w:r>
        <w:t>For a cosmological constant, TΛ = 1 is equivalent to the maximum turnaround-radius scale in Schwarzschild-de Sitter/Kottler and spherical-collapse arguments:</w:t>
      </w:r>
    </w:p>
    <w:p>
      <w:pPr>
        <w:spacing w:before="80" w:after="80"/>
        <w:jc w:val="center"/>
      </w:pPr>
      <w:r>
        <w:rPr>
          <w:rFonts w:ascii="Cambria Math" w:hAnsi="Cambria Math"/>
          <w:sz w:val="22"/>
        </w:rPr>
        <w:t>Rta,max = (3GM/Λc²)^(1/3) = [GM/(ΩΛH0²)]^(1/3)</w:t>
      </w:r>
    </w:p>
    <w:p>
      <w:r>
        <w:t>Thus TEC-2 should not be presented as a replacement for turnaround theory, virial radii, spherical collapse or ΛCDM. Its proposed contribution is classification: a continuous dimensionless index applicable across inner cores, virialized regions, turnaround-like surfaces, and large-scale structures.</w:t>
      </w:r>
    </w:p>
    <w:tbl>
      <w:tblPr>
        <w:tblW w:type="auto" w:w="0"/>
        <w:jc w:val="center"/>
        <w:tblLayout w:type="autofit"/>
        <w:tblLook w:firstColumn="1" w:firstRow="1" w:lastColumn="0" w:lastRow="0" w:noHBand="0" w:noVBand="1" w:val="04A0"/>
      </w:tblPr>
      <w:tblGrid>
        <w:gridCol w:w="3381"/>
        <w:gridCol w:w="3381"/>
        <w:gridCol w:w="3381"/>
      </w:tblGrid>
      <w:tr>
        <w:trPr>
          <w:tblHeader w:val="true"/>
        </w:trPr>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385723"/>
          </w:tcPr>
          <w:p>
            <w:pPr>
              <w:spacing w:after="0"/>
            </w:pPr>
            <w:r>
              <w:rPr>
                <w:rFonts w:ascii="Arial" w:hAnsi="Arial"/>
                <w:b/>
                <w:color w:val="FFFFFF"/>
                <w:sz w:val="16"/>
              </w:rPr>
              <w:t>Known framework</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385723"/>
          </w:tcPr>
          <w:p>
            <w:pPr>
              <w:spacing w:after="0"/>
            </w:pPr>
            <w:r>
              <w:rPr>
                <w:rFonts w:ascii="Arial" w:hAnsi="Arial"/>
                <w:b/>
                <w:color w:val="FFFFFF"/>
                <w:sz w:val="16"/>
              </w:rPr>
              <w:t>What is already known</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385723"/>
          </w:tcPr>
          <w:p>
            <w:pPr>
              <w:spacing w:after="0"/>
            </w:pPr>
            <w:r>
              <w:rPr>
                <w:rFonts w:ascii="Arial" w:hAnsi="Arial"/>
                <w:b/>
                <w:color w:val="FFFFFF"/>
                <w:sz w:val="16"/>
              </w:rPr>
              <w:t>TEC-2 contribution</w:t>
            </w:r>
          </w:p>
        </w:tc>
      </w:tr>
      <w:tr>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ΛCDM turnaround</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There is a maximum mass-dependent exterior scale for bound structures.</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Recasts the scale as a continuous membership index TΛ.</w:t>
            </w:r>
          </w:p>
        </w:tc>
      </w:tr>
      <w:tr>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Spherical collapse</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Ideal overdensities pass through expansion, turnaround, collapse and virialization.</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Uses the boundary idea as a classifier across object classes.</w:t>
            </w:r>
          </w:p>
        </w:tc>
      </w:tr>
      <w:tr>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Virial radius</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Describes an internal approximately relaxed halo region.</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Separates internal relaxation from exterior gravitational-basin membership.</w:t>
            </w:r>
          </w:p>
        </w:tc>
      </w:tr>
      <w:tr>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Cosmic-web classifiers</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Classify knots, filaments, sheets and voids by density/tidal geometry.</w:t>
            </w:r>
          </w:p>
        </w:tc>
        <w:tc>
          <w:tcPr>
            <w:tcW w:type="dxa" w:w="3381"/>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Adds an acceleration-ratio criterion tied to dark-energy dominance.</w:t>
            </w:r>
          </w:p>
        </w:tc>
      </w:tr>
    </w:tbl>
    <w:p>
      <w:pPr>
        <w:pStyle w:val="Heading1"/>
      </w:pPr>
      <w:r>
        <w:t>4. Extensions: Dynamic Dark Energy, Environment And Geometry</w:t>
      </w:r>
    </w:p>
    <w:p>
      <w:r>
        <w:t>The natural extension is not to invent a new force, but to generalize the acceleration ratio. For a dark-energy equation of state w(z), the repulsive contribution in the acceleration equation is proportional to -[1 + 3w(z)]/2. A dynamical dark-energy version of the index is therefore</w:t>
      </w:r>
    </w:p>
    <w:p>
      <w:pPr>
        <w:spacing w:before="80" w:after="80"/>
        <w:jc w:val="center"/>
      </w:pPr>
      <w:r>
        <w:rPr>
          <w:rFonts w:ascii="Cambria Math" w:hAnsi="Cambria Math"/>
          <w:sz w:val="22"/>
        </w:rPr>
        <w:t>TDE(R,M,z) = {-[1 + 3w(z)]/2} ΩDE(z) H(z)² R³/(GM)</w:t>
      </w:r>
    </w:p>
    <w:p>
      <w:r>
        <w:t>For w = -1 and z = 0, this reduces to TΛ. This version asks a sharper question: if dark energy evolves with time, do the boundaries of gravitational basins evolve measurably with redshift?</w:t>
      </w:r>
    </w:p>
    <w:p>
      <w:r>
        <w:drawing>
          <wp:inline xmlns:a="http://schemas.openxmlformats.org/drawingml/2006/main" xmlns:pic="http://schemas.openxmlformats.org/drawingml/2006/picture">
            <wp:extent cx="5852160" cy="3474720"/>
            <wp:docPr id="1" name="Picture 1" descr="Dynamical dark energy figure showing how w(z) can shift the TEC boundary term with redshift." title="Dynamical dark energy extension"/>
            <wp:cNvGraphicFramePr>
              <a:graphicFrameLocks noChangeAspect="1"/>
            </wp:cNvGraphicFramePr>
            <a:graphic>
              <a:graphicData uri="http://schemas.openxmlformats.org/drawingml/2006/picture">
                <pic:pic>
                  <pic:nvPicPr>
                    <pic:cNvPr id="0" name="tec_energia_escura_dinamica.png"/>
                    <pic:cNvPicPr/>
                  </pic:nvPicPr>
                  <pic:blipFill>
                    <a:blip r:embed="rId9"/>
                    <a:stretch>
                      <a:fillRect/>
                    </a:stretch>
                  </pic:blipFill>
                  <pic:spPr>
                    <a:xfrm>
                      <a:off x="0" y="0"/>
                      <a:ext cx="5852160" cy="3474720"/>
                    </a:xfrm>
                    <a:prstGeom prst="rect"/>
                  </pic:spPr>
                </pic:pic>
              </a:graphicData>
            </a:graphic>
          </wp:inline>
        </w:drawing>
      </w:r>
    </w:p>
    <w:p>
      <w:pPr>
        <w:spacing w:after="160"/>
        <w:jc w:val="center"/>
      </w:pPr>
      <w:r>
        <w:rPr>
          <w:i/>
          <w:color w:val="555555"/>
          <w:sz w:val="17"/>
        </w:rPr>
        <w:t>Figure 1. TEC extension for dynamical dark energy. Curves illustrate how different w(z) histories could shift the boundary-setting term with redshift.</w:t>
      </w:r>
    </w:p>
    <w:p>
      <w:r>
        <w:t>A later, more realistic version should include environmental corrections, because real structures are not isolated spheres. We propose the following future extension, not yet validated in this preprint:</w:t>
      </w:r>
    </w:p>
    <w:p>
      <w:pPr>
        <w:spacing w:before="80" w:after="80"/>
        <w:jc w:val="center"/>
      </w:pPr>
      <w:r>
        <w:rPr>
          <w:rFonts w:ascii="Cambria Math" w:hAnsi="Cambria Math"/>
          <w:sz w:val="22"/>
        </w:rPr>
        <w:t>Tbasin(R,M,z,η) = TDE(R,Meff,z) · Fenv(η)</w:t>
      </w:r>
    </w:p>
    <w:p>
      <w:r>
        <w:t>Here Meff(R) is the lensing or dynamical mass enclosed by the basin, and Fenv(η) is an environmental factor describing isolation, filamentarity, tidal field or proximity to neighbouring masses. This is the most original future direction, but it must be fitted from simulations or survey data before being treated as physical.</w:t>
      </w:r>
    </w:p>
    <w:p>
      <w:pPr>
        <w:pStyle w:val="Heading2"/>
      </w:pPr>
      <w:r>
        <w:t>4.1 Geometric Basin Dominance (TEC-3 Proposal)</w:t>
      </w:r>
    </w:p>
    <w:p>
      <w:r>
        <w:t>A stronger conceptual extension is to express basin membership geometrically. In general relativity, local masses generate Weyl curvature, while the cosmological constant sets an approximately uniform background curvature scale. TEC-3 is therefore proposed as a geometric reformulation: a region belongs to a gravitational basin while local Weyl or tidal curvature dominates over the dark-energy curvature scale.</w:t>
      </w:r>
    </w:p>
    <w:p>
      <w:pPr>
        <w:spacing w:before="80" w:after="80"/>
        <w:jc w:val="center"/>
      </w:pPr>
      <w:r>
        <w:rPr>
          <w:rFonts w:ascii="Cambria Math" w:hAnsi="Cambria Math"/>
          <w:sz w:val="22"/>
        </w:rPr>
        <w:t>BΛ(x) = sqrt(Cαβγδ C^αβγδ / 48) / (Λ/3)</w:t>
      </w:r>
    </w:p>
    <w:p>
      <w:r>
        <w:t>In the Schwarzschild-de Sitter limit, sqrt(Cαβγδ C^αβγδ/48) = GM/(c²R³) and Λ/3 = ΩΛH0²/c², so</w:t>
      </w:r>
    </w:p>
    <w:p>
      <w:pPr>
        <w:spacing w:before="80" w:after="80"/>
        <w:jc w:val="center"/>
      </w:pPr>
      <w:r>
        <w:rPr>
          <w:rFonts w:ascii="Cambria Math" w:hAnsi="Cambria Math"/>
          <w:sz w:val="22"/>
        </w:rPr>
        <w:t>BΛ(R) = GM/(ΩΛ H0² R³) = 1/TΛ(R,M)</w:t>
      </w:r>
    </w:p>
    <w:p>
      <w:r>
        <w:t>Thus the original acceleration index is recovered as the inverse of the geometric dominance index in the ideal spherical case. The interpretation is BΛ &gt; 1 for local-curvature dominance, BΛ ≈ 1 at the geometric basin boundary, and BΛ &lt; 1 when the cosmological background curvature dominates.</w:t>
      </w:r>
    </w:p>
    <w:p>
      <w:r>
        <w:t>For simulations, a more practical proxy is the traceless tidal tensor of the gravitational potential, Eij = ∂i∂jΦ - δij∇²Φ/3. A testable tidal form is</w:t>
      </w:r>
    </w:p>
    <w:p>
      <w:pPr>
        <w:spacing w:before="80" w:after="80"/>
        <w:jc w:val="center"/>
      </w:pPr>
      <w:r>
        <w:rPr>
          <w:rFonts w:ascii="Cambria Math" w:hAnsi="Cambria Math"/>
          <w:sz w:val="22"/>
        </w:rPr>
        <w:t>BE(x,z) = ||Eij(x,z)|| / ADE(z)</w:t>
      </w:r>
    </w:p>
    <w:p>
      <w:pPr>
        <w:spacing w:before="80" w:after="80"/>
        <w:jc w:val="center"/>
      </w:pPr>
      <w:r>
        <w:rPr>
          <w:rFonts w:ascii="Cambria Math" w:hAnsi="Cambria Math"/>
          <w:sz w:val="22"/>
        </w:rPr>
        <w:t>ADE(z) = -[1 + 3w(z)] ΩDE(z) H(z)² / 2</w:t>
      </w:r>
    </w:p>
    <w:p>
      <w:r>
        <w:t>This TEC-3 section is a proposed research direction, not a validated result of the present paper. Its value is that it connects the mass-radius diagnostic to relativistic curvature and to quantities that can be measured in N-body simulations.</w:t>
      </w:r>
    </w:p>
    <w:p>
      <w:pPr>
        <w:pStyle w:val="Heading1"/>
      </w:pPr>
      <w:r>
        <w:t>5. Pilot Data And Radius Definitions</w:t>
      </w:r>
    </w:p>
    <w:p>
      <w:r>
        <w:t>The pilot sample is intentionally small and heterogeneous. Each entry is labelled by radius type, because mixing virial radius, zero-velocity radius, turnaround radius and dense collapsing core radius would otherwise overstate the evidence. Core or virial points are controls; turnaround-like and zero-velocity points are the informative boundary tests.</w:t>
      </w:r>
    </w:p>
    <w:p>
      <w:r>
        <w:drawing>
          <wp:inline xmlns:a="http://schemas.openxmlformats.org/drawingml/2006/main" xmlns:pic="http://schemas.openxmlformats.org/drawingml/2006/picture">
            <wp:extent cx="5852160" cy="3614569"/>
            <wp:docPr id="2" name="Picture 2" descr="TEC phase diagram showing synthetic object classes relative to the T_lambda equals one boundary." title="TEC phase diagram"/>
            <wp:cNvGraphicFramePr>
              <a:graphicFrameLocks noChangeAspect="1"/>
            </wp:cNvGraphicFramePr>
            <a:graphic>
              <a:graphicData uri="http://schemas.openxmlformats.org/drawingml/2006/picture">
                <pic:pic>
                  <pic:nvPicPr>
                    <pic:cNvPr id="0" name="tec_diagrama_fase_Tlambda.png"/>
                    <pic:cNvPicPr/>
                  </pic:nvPicPr>
                  <pic:blipFill>
                    <a:blip r:embed="rId10"/>
                    <a:stretch>
                      <a:fillRect/>
                    </a:stretch>
                  </pic:blipFill>
                  <pic:spPr>
                    <a:xfrm>
                      <a:off x="0" y="0"/>
                      <a:ext cx="5852160" cy="3614569"/>
                    </a:xfrm>
                    <a:prstGeom prst="rect"/>
                  </pic:spPr>
                </pic:pic>
              </a:graphicData>
            </a:graphic>
          </wp:inline>
        </w:drawing>
      </w:r>
    </w:p>
    <w:p>
      <w:pPr>
        <w:spacing w:after="160"/>
        <w:jc w:val="center"/>
      </w:pPr>
      <w:r>
        <w:rPr>
          <w:i/>
          <w:color w:val="555555"/>
          <w:sz w:val="17"/>
        </w:rPr>
        <w:t>Figure 2. TEC phase diagram: mass, scale and TΛ regime in a synthetic proof-of-concept catalogue.</w:t>
      </w:r>
    </w:p>
    <w:p>
      <w:r>
        <w:drawing>
          <wp:inline xmlns:a="http://schemas.openxmlformats.org/drawingml/2006/main" xmlns:pic="http://schemas.openxmlformats.org/drawingml/2006/picture">
            <wp:extent cx="5852160" cy="3823411"/>
            <wp:docPr id="3" name="Picture 3" descr="Median log10 T_lambda by synthetic class." title="Synthetic class summary"/>
            <wp:cNvGraphicFramePr>
              <a:graphicFrameLocks noChangeAspect="1"/>
            </wp:cNvGraphicFramePr>
            <a:graphic>
              <a:graphicData uri="http://schemas.openxmlformats.org/drawingml/2006/picture">
                <pic:pic>
                  <pic:nvPicPr>
                    <pic:cNvPr id="0" name="tec_resumo_por_classe.png"/>
                    <pic:cNvPicPr/>
                  </pic:nvPicPr>
                  <pic:blipFill>
                    <a:blip r:embed="rId11"/>
                    <a:stretch>
                      <a:fillRect/>
                    </a:stretch>
                  </pic:blipFill>
                  <pic:spPr>
                    <a:xfrm>
                      <a:off x="0" y="0"/>
                      <a:ext cx="5852160" cy="3823411"/>
                    </a:xfrm>
                    <a:prstGeom prst="rect"/>
                  </pic:spPr>
                </pic:pic>
              </a:graphicData>
            </a:graphic>
          </wp:inline>
        </w:drawing>
      </w:r>
    </w:p>
    <w:p>
      <w:pPr>
        <w:spacing w:after="160"/>
        <w:jc w:val="center"/>
      </w:pPr>
      <w:r>
        <w:rPr>
          <w:i/>
          <w:color w:val="555555"/>
          <w:sz w:val="17"/>
        </w:rPr>
        <w:t>Figure 3. Median log10(TΛ) by synthetic class. Negative values indicate bound-regime scales; positive values indicate expansion-dominated scales.</w:t>
      </w:r>
    </w:p>
    <w:tbl>
      <w:tblPr>
        <w:tblW w:type="auto" w:w="0"/>
        <w:jc w:val="center"/>
        <w:tblLayout w:type="autofit"/>
        <w:tblLook w:firstColumn="1" w:firstRow="1" w:lastColumn="0" w:lastRow="0" w:noHBand="0" w:noVBand="1" w:val="04A0"/>
      </w:tblPr>
      <w:tblGrid>
        <w:gridCol w:w="1449"/>
        <w:gridCol w:w="1449"/>
        <w:gridCol w:w="1449"/>
        <w:gridCol w:w="1449"/>
        <w:gridCol w:w="1449"/>
        <w:gridCol w:w="1449"/>
        <w:gridCol w:w="1449"/>
      </w:tblGrid>
      <w:tr>
        <w:trPr>
          <w:tblHeader w:val="true"/>
        </w:trP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Object</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Radius type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M [M_sun]</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R [Mpc]</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TΛ</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Uncertainty flag</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1F4E79"/>
          </w:tcPr>
          <w:p>
            <w:pPr>
              <w:spacing w:after="0"/>
            </w:pPr>
            <w:r>
              <w:rPr>
                <w:rFonts w:ascii="Arial" w:hAnsi="Arial"/>
                <w:b/>
                <w:color w:val="FFFFFF"/>
                <w:sz w:val="16"/>
              </w:rPr>
              <w:t>Primary source</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Milky Way / Leo I</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bound satellite (not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1.70e+12</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0.25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0.007</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Pavlidou &amp; Tomaras 2014</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Local Group</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zero-velocity / local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4.17e+12</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0.96</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0.154</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Karachentsev &amp; Kashibadze 2006</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M81/M82 Group</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zero-velocity / local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1.60e+12</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0.89</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0.319</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Karachentsev et al. 2002</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Fornax-Eridanus Complex</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zero-velocity / approximate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1.92e+14</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4.60</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0.367</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Nasonova et al. 2011</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Virgo Cluster</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zero-velocity / local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1.10e+15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8.60</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0.418</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Karachentsev &amp; Nasonova 2010</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Virgo Cluster X-ray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internal core radius (not turnaround)</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1.40e+14</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1.20</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0.009</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Urban et al. 2011</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Coma Cluster</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turnaround/infall bound; filamentary environment</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1.90e+15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6.66</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0.112</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possible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Benisty et al. 2025 preprint</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A2142 supercluster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turnaround/collapsing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3.41e+15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11.87</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0.355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Einasto et al. 2018/2021</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Sloan Great Wall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turnaround/collapsing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2.67e+15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11.13</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0.373</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Einasto et al. 2016/2021</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Shapley supercluster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turnaround/collapsing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1.93e+16</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18.40</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0.234</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shd w:fill="F5F7FA"/>
          </w:tcPr>
          <w:p>
            <w:pPr>
              <w:spacing w:after="0"/>
            </w:pPr>
            <w:r>
              <w:rPr>
                <w:rFonts w:ascii="Arial" w:hAnsi="Arial"/>
                <w:sz w:val="16"/>
              </w:rPr>
              <w:t>Einasto et al. 2021</w:t>
            </w:r>
          </w:p>
        </w:tc>
      </w:tr>
      <w:tr>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Corona Borealis core</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turnaround/candidate bound supercluster</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4.45e+16</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18.55</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0.104</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no</w:t>
            </w:r>
          </w:p>
        </w:tc>
        <w:tc>
          <w:tcPr>
            <w:tcW w:type="dxa" w:w="1449"/>
            <w:vAlign w:val="center"/>
            <w:tcMar>
              <w:top w:w="85" w:type="dxa"/>
              <w:start w:w="95" w:type="dxa"/>
              <w:bottom w:w="85" w:type="dxa"/>
              <w:end w:w="95" w:type="dxa"/>
            </w:tcMar>
            <w:tcBorders>
              <w:top w:val="single" w:sz="8" w:space="0" w:color="D5DBE3"/>
              <w:left w:val="single" w:sz="8" w:space="0" w:color="D5DBE3"/>
              <w:bottom w:val="single" w:sz="8" w:space="0" w:color="D5DBE3"/>
              <w:right w:val="single" w:sz="8" w:space="0" w:color="D5DBE3"/>
            </w:tcBorders>
          </w:tcPr>
          <w:p>
            <w:pPr>
              <w:spacing w:after="0"/>
            </w:pPr>
            <w:r>
              <w:rPr>
                <w:rFonts w:ascii="Arial" w:hAnsi="Arial"/>
                <w:sz w:val="16"/>
              </w:rPr>
              <w:t>Pearson et al. 2014</w:t>
            </w:r>
          </w:p>
        </w:tc>
      </w:tr>
    </w:tbl>
    <w:p>
      <w:pPr>
        <w:pStyle w:val="Heading1"/>
      </w:pPr>
      <w:r>
        <w:t>6. Results</w:t>
      </w:r>
    </w:p>
    <w:p>
      <w:r>
        <w:t>All 9 central turnaround-like estimates satisfy TΛ ≤ 1. The largest central value is TΛ = 0.418. Coma is the only object whose uncertainty envelope can approach or exceed the boundary, consistent with its known filamentary, non-isolated environment and uncertainty in the outer infall/turnaround scale.</w:t>
      </w:r>
    </w:p>
    <w:p>
      <w:r>
        <w:drawing>
          <wp:inline xmlns:a="http://schemas.openxmlformats.org/drawingml/2006/main" xmlns:pic="http://schemas.openxmlformats.org/drawingml/2006/picture">
            <wp:extent cx="5852160" cy="4064000"/>
            <wp:docPr id="4" name="Picture 4" descr="Pilot literature validation plot with mass-radius error bars and T_lambda equals one boundary." title="Pilot literature validation"/>
            <wp:cNvGraphicFramePr>
              <a:graphicFrameLocks noChangeAspect="1"/>
            </wp:cNvGraphicFramePr>
            <a:graphic>
              <a:graphicData uri="http://schemas.openxmlformats.org/drawingml/2006/picture">
                <pic:pic>
                  <pic:nvPicPr>
                    <pic:cNvPr id="0" name="tec_literature_validation.png"/>
                    <pic:cNvPicPr/>
                  </pic:nvPicPr>
                  <pic:blipFill>
                    <a:blip r:embed="rId12"/>
                    <a:stretch>
                      <a:fillRect/>
                    </a:stretch>
                  </pic:blipFill>
                  <pic:spPr>
                    <a:xfrm>
                      <a:off x="0" y="0"/>
                      <a:ext cx="5852160" cy="4064000"/>
                    </a:xfrm>
                    <a:prstGeom prst="rect"/>
                  </pic:spPr>
                </pic:pic>
              </a:graphicData>
            </a:graphic>
          </wp:inline>
        </w:drawing>
      </w:r>
    </w:p>
    <w:p>
      <w:pPr>
        <w:spacing w:after="160"/>
        <w:jc w:val="center"/>
      </w:pPr>
      <w:r>
        <w:rPr>
          <w:i/>
          <w:color w:val="555555"/>
          <w:sz w:val="17"/>
        </w:rPr>
        <w:t>Figure 4. Published structures in the mass-radius plane. Error bars show reported or adopted mass/radius uncertainty ranges. The solid black line is the TΛ = 1 boundary, i.e. R = RΛ(M).</w:t>
      </w:r>
    </w:p>
    <w:p>
      <w:r>
        <w:drawing>
          <wp:inline xmlns:a="http://schemas.openxmlformats.org/drawingml/2006/main" xmlns:pic="http://schemas.openxmlformats.org/drawingml/2006/picture">
            <wp:extent cx="5852160" cy="3474720"/>
            <wp:docPr id="5" name="Picture 5" descr="Synthetic regression showing R proportional to M to one third for turnaround-like boundaries." title="Synthetic turnaround scaling"/>
            <wp:cNvGraphicFramePr>
              <a:graphicFrameLocks noChangeAspect="1"/>
            </wp:cNvGraphicFramePr>
            <a:graphic>
              <a:graphicData uri="http://schemas.openxmlformats.org/drawingml/2006/picture">
                <pic:pic>
                  <pic:nvPicPr>
                    <pic:cNvPr id="0" name="tec_turnaround_fit.png"/>
                    <pic:cNvPicPr/>
                  </pic:nvPicPr>
                  <pic:blipFill>
                    <a:blip r:embed="rId13"/>
                    <a:stretch>
                      <a:fillRect/>
                    </a:stretch>
                  </pic:blipFill>
                  <pic:spPr>
                    <a:xfrm>
                      <a:off x="0" y="0"/>
                      <a:ext cx="5852160" cy="3474720"/>
                    </a:xfrm>
                    <a:prstGeom prst="rect"/>
                  </pic:spPr>
                </pic:pic>
              </a:graphicData>
            </a:graphic>
          </wp:inline>
        </w:drawing>
      </w:r>
    </w:p>
    <w:p>
      <w:pPr>
        <w:spacing w:after="160"/>
        <w:jc w:val="center"/>
      </w:pPr>
      <w:r>
        <w:rPr>
          <w:i/>
          <w:color w:val="555555"/>
          <w:sz w:val="17"/>
        </w:rPr>
        <w:t>Figure 5. Synthetic sanity check recovering the expected R ∝ M^(1/3) scaling. This is a methodological check, not observational proof.</w:t>
      </w:r>
    </w:p>
    <w:p>
      <w:pPr>
        <w:pStyle w:val="Heading1"/>
      </w:pPr>
      <w:r>
        <w:t>7. Discussion</w:t>
      </w:r>
    </w:p>
    <w:p>
      <w:r>
        <w:t>The pilot result supports a cautious claim: structures already interpreted in the literature as bound, in turnaround, or in collapse are consistent with the TEC-2 boundary criterion. The result is not yet a discovery of new physics. It is a compact re-expression of a known ΛCDM scale that appears useful as a gravitational-basin classifier. The TEC-3 geometric extension gives the framework a deeper relativistic form, but remains a proposal until tested with simulations.</w:t>
      </w:r>
    </w:p>
    <w:p>
      <w:r>
        <w:t>The next decisive test is comparative. TΛ must be evaluated against existing metrics: mass alone, mean density, virial radius, turnaround radius, phase-space caustics, and cosmic-web classifiers. A publishable follow-up should test whether TΛ improves classification or reduces scatter in boundary prediction using a larger homogeneous simulation or survey sample.</w:t>
      </w:r>
    </w:p>
    <w:p>
      <w:pPr>
        <w:pStyle w:val="Heading1"/>
      </w:pPr>
      <w:r>
        <w:t>8. Limitations</w:t>
      </w:r>
    </w:p>
    <w:p>
      <w:r>
        <w:t>The present sample is small, heterogeneous, and partly based on different definitions of boundary radius. Some masses and radii are model dependent, and supercluster cores are not spherical isolated systems. The current analysis therefore provides preliminary independent consistency, not universal proof.</w:t>
      </w:r>
    </w:p>
    <w:p>
      <w:pPr>
        <w:pStyle w:val="Heading1"/>
      </w:pPr>
      <w:r>
        <w:t>9. Conclusion</w:t>
      </w:r>
    </w:p>
    <w:p>
      <w:r>
        <w:t>The validation pilot shows that published structures interpreted as bound, in turnaround, or collapsing remain below TΛ = 1 in their central estimates, consistent with TEC-2 as an outer-boundary criterion for gravitational membership. This result does not demonstrate universality, but it gives the hypothesis a defensible, testable preprint-level form.</w:t>
      </w:r>
    </w:p>
    <w:p>
      <w:pPr>
        <w:pStyle w:val="Heading1"/>
      </w:pPr>
      <w:r>
        <w:t>References</w:t>
      </w:r>
    </w:p>
    <w:p>
      <w:pPr>
        <w:ind w:left="255" w:hanging="255"/>
      </w:pPr>
      <w:r>
        <w:t>Aghanim et al. (Planck Collaboration), 2020, A&amp;A, 641, A6.</w:t>
      </w:r>
    </w:p>
    <w:p>
      <w:pPr>
        <w:ind w:left="255" w:hanging="255"/>
      </w:pPr>
      <w:r>
        <w:t>Pavlidou &amp; Tomaras, 2014, JCAP, 2014(09), 020, arXiv:1310.1920.</w:t>
      </w:r>
    </w:p>
    <w:p>
      <w:pPr>
        <w:ind w:left="255" w:hanging="255"/>
      </w:pPr>
      <w:r>
        <w:t>Karachentsev &amp; Kashibadze, 2006, Astrophysics, 49, 3.</w:t>
      </w:r>
    </w:p>
    <w:p>
      <w:pPr>
        <w:ind w:left="255" w:hanging="255"/>
      </w:pPr>
      <w:r>
        <w:t>Nasonova, de Freitas Pacheco &amp; Karachentsev, 2011, A&amp;A, 532, A104.</w:t>
      </w:r>
    </w:p>
    <w:p>
      <w:pPr>
        <w:ind w:left="255" w:hanging="255"/>
      </w:pPr>
      <w:r>
        <w:t>Benisty, Wagner, Haridasu &amp; Salucci, 2025, arXiv:2504.04135.</w:t>
      </w:r>
    </w:p>
    <w:p>
      <w:pPr>
        <w:ind w:left="255" w:hanging="255"/>
      </w:pPr>
      <w:r>
        <w:t>Einasto et al., 2021, A&amp;A, 649, A51, arXiv:2103.02326.</w:t>
      </w:r>
    </w:p>
    <w:p>
      <w:pPr>
        <w:ind w:left="255" w:hanging="255"/>
      </w:pPr>
      <w:r>
        <w:t>Reisenegger et al., 2000, AJ, 120, 523.</w:t>
      </w:r>
    </w:p>
    <w:p>
      <w:pPr>
        <w:ind w:left="255" w:hanging="255"/>
      </w:pPr>
      <w:r>
        <w:t>Kormendy &amp; Ho, 2013, ARA&amp;A, 51, 511.</w:t>
      </w:r>
    </w:p>
    <w:p>
      <w:pPr>
        <w:ind w:left="255" w:hanging="255"/>
      </w:pPr>
      <w:r>
        <w:t>Binney &amp; Tremaine, 2008, Galactic Dynamics, 2nd ed.</w:t>
      </w:r>
    </w:p>
    <w:sectPr w:rsidR="00FC693F" w:rsidRPr="0006063C" w:rsidSect="00034616">
      <w:pgSz w:w="12240" w:h="15840"/>
      <w:pgMar w:top="1020" w:right="1049" w:bottom="1020"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F3E58"/>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3755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Binding Basins short preprint</dc:title>
  <dc:subject/>
  <dc:creator>Afonso Brardo Buinheira Sal Jorge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