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trHeight w:val="641.796875" w:hRule="atLeast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120" w:before="120" w:lineRule="auto"/>
              <w:ind w:hanging="35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trHeight w:val="432.978515625" w:hRule="atLeast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conteúdo desenvolvido na unidade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Questões padrão ENADE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/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3333511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/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QUESTIONÁRIO UNIDADE 4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Questões autorais e de banca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</w:t>
      </w:r>
      <w:r>
        <w:rPr>
          <w:rFonts w:ascii="Times New Roman" w:hAnsi="Times New Roman"/>
          <w:sz w:val="24"/>
        </w:rPr>
        <w:t xml:space="preserve"> Model-Based Design for Cyber-Physical Systems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Professor-conteudista:</w:t>
      </w:r>
      <w:r w:rsidDel="00000000" w:rsidR="00000000" w:rsidRPr="00000000">
        <w:rPr>
          <w:rtl w:val="0"/>
        </w:rPr>
      </w:r>
      <w:r>
        <w:rPr>
          <w:rFonts w:ascii="Times New Roman" w:hAnsi="Times New Roman"/>
          <w:sz w:val="24"/>
        </w:rPr>
        <w:t xml:space="preserve"> Afonso Cesar Lelis Brandão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Questões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Asserção-razão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sz w:val="24"/>
        </w:rPr>
        <w:t xml:space="preserve"> I. O arquivo </w:t>
      </w:r>
      <w:r>
        <w:rPr>
          <w:rFonts w:ascii="Times New Roman" w:hAnsi="Times New Roman"/>
          <w:sz w:val="24"/>
        </w:rPr>
        <w:t>pid_controller.c</w:t>
      </w:r>
      <w:r>
        <w:rPr>
          <w:rFonts w:ascii="Times New Roman" w:hAnsi="Times New Roman"/>
          <w:sz w:val="24"/>
        </w:rPr>
        <w:t xml:space="preserve"> gerado pela Aula 13 é considerado um artefato derivado, cuja correção deve ocorrer sempre no modelo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 xml:space="preserve">, nunca por edição direta do arquivo </w:t>
      </w:r>
      <w:r>
        <w:rPr>
          <w:rFonts w:ascii="Times New Roman" w:hAnsi="Times New Roman"/>
          <w:sz w:val="24"/>
        </w:rPr>
        <w:t>.c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compilador gcc detecta automaticamente qualquer edição manual feita no arquivo gerado e impede sua compilação, preservando a rastreabilidade do hash SHA-256 registrado no cabeçalho.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sz w:val="24"/>
        </w:rPr>
        <w:t xml:space="preserve"> I. O bloco de rastreabilidade gravado no cabeçalho de </w:t>
      </w:r>
      <w:r>
        <w:rPr>
          <w:rFonts w:ascii="Times New Roman" w:hAnsi="Times New Roman"/>
          <w:sz w:val="24"/>
        </w:rPr>
        <w:t>pid_controller.c</w:t>
      </w:r>
      <w:r>
        <w:rPr>
          <w:rFonts w:ascii="Times New Roman" w:hAnsi="Times New Roman"/>
          <w:sz w:val="24"/>
        </w:rPr>
        <w:t xml:space="preserve"> liga o arquivo gerado de volta aos requisitos de origem, à versão do modelo e a um hash SHA-256 determinístico dos parâmetros.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O hash SHA-256 é calculado a partir dos sete parâmetros do PID (Kp, Ki, Kd, Ts, u_max, tau_f, Kaw) por </w:t>
      </w:r>
      <w:r>
        <w:rPr>
          <w:rFonts w:ascii="Times New Roman" w:hAnsi="Times New Roman"/>
          <w:sz w:val="24"/>
        </w:rPr>
        <w:t>compute_params_hash</w:t>
      </w:r>
      <w:r>
        <w:rPr>
          <w:rFonts w:ascii="Times New Roman" w:hAnsi="Times New Roman"/>
          <w:sz w:val="24"/>
        </w:rPr>
        <w:t>, de modo que qualquer alteração em um único parâmetro produz um hash inteiramente diferente.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sz w:val="24"/>
        </w:rPr>
        <w:t xml:space="preserve"> I. A representação em ponto fixo Q16.16 utiliza 16 bits inteiros e 16 bits fracionários em uma palavra de 64 bits, o que elimina completamente qualquer erro de arredondamento na conversão de números reais.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A multiplicação de dois números em Q16.16 pode ser realizada diretamente em </w:t>
      </w:r>
      <w:r>
        <w:rPr>
          <w:rFonts w:ascii="Times New Roman" w:hAnsi="Times New Roman"/>
          <w:sz w:val="24"/>
        </w:rPr>
        <w:t>int32_t</w:t>
      </w:r>
      <w:r>
        <w:rPr>
          <w:rFonts w:ascii="Times New Roman" w:hAnsi="Times New Roman"/>
          <w:sz w:val="24"/>
        </w:rPr>
        <w:t>, sem necessidade de acumulador intermediário de maior precisão.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4.</w:t>
      </w:r>
      <w:r>
        <w:rPr>
          <w:rFonts w:ascii="Times New Roman" w:hAnsi="Times New Roman"/>
          <w:sz w:val="24"/>
        </w:rPr>
        <w:t xml:space="preserve"> I. As equações de diferenças do termo integral e do termo derivativo filtrado usadas no C gerado são obtidas por derivação simbólica com SymPy, a partir da forma contínua do PID, e não digitadas diretamente a partir do contrato de </w:t>
      </w:r>
      <w:r>
        <w:rPr>
          <w:rFonts w:ascii="Times New Roman" w:hAnsi="Times New Roman"/>
          <w:sz w:val="24"/>
        </w:rPr>
        <w:t>DiscretePID.step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SymPy é uma biblioteca de computação simbólica em Python amplamente utilizada para manipulação algébrica de expressões.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5.</w:t>
      </w:r>
      <w:r>
        <w:rPr>
          <w:rFonts w:ascii="Times New Roman" w:hAnsi="Times New Roman"/>
          <w:sz w:val="24"/>
        </w:rPr>
        <w:t xml:space="preserve"> I. A substituição de Euler para trás, s → (1−z⁻¹)/Ts, utilizada na derivação simbólica das equações do PID discreto, tende a introduzir menos erro de discretização do que a transformação de Tustin, para qualquer valor de Ts.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discretização por Euler para trás corresponde a aproximar cada termo por um único multiply-add, o que é computacionalmente mais barato do que a pré-distorção de frequência exigida pela transformação de Tustin.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6.</w:t>
      </w:r>
      <w:r>
        <w:rPr>
          <w:rFonts w:ascii="Times New Roman" w:hAnsi="Times New Roman"/>
          <w:sz w:val="24"/>
        </w:rPr>
        <w:t xml:space="preserve"> I. A afirmação "o código gerado é equivalente ao modelo" deixa de ser uma alegação e passa a ser evidência técnica somente quando sustentada por uma medição amostra a amostra sobre a mesma sequência de entradas.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A função </w:t>
      </w:r>
      <w:r>
        <w:rPr>
          <w:rFonts w:ascii="Times New Roman" w:hAnsi="Times New Roman"/>
          <w:sz w:val="24"/>
        </w:rPr>
        <w:t>compare_model_vs_code</w:t>
      </w:r>
      <w:r>
        <w:rPr>
          <w:rFonts w:ascii="Times New Roman" w:hAnsi="Times New Roman"/>
          <w:sz w:val="24"/>
        </w:rPr>
        <w:t xml:space="preserve"> executa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SILController</w:t>
      </w:r>
      <w:r>
        <w:rPr>
          <w:rFonts w:ascii="Times New Roman" w:hAnsi="Times New Roman"/>
          <w:sz w:val="24"/>
        </w:rPr>
        <w:t xml:space="preserve"> sobre exatamente a mesma sequência (r[k], y[k]), sem que um realimente a saída do outro, e devolve o erro máximo absoluto, médio absoluto e RMS entre as duas saídas.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7.</w:t>
      </w:r>
      <w:r>
        <w:rPr>
          <w:rFonts w:ascii="Times New Roman" w:hAnsi="Times New Roman"/>
          <w:sz w:val="24"/>
        </w:rPr>
        <w:t xml:space="preserve"> I. Na variante em </w:t>
      </w:r>
      <w:r>
        <w:rPr>
          <w:rFonts w:ascii="Times New Roman" w:hAnsi="Times New Roman"/>
          <w:sz w:val="24"/>
        </w:rPr>
        <w:t>double</w:t>
      </w:r>
      <w:r>
        <w:rPr>
          <w:rFonts w:ascii="Times New Roman" w:hAnsi="Times New Roman"/>
          <w:sz w:val="24"/>
        </w:rPr>
        <w:t>, um erro de equivalência de zero absoluto entre modelo e código gerado, medido sobre 2.000 amostras, é consistente com a expectativa teórica de equivalência na ordem do épsilon de máquina.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Um erro de equivalência de zero absoluto indica necessariamente que o compilador gcc aplicou otimizações agressivas de reordenação de ponto flutuante, como as habilitadas pela flag </w:t>
      </w:r>
      <w:r>
        <w:rPr>
          <w:rFonts w:ascii="Times New Roman" w:hAnsi="Times New Roman"/>
          <w:sz w:val="24"/>
        </w:rPr>
        <w:t>-ffast-math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8.</w:t>
      </w:r>
      <w:r>
        <w:rPr>
          <w:rFonts w:ascii="Times New Roman" w:hAnsi="Times New Roman"/>
          <w:sz w:val="24"/>
        </w:rPr>
        <w:t xml:space="preserve"> I. Um teste de regressão de equivalência SIL, integrado à esteira de integração contínua, garante formalmente a certificação do software conforme a DO-178C, pois comprova a correspondência total entre modelo e código.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tolerância de 10⁻⁹ V adotada para a variante double no teste de regressão é maior do que o épsilon de máquina, o que torna esse teste incapaz de detectar qualquer bug de lógica introduzido no código gerado.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9.</w:t>
      </w:r>
      <w:r>
        <w:rPr>
          <w:rFonts w:ascii="Times New Roman" w:hAnsi="Times New Roman"/>
          <w:sz w:val="24"/>
        </w:rPr>
        <w:t xml:space="preserve"> I. A remoção deliberada do anti-windup do modelo, comparada ao </w:t>
      </w:r>
      <w:r>
        <w:rPr>
          <w:rFonts w:ascii="Times New Roman" w:hAnsi="Times New Roman"/>
          <w:sz w:val="24"/>
        </w:rPr>
        <w:t>SILController</w:t>
      </w:r>
      <w:r>
        <w:rPr>
          <w:rFonts w:ascii="Times New Roman" w:hAnsi="Times New Roman"/>
          <w:sz w:val="24"/>
        </w:rPr>
        <w:t xml:space="preserve"> correto sobre as mesmas 2.000 amostras, produziu um erro máximo absoluto de 12,61 V, muitas ordens de grandeza acima do épsilon de máquina.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Os testes de regressão de equivalência do NexaBot utilizam sequências de entrada fixas, compostas por um degrau de 15 rad/s seguido de uma componente senoidal.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10.</w:t>
      </w:r>
      <w:r>
        <w:rPr>
          <w:rFonts w:ascii="Times New Roman" w:hAnsi="Times New Roman"/>
          <w:sz w:val="24"/>
        </w:rPr>
        <w:t xml:space="preserve"> I. Um erro de equivalência de 0,01586 V medido entre a variante Q16.16 e o modelo em double, sobre um fundo de escala de 24 V, invalida obrigatoriamente o uso do ponto fixo no NexaBot, independentemente do requisito de precisão do sistema de controle.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Um erro de 0,01586 V frente a 24 V de fundo de escala corresponde a aproximadamente 0,066% da faixa do atuador, e cabe à equipe avaliar se essa margem atende ao requisito REQ-CTRL-001.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11.</w:t>
      </w:r>
      <w:r>
        <w:rPr>
          <w:rFonts w:ascii="Times New Roman" w:hAnsi="Times New Roman"/>
          <w:sz w:val="24"/>
        </w:rPr>
        <w:t xml:space="preserve"> I. A verificação de equivalência numérica realizada em SIL (Aula 14) é suficiente para garantir que o controlador respeitará o período de amostragem de 5 ms quando executado como processo separado no alvo.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O jitter do laço de controle é definido como o tempo de ida e volta de uma única chamada </w:t>
      </w:r>
      <w:r>
        <w:rPr>
          <w:rFonts w:ascii="Times New Roman" w:hAnsi="Times New Roman"/>
          <w:sz w:val="24"/>
        </w:rPr>
        <w:t>STEP</w:t>
      </w:r>
      <w:r>
        <w:rPr>
          <w:rFonts w:ascii="Times New Roman" w:hAnsi="Times New Roman"/>
          <w:sz w:val="24"/>
        </w:rPr>
        <w:t xml:space="preserve"> ao alvo, medido do envio ao recebimento da resposta.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12.</w:t>
      </w:r>
      <w:r>
        <w:rPr>
          <w:rFonts w:ascii="Times New Roman" w:hAnsi="Times New Roman"/>
          <w:sz w:val="24"/>
        </w:rPr>
        <w:t xml:space="preserve"> I. O jitter pico a pico medido em 400 ciclos de </w:t>
      </w:r>
      <w:r>
        <w:rPr>
          <w:rFonts w:ascii="Times New Roman" w:hAnsi="Times New Roman"/>
          <w:sz w:val="24"/>
        </w:rPr>
        <w:t>run_closed_loop_hil</w:t>
      </w:r>
      <w:r>
        <w:rPr>
          <w:rFonts w:ascii="Times New Roman" w:hAnsi="Times New Roman"/>
          <w:sz w:val="24"/>
        </w:rPr>
        <w:t xml:space="preserve"> com </w:t>
      </w:r>
      <w:r>
        <w:rPr>
          <w:rFonts w:ascii="Times New Roman" w:hAnsi="Times New Roman"/>
          <w:sz w:val="24"/>
        </w:rPr>
        <w:t>LoopbackTarget</w:t>
      </w:r>
      <w:r>
        <w:rPr>
          <w:rFonts w:ascii="Times New Roman" w:hAnsi="Times New Roman"/>
          <w:sz w:val="24"/>
        </w:rPr>
        <w:t xml:space="preserve"> foi de 0,909 ms, consumindo cerca de 18,2% do período nominal de 5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O protocolo de linha HIL usa comandos ASCII terminados em </w:t>
      </w:r>
      <w:r>
        <w:rPr>
          <w:rFonts w:ascii="Times New Roman" w:hAnsi="Times New Roman"/>
          <w:sz w:val="24"/>
        </w:rPr>
        <w:t>\n</w:t>
      </w:r>
      <w:r>
        <w:rPr>
          <w:rFonts w:ascii="Times New Roman" w:hAnsi="Times New Roman"/>
          <w:sz w:val="24"/>
        </w:rPr>
        <w:t xml:space="preserve">, como </w:t>
      </w:r>
      <w:r>
        <w:rPr>
          <w:rFonts w:ascii="Times New Roman" w:hAnsi="Times New Roman"/>
          <w:sz w:val="24"/>
        </w:rPr>
        <w:t>STEP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RESET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QUIT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13.</w:t>
      </w:r>
      <w:r>
        <w:rPr>
          <w:rFonts w:ascii="Times New Roman" w:hAnsi="Times New Roman"/>
          <w:sz w:val="24"/>
        </w:rPr>
        <w:t xml:space="preserve"> I. Um watchdog com prazo definido, ao detectar que o alvo não respondeu dentro do tempo estipulado, deve devolver um comando seguro de tensão zero em vez de aguardar indefinidamente pela resposta.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Um alvo que atrasa sua resposta pode estar travado ou com falha de comunicação, e assumir o pior caso — cortar o comando — é a resposta mais segura diante da incerteza sobre seu real estado.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14.</w:t>
      </w:r>
      <w:r>
        <w:rPr>
          <w:rFonts w:ascii="Times New Roman" w:hAnsi="Times New Roman"/>
          <w:sz w:val="24"/>
        </w:rPr>
        <w:t xml:space="preserve"> I. O protocolo de linha STEP/RESET/QUIT implementado em </w:t>
      </w:r>
      <w:r>
        <w:rPr>
          <w:rFonts w:ascii="Times New Roman" w:hAnsi="Times New Roman"/>
          <w:sz w:val="24"/>
        </w:rPr>
        <w:t>LoopbackTarget</w:t>
      </w:r>
      <w:r>
        <w:rPr>
          <w:rFonts w:ascii="Times New Roman" w:hAnsi="Times New Roman"/>
          <w:sz w:val="24"/>
        </w:rPr>
        <w:t xml:space="preserve"> e em </w:t>
      </w:r>
      <w:r>
        <w:rPr>
          <w:rFonts w:ascii="Times New Roman" w:hAnsi="Times New Roman"/>
          <w:sz w:val="24"/>
        </w:rPr>
        <w:t>SerialTarget</w:t>
      </w:r>
      <w:r>
        <w:rPr>
          <w:rFonts w:ascii="Times New Roman" w:hAnsi="Times New Roman"/>
          <w:sz w:val="24"/>
        </w:rPr>
        <w:t xml:space="preserve"> exige alterações na lógica de controle do alvo para funcionar sobre uma porta serial real em vez de </w:t>
      </w:r>
      <w:r>
        <w:rPr>
          <w:rFonts w:ascii="Times New Roman" w:hAnsi="Times New Roman"/>
          <w:sz w:val="24"/>
        </w:rPr>
        <w:t>stdin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stdout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A diferença entre </w:t>
      </w:r>
      <w:r>
        <w:rPr>
          <w:rFonts w:ascii="Times New Roman" w:hAnsi="Times New Roman"/>
          <w:sz w:val="24"/>
        </w:rPr>
        <w:t>LoopbackTarget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SerialTarget</w:t>
      </w:r>
      <w:r>
        <w:rPr>
          <w:rFonts w:ascii="Times New Roman" w:hAnsi="Times New Roman"/>
          <w:sz w:val="24"/>
        </w:rPr>
        <w:t xml:space="preserve"> está apenas no meio de transporte das mensagens — subprocesso local por </w:t>
      </w:r>
      <w:r>
        <w:rPr>
          <w:rFonts w:ascii="Times New Roman" w:hAnsi="Times New Roman"/>
          <w:sz w:val="24"/>
        </w:rPr>
        <w:t>stdin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stdout</w:t>
      </w:r>
      <w:r>
        <w:rPr>
          <w:rFonts w:ascii="Times New Roman" w:hAnsi="Times New Roman"/>
          <w:sz w:val="24"/>
        </w:rPr>
        <w:t xml:space="preserve"> ou porta serial real —, nunca na lógica de controle executada no alvo.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15.</w:t>
      </w:r>
      <w:r>
        <w:rPr>
          <w:rFonts w:ascii="Times New Roman" w:hAnsi="Times New Roman"/>
          <w:sz w:val="24"/>
        </w:rPr>
        <w:t xml:space="preserve"> I. Uma latência máxima de 2,002 ms medida em uma chamada individual ao alvo, frente a um período nominal de 5 ms, corresponde a cerca de 40% do orçamento de tempo do ciclo de controle.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latência do laço HIL do NexaBot é medida com relógio de parede do sistema operacional convertido para radianos por segundo, unidade nativa do controlador PID.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16.</w:t>
      </w:r>
      <w:r>
        <w:rPr>
          <w:rFonts w:ascii="Times New Roman" w:hAnsi="Times New Roman"/>
          <w:sz w:val="24"/>
        </w:rPr>
        <w:t xml:space="preserve"> I. A DO-178C e a ISO 26262 definem exatamente os mesmos cinco níveis de criticidade, nomeados igualmente DAL de A a E em ambas as normas.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DO-178C define cinco Níveis de Garantia de Projeto (DAL, de A a E) para aviônica, enquanto a ISO 26262 define quatro Níveis de Integridade de Segurança Automotiva (ASIL, de A a D) para o setor automotivo.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17.</w:t>
      </w:r>
      <w:r>
        <w:rPr>
          <w:rFonts w:ascii="Times New Roman" w:hAnsi="Times New Roman"/>
          <w:sz w:val="24"/>
        </w:rPr>
        <w:t xml:space="preserve"> I. A varredura estática realizada por </w:t>
      </w:r>
      <w:r>
        <w:rPr>
          <w:rFonts w:ascii="Times New Roman" w:hAnsi="Times New Roman"/>
          <w:sz w:val="24"/>
        </w:rPr>
        <w:t>nexabot/rastreabilidade.py</w:t>
      </w:r>
      <w:r>
        <w:rPr>
          <w:rFonts w:ascii="Times New Roman" w:hAnsi="Times New Roman"/>
          <w:sz w:val="24"/>
        </w:rPr>
        <w:t xml:space="preserve"> para montar a matriz de rastreabilidade do NexaBot constitui, por si só, a qualificação formal exigida pela DO-178C para as ferramentas SymPy, Jinja2 e GCC utilizadas no pipeline.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Qualificação de ferramenta, no sentido da DO-178C e da ISO 26262, significa apenas que a ferramenta é amplamente utilizada pela comunidade de desenvolvimento de software livre.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18.</w:t>
      </w:r>
      <w:r>
        <w:rPr>
          <w:rFonts w:ascii="Times New Roman" w:hAnsi="Times New Roman"/>
          <w:sz w:val="24"/>
        </w:rPr>
        <w:t xml:space="preserve"> I. Nenhuma das ferramentas SymPy, Jinja2, GCC e Python utilizadas no pipeline desta disciplina vem qualificada por uma autoridade certificadora reconhecida, o que não as torna inutilizáveis em contexto certificado, mas significa que qualificá-las, se necessário, seria um projeto à parte.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Ferramentas de código aberto são, por definição legal, proibidas de uso em qualquer sistema sob certificação DO-178C ou ISO 26262, independentemente de qualificação.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19.</w:t>
      </w:r>
      <w:r>
        <w:rPr>
          <w:rFonts w:ascii="Times New Roman" w:hAnsi="Times New Roman"/>
          <w:sz w:val="24"/>
        </w:rPr>
        <w:t xml:space="preserve"> I. A matriz de rastreabilidade do NexaBot expõe, na linha de REQ-SAFE-006, uma lacuna honesta: não há código C gerado pelo </w:t>
      </w:r>
      <w:r>
        <w:rPr>
          <w:rFonts w:ascii="Times New Roman" w:hAnsi="Times New Roman"/>
          <w:sz w:val="24"/>
        </w:rPr>
        <w:t>codegen</w:t>
      </w:r>
      <w:r>
        <w:rPr>
          <w:rFonts w:ascii="Times New Roman" w:hAnsi="Times New Roman"/>
          <w:sz w:val="24"/>
        </w:rPr>
        <w:t xml:space="preserve"> a partir do autômato do supervisor, nem teste automatizado dedicado, distinto da verificação exaustiva.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lógica que zera o torque no supervisor real do NexaBot não passa pela geração de código das Aulas 13-14, que trata apenas do PID discreto, e a análise de REQ-SAFE-006 se apoiou na exploração exaustiva do autômato temporizado, não em um teste automatizado específico.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20.</w:t>
      </w:r>
      <w:r>
        <w:rPr>
          <w:rFonts w:ascii="Times New Roman" w:hAnsi="Times New Roman"/>
          <w:sz w:val="24"/>
        </w:rPr>
        <w:t xml:space="preserve"> I. O pior caso verificado para REQ-SAFE-006 — 25 ms entre a detecção do obstáculo e o torque zerado — está dentro do limite de 150 ms exigido, considerando atraso de detecção e perda de um ciclo de atuação.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ISO 10218 e a ISO/TS 15066, normas de robótica industrial mais próximas do NexaBot, exigem evidência de tempo de resposta de parada sob um regime menos formalizado do que o aeroespacial.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Interpretação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21.</w:t>
      </w:r>
      <w:r>
        <w:rPr>
          <w:rFonts w:ascii="Times New Roman" w:hAnsi="Times New Roman"/>
          <w:sz w:val="24"/>
        </w:rPr>
        <w:t xml:space="preserve"> Um engenheiro reduz Ki de 40,0 para 39,0 no modelo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 xml:space="preserve"> e regenera o código C pela Aula 13. Qual é a consequência mais correta desse procedimento sobre o hash SHA-256 registrado no bloco de rastreabilidade do arquivo gerado?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O hash permanece </w:t>
      </w:r>
      <w:r>
        <w:rPr>
          <w:rFonts w:ascii="Times New Roman" w:hAnsi="Times New Roman"/>
          <w:sz w:val="24"/>
        </w:rPr>
        <w:t>dc3b95...fa13</w:t>
      </w:r>
      <w:r>
        <w:rPr>
          <w:rFonts w:ascii="Times New Roman" w:hAnsi="Times New Roman"/>
          <w:sz w:val="24"/>
        </w:rPr>
        <w:t>, pois pequenas variações de Ki não afetam o cálculo do SHA-256.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 xml:space="preserve">O hash muda por completo em relação a </w:t>
      </w:r>
      <w:r>
        <w:rPr>
          <w:rFonts w:ascii="Times New Roman" w:hAnsi="Times New Roman"/>
          <w:sz w:val="24"/>
        </w:rPr>
        <w:t>dc3b95...fa13</w:t>
      </w:r>
      <w:r>
        <w:rPr>
          <w:rFonts w:ascii="Times New Roman" w:hAnsi="Times New Roman"/>
          <w:sz w:val="24"/>
        </w:rPr>
        <w:t xml:space="preserve">, pois </w:t>
      </w:r>
      <w:r>
        <w:rPr>
          <w:rFonts w:ascii="Times New Roman" w:hAnsi="Times New Roman"/>
          <w:sz w:val="24"/>
        </w:rPr>
        <w:t>compute_params_hash</w:t>
      </w:r>
      <w:r>
        <w:rPr>
          <w:rFonts w:ascii="Times New Roman" w:hAnsi="Times New Roman"/>
          <w:sz w:val="24"/>
        </w:rPr>
        <w:t xml:space="preserve"> recalcula a partir do JSON dos sete parâmetros, e qualquer alteração de um único valor produz uma saída totalmente diferente.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O hash muda apenas nos últimos dígitos, mantendo o prefixo </w:t>
      </w:r>
      <w:r>
        <w:rPr>
          <w:rFonts w:ascii="Times New Roman" w:hAnsi="Times New Roman"/>
          <w:sz w:val="24"/>
        </w:rPr>
        <w:t>dc3b95</w:t>
      </w:r>
      <w:r>
        <w:rPr>
          <w:rFonts w:ascii="Times New Roman" w:hAnsi="Times New Roman"/>
          <w:sz w:val="24"/>
        </w:rPr>
        <w:t xml:space="preserve"> igual, pois o SHA-256 preserva similaridade de entrada.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O hash não é recalculado automaticamente; é necessário editar manualmente o cabeçalho do arquivo gerado.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O hash passa a incluir também o valor antigo de Ki, para permitir rastrear o histórico de alterações.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22.</w:t>
      </w:r>
      <w:r>
        <w:rPr>
          <w:rFonts w:ascii="Times New Roman" w:hAnsi="Times New Roman"/>
          <w:sz w:val="24"/>
        </w:rPr>
        <w:t xml:space="preserve"> Considerando a resolução do formato Q16.16, Δ=2⁻¹⁶≈1,526×10⁻⁵, qual das afirmações abaixo descreve corretamente o comportamento de quantização de τ_f=0,01 s no NexaBot?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τ_f é múltiplo exato de Δ, portanto é representado sem qualquer erro de arredondamento em Q16.16.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τ_f×2¹⁶ resulta em um número inteiro exato (655,00), eliminando a necessidade de arredondamento.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τ_f é arredondado para cima, para 656/65536, com erro de aproximadamente +6,1×10⁻⁶ 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τ_f×2¹⁶=655,36 é arredondado para 655, resultando em τ_f_fixo=655/65536=0,0099945068359375 s, um erro de aproximadamente −5,493×10⁻⁶ 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τ_f não pode ser representado em Q16.16, pois excede a faixa representável do formato.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23.</w:t>
      </w:r>
      <w:r>
        <w:rPr>
          <w:rFonts w:ascii="Times New Roman" w:hAnsi="Times New Roman"/>
          <w:sz w:val="24"/>
        </w:rPr>
        <w:t xml:space="preserve"> O módulo </w:t>
      </w:r>
      <w:r>
        <w:rPr>
          <w:rFonts w:ascii="Times New Roman" w:hAnsi="Times New Roman"/>
          <w:sz w:val="24"/>
        </w:rPr>
        <w:t>nexabot/codegen/derive.py</w:t>
      </w:r>
      <w:r>
        <w:rPr>
          <w:rFonts w:ascii="Times New Roman" w:hAnsi="Times New Roman"/>
          <w:sz w:val="24"/>
        </w:rPr>
        <w:t xml:space="preserve"> calcula simbolicamente a diferença entre a recorrência derivada para o termo derivativo filtrado e o contrato de </w:t>
      </w:r>
      <w:r>
        <w:rPr>
          <w:rFonts w:ascii="Times New Roman" w:hAnsi="Times New Roman"/>
          <w:sz w:val="24"/>
        </w:rPr>
        <w:t>DiscretePID.step</w:t>
      </w:r>
      <w:r>
        <w:rPr>
          <w:rFonts w:ascii="Times New Roman" w:hAnsi="Times New Roman"/>
          <w:sz w:val="24"/>
        </w:rPr>
        <w:t>, levantando um erro (</w:t>
      </w:r>
      <w:r>
        <w:rPr>
          <w:rFonts w:ascii="Times New Roman" w:hAnsi="Times New Roman"/>
          <w:sz w:val="24"/>
        </w:rPr>
        <w:t>AssertionError</w:t>
      </w:r>
      <w:r>
        <w:rPr>
          <w:rFonts w:ascii="Times New Roman" w:hAnsi="Times New Roman"/>
          <w:sz w:val="24"/>
        </w:rPr>
        <w:t>) caso o resíduo dessa diferença não seja identicamente zero. Qual é a interpretação correta desse comportamento?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O gerador se recusa a produzir um C cuja fórmula matemática discorde algebricamente do modelo de referência, tratando qualquer resíduo não nulo como incompatibilidade entre derivação e contrato.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O gerador tolera pequenas diferenças numéricas de até o épsilon de máquina entre a recorrência derivada e o contrato, por se tratar de ponto flutuante.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sz w:val="24"/>
        </w:rPr>
        <w:t>AssertionError</w:t>
      </w:r>
      <w:r>
        <w:rPr>
          <w:rFonts w:ascii="Times New Roman" w:hAnsi="Times New Roman"/>
          <w:sz w:val="24"/>
        </w:rPr>
        <w:t xml:space="preserve"> só ocorre se o código C gerado falhar ao compilar com gcc.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verificação simbólica substitui a necessidade de qualquer teste posterior de equivalência SIL sobre o código compilado.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O resíduo comparado é sempre calculado numericamente, com valores concretos de Kp, Ki e Kd, e não simbolicamente.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24.</w:t>
      </w:r>
      <w:r>
        <w:rPr>
          <w:rFonts w:ascii="Times New Roman" w:hAnsi="Times New Roman"/>
          <w:sz w:val="24"/>
        </w:rPr>
        <w:t xml:space="preserve"> Um colega afirma que a aritmética de ponto fixo Q16.16 é sempre inferior à aritmética em </w:t>
      </w:r>
      <w:r>
        <w:rPr>
          <w:rFonts w:ascii="Times New Roman" w:hAnsi="Times New Roman"/>
          <w:sz w:val="24"/>
        </w:rPr>
        <w:t>double</w:t>
      </w:r>
      <w:r>
        <w:rPr>
          <w:rFonts w:ascii="Times New Roman" w:hAnsi="Times New Roman"/>
          <w:sz w:val="24"/>
        </w:rPr>
        <w:t xml:space="preserve"> para controle embarcado, e que por isso nunca deveria ser considerada no NexaBot. Com base no conteúdo da Aula 13, essa afirmação é: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Correta, pois o formato Q16.16 não é capaz de representar números negativos, exigindo lógica adicional de sinal.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Correta, pois microcontroladores com FPU dedicada sempre executam ponto fixo mais devagar do que ponto flutuante.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 xml:space="preserve">Incorreta, pois microcontroladores de baixo custo sem unidade de ponto flutuante emulam </w:t>
      </w:r>
      <w:r>
        <w:rPr>
          <w:rFonts w:ascii="Times New Roman" w:hAnsi="Times New Roman"/>
          <w:sz w:val="24"/>
        </w:rPr>
        <w:t>double</w:t>
      </w:r>
      <w:r>
        <w:rPr>
          <w:rFonts w:ascii="Times New Roman" w:hAnsi="Times New Roman"/>
          <w:sz w:val="24"/>
        </w:rPr>
        <w:t xml:space="preserve"> em software a um custo que pode comprometer o período de amostragem, tornando o ponto fixo uma alternativa viável quando esse custo é proibitivo.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Incorreta, apenas porque o ponto fixo elimina totalmente o erro de quantização presente no ponto flutuante.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Correta, pois o acumulador de 64 bits exigido pela multiplicação em Q16.16 está indisponível em qualquer microcontrolador de 32 bits.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25.</w:t>
      </w:r>
      <w:r>
        <w:rPr>
          <w:rFonts w:ascii="Times New Roman" w:hAnsi="Times New Roman"/>
          <w:sz w:val="24"/>
        </w:rPr>
        <w:t xml:space="preserve"> Um estudante realiza a atividade prática da Aula 13: aumenta Kp de 2,0 para 2,2 (variação de 10%), regenera o código e converte o novo valor de Kp para Q16.16. Considerando que 2,2×2¹⁶=144.179,2, qual é o resultado correto dessa conversão?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Kp_fixo = 144.179, sem erro de arredondamento, pois 2,2 é múltiplo exato de Δ.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Kp_fixo = 144.180, com erro de arredondamento nulo.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conversão não é possível, pois 2,2 excede a faixa representável em Q16.16 com 16 bits inteiros.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Kp_fixo = 144.179,2, mantendo a parte fracionária para preservar precisão.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Kp_fixo = round(144.179,2) = 144.179, com pequeno erro de arredondamento, pois 2,2 não é múltiplo exato da resolução Δ=2⁻¹⁶.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26.</w:t>
      </w:r>
      <w:r>
        <w:rPr>
          <w:rFonts w:ascii="Times New Roman" w:hAnsi="Times New Roman"/>
          <w:sz w:val="24"/>
        </w:rPr>
        <w:t xml:space="preserve"> Considerando que o épsilon de máquina em </w:t>
      </w:r>
      <w:r>
        <w:rPr>
          <w:rFonts w:ascii="Times New Roman" w:hAnsi="Times New Roman"/>
          <w:sz w:val="24"/>
        </w:rPr>
        <w:t>double</w:t>
      </w:r>
      <w:r>
        <w:rPr>
          <w:rFonts w:ascii="Times New Roman" w:hAnsi="Times New Roman"/>
          <w:sz w:val="24"/>
        </w:rPr>
        <w:t xml:space="preserve"> é aproximadamente 2,22×10⁻¹⁶ e que o erro máximo absoluto medido entre o modelo e o </w:t>
      </w:r>
      <w:r>
        <w:rPr>
          <w:rFonts w:ascii="Times New Roman" w:hAnsi="Times New Roman"/>
          <w:sz w:val="24"/>
        </w:rPr>
        <w:t>SILController</w:t>
      </w:r>
      <w:r>
        <w:rPr>
          <w:rFonts w:ascii="Times New Roman" w:hAnsi="Times New Roman"/>
          <w:sz w:val="24"/>
        </w:rPr>
        <w:t xml:space="preserve"> sem anti-windup foi de 12,61 V, qual é a ordem de grandeza aproximada da razão entre esse erro e o épsilon de máquina?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10⁸ vezes.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10¹² vezes.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10¹⁴ vezes.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Aproximadamente 5,7×10¹⁶ vezes, conforme reportado na Aula 14.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10²⁰ vezes.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27.</w:t>
      </w:r>
      <w:r>
        <w:rPr>
          <w:rFonts w:ascii="Times New Roman" w:hAnsi="Times New Roman"/>
          <w:sz w:val="24"/>
        </w:rPr>
        <w:t xml:space="preserve"> Ao obter erro máximo absoluto de exatamente 0,0 V entre o modelo Python e o </w:t>
      </w:r>
      <w:r>
        <w:rPr>
          <w:rFonts w:ascii="Times New Roman" w:hAnsi="Times New Roman"/>
          <w:sz w:val="24"/>
        </w:rPr>
        <w:t>SILController</w:t>
      </w:r>
      <w:r>
        <w:rPr>
          <w:rFonts w:ascii="Times New Roman" w:hAnsi="Times New Roman"/>
          <w:sz w:val="24"/>
        </w:rPr>
        <w:t xml:space="preserve"> na variante </w:t>
      </w:r>
      <w:r>
        <w:rPr>
          <w:rFonts w:ascii="Times New Roman" w:hAnsi="Times New Roman"/>
          <w:sz w:val="24"/>
        </w:rPr>
        <w:t>double</w:t>
      </w:r>
      <w:r>
        <w:rPr>
          <w:rFonts w:ascii="Times New Roman" w:hAnsi="Times New Roman"/>
          <w:sz w:val="24"/>
        </w:rPr>
        <w:t>, sobre 2.000 amostras, um estagiário conclui que o resultado é suspeito e que provavelmente há um bug escondendo diferenças reais. Com base no conteúdo da Aula 14, essa conclusão é: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Correta, pois nenhuma comparação entre duas implementações independentes pode legitimamente produzir erro zero.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Incorreta, pois o erro zero é explicado pela mesma aritmética IEEE-754 de dupla precisão seguida por NumPy e por gcc -O2 sem -ffast-math, na mesma ordem de operações — um resultado plausível, não suspeito.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Incorreta, apenas porque o estagiário deveria ter usado uma tolerância de 10⁻⁹ V em vez de comparar valores exatos.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Correta, pois erro zero só ocorreria se o código C não tivesse sido de fato compilado e executado.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Incorreta, apenas porque 2.000 amostras são poucas para revelar qualquer divergência real.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28.</w:t>
      </w:r>
      <w:r>
        <w:rPr>
          <w:rFonts w:ascii="Times New Roman" w:hAnsi="Times New Roman"/>
          <w:sz w:val="24"/>
        </w:rPr>
        <w:t xml:space="preserve"> Após obter erro de equivalência de 0,0 V na variante double e comparar o Q16.16 (0,01586 V máximo) com a análise de quantização da Aula 13, uma equipe declara: "provamos que o SIL certifica formalmente a equivalência do nosso controlador para fins de certificação DO-178C." Essa afirmação é: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Correta, pois a equivalência numérica medida em SIL é, por definição, o único critério de certificação DO-178C.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Correta, desde que o erro medido seja exatamente zero, e não apenas dentro de uma tolerância aceitável.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Incorreta, pois o SIL desta disciplina não usa código C real, apenas uma simulação do comportamento esperado.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Incorreta, apenas porque a comparação foi feita com 2.000 amostras, e não com a totalidade dos cenários de operação possíveis.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Incorreta, pois SIL produz evidência de equivalência numérica — insumo valioso para certificação —, mas certificação real exige também independência de verificação, qualificação formal de ferramenta e aprovação por autoridade certificadora, nenhuma delas produzida automaticamente pela medição de erro.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29.</w:t>
      </w:r>
      <w:r>
        <w:rPr>
          <w:rFonts w:ascii="Times New Roman" w:hAnsi="Times New Roman"/>
          <w:sz w:val="24"/>
        </w:rPr>
        <w:t xml:space="preserve"> Um teste pytest que encapsula </w:t>
      </w:r>
      <w:r>
        <w:rPr>
          <w:rFonts w:ascii="Times New Roman" w:hAnsi="Times New Roman"/>
          <w:sz w:val="24"/>
        </w:rPr>
        <w:t>compare_model_vs_code</w:t>
      </w:r>
      <w:r>
        <w:rPr>
          <w:rFonts w:ascii="Times New Roman" w:hAnsi="Times New Roman"/>
          <w:sz w:val="24"/>
        </w:rPr>
        <w:t xml:space="preserve"> falha automaticamente sempre que </w:t>
      </w:r>
      <w:r>
        <w:rPr>
          <w:rFonts w:ascii="Times New Roman" w:hAnsi="Times New Roman"/>
          <w:sz w:val="24"/>
        </w:rPr>
        <w:t>erro_maximo_abs</w:t>
      </w:r>
      <w:r>
        <w:rPr>
          <w:rFonts w:ascii="Times New Roman" w:hAnsi="Times New Roman"/>
          <w:sz w:val="24"/>
        </w:rPr>
        <w:t xml:space="preserve"> ultrapassa 10⁻⁹ V para a variante double. Se uma futura alteração no template Jinja2 introduzir, por engano, uma troca de operador (por exemplo, subtração no lugar de soma no termo integral), qual é o comportamento esperado desse teste de regressão?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O teste deve falhar, pois a alteração de lógica produziria um erro muitas ordens de grandeza acima de 10⁻⁹ V, semelhante em magnitude ao caso do anti-windup removido.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O teste deve passar normalmente, pois erros de template Jinja2 não afetam a equivalência numérica medida por SIL.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O teste deve falhar apenas se a alteração também violar a compilação com gcc -O2.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O teste deve passar, desde que o erro fique abaixo do épsilon de máquina, mesmo com a troca de operador.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O comportamento do teste é indefinido, pois erros de template não são detectáveis por comparação numérica.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30.</w:t>
      </w:r>
      <w:r>
        <w:rPr>
          <w:rFonts w:ascii="Times New Roman" w:hAnsi="Times New Roman"/>
          <w:sz w:val="24"/>
        </w:rPr>
        <w:t xml:space="preserve"> Ao medir a equivalência do código gerado para um novo conjunto de ganhos, cujo τ_f permanece 0,01 s e Ts permanece 0,005 s (os mesmos valores da Aula 13), a equipe obtém, na variante Q16.16, um erro máximo absoluto de 4,2 V — muito acima dos 0,01586 V medidos com os ganhos originais. Qual é a interpretação mais correta desse resultado, à luz da Aula 14?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O resultado é esperado, pois qualquer variação nos ganhos do PID aumenta proporcionalmente o erro de quantização de Ts e τ_f.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O resultado indica apenas que a nova combinação de ganhos exige um formato Q8.24 em vez de Q16.16.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O resultado é desproporcional ao esperado pela análise de quantização de Ts, τ_f e Kd da Aula 13, e deve ser tratado como possível bug de geração de código ou de configuração dos ganhos, não como consequência normal do ponto fixo.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O resultado é esperado, pois qualquer ganho Kp acima de 2,0 satura automaticamente o formato Q16.16.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O resultado deve ser ignorado, pois erros acima de 1 V são irrelevantes frente a um fundo de escala de 24 V.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31.</w:t>
      </w:r>
      <w:r>
        <w:rPr>
          <w:rFonts w:ascii="Times New Roman" w:hAnsi="Times New Roman"/>
          <w:sz w:val="24"/>
        </w:rPr>
        <w:t xml:space="preserve"> Em uma nova execução de </w:t>
      </w:r>
      <w:r>
        <w:rPr>
          <w:rFonts w:ascii="Times New Roman" w:hAnsi="Times New Roman"/>
          <w:sz w:val="24"/>
        </w:rPr>
        <w:t>run_closed_loop_hil</w:t>
      </w:r>
      <w:r>
        <w:rPr>
          <w:rFonts w:ascii="Times New Roman" w:hAnsi="Times New Roman"/>
          <w:sz w:val="24"/>
        </w:rPr>
        <w:t xml:space="preserve"> por 5 s com </w:t>
      </w:r>
      <w:r>
        <w:rPr>
          <w:rFonts w:ascii="Times New Roman" w:hAnsi="Times New Roman"/>
          <w:sz w:val="24"/>
        </w:rPr>
        <w:t>LoopbackTarget</w:t>
      </w:r>
      <w:r>
        <w:rPr>
          <w:rFonts w:ascii="Times New Roman" w:hAnsi="Times New Roman"/>
          <w:sz w:val="24"/>
        </w:rPr>
        <w:t xml:space="preserve"> (Ts nominal = 5 ms), a equipe mede um jitter pico a pico de 0,75 ms. Qual fração aproximada do período nominal esse jitter representa?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5%.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7,5%.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10%.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12,5%.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15%.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32.</w:t>
      </w:r>
      <w:r>
        <w:rPr>
          <w:rFonts w:ascii="Times New Roman" w:hAnsi="Times New Roman"/>
          <w:sz w:val="24"/>
        </w:rPr>
        <w:t xml:space="preserve"> Uma equipe decide configurar 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do NexaBot com um prazo (</w:t>
      </w:r>
      <w:r>
        <w:rPr>
          <w:rFonts w:ascii="Times New Roman" w:hAnsi="Times New Roman"/>
          <w:sz w:val="24"/>
        </w:rPr>
        <w:t>deadline_s</w:t>
      </w:r>
      <w:r>
        <w:rPr>
          <w:rFonts w:ascii="Times New Roman" w:hAnsi="Times New Roman"/>
          <w:sz w:val="24"/>
        </w:rPr>
        <w:t xml:space="preserve">) igual a três períodos de amostragem (3×Ts), com Ts=5 ms. Qual é o valor correto desse prazo, em milissegundos, e qual seria o comportamento do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diante de um atraso do alvo de 20 ms?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 xml:space="preserve">O prazo é de 15 ms; como 20 ms excede esse prazo, 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deve devolver u=0,0 V e sinalizar estouro.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O prazo é de 5 ms; como 20 ms excede esse prazo, 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deve aguardar mais um ciclo antes de decidir.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O prazo é de 15 ms; como 20 ms excede esse prazo, 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deve devolver o último comando válido registrado, não zero.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O prazo é de 25 ms; como 20 ms não excede esse prazo, nenhum estouro deve ocorrer.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O prazo é de 3 ms; como 20 ms excede esse prazo, 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deve reiniciar automaticamente o processo do alvo sem sinalizar falha.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33.</w:t>
      </w:r>
      <w:r>
        <w:rPr>
          <w:rFonts w:ascii="Times New Roman" w:hAnsi="Times New Roman"/>
          <w:sz w:val="24"/>
        </w:rPr>
        <w:t xml:space="preserve"> A latência p95 medida em uma execução de </w:t>
      </w:r>
      <w:r>
        <w:rPr>
          <w:rFonts w:ascii="Times New Roman" w:hAnsi="Times New Roman"/>
          <w:sz w:val="24"/>
        </w:rPr>
        <w:t>run_closed_loop_hil</w:t>
      </w:r>
      <w:r>
        <w:rPr>
          <w:rFonts w:ascii="Times New Roman" w:hAnsi="Times New Roman"/>
          <w:sz w:val="24"/>
        </w:rPr>
        <w:t xml:space="preserve"> foi de 0,287 ms, e a latência máxima foi de 2,002 ms, sobre um Ts nominal de 5 ms. Se a equipe configurar 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com um prazo de exatamente 0,3 ms — pouco acima do p95 —, qual é a consequência mais provável dessa escolha?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Nenhuma consequência, pois o prazo de 0,3 ms é maior do que toda a distribuição de latências observadas.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nunca estourará, pois o prazo está acima da latência média de 0,108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estourará em exatamente 5% das chamadas, coincidindo perfeitamente com a definição de percentil 95.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provavelmente produzirá falsos positivos frequentes, pois a latência máxima observada (2,002 ms) excede em muito o prazo configurado, e ao menos 5% das chamadas já ultrapassam o p95 de 0,287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deve ser configurado sempre abaixo do p95, pois esse é o procedimento recomendado pela Aula 15.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34.</w:t>
      </w:r>
      <w:r>
        <w:rPr>
          <w:rFonts w:ascii="Times New Roman" w:hAnsi="Times New Roman"/>
          <w:sz w:val="24"/>
        </w:rPr>
        <w:t xml:space="preserve"> Uma equipe afirma: "já testamos o controlador em HIL na Aula 14, comparando o modelo Python com o código C compilado dentro do mesmo processo." Sobre essa afirmação, é correto dizer que: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Está correta, pois HIL e SIL são termos intercambiáveis para a mesma técnica de verificação.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Está incorreta, pois o que foi descrito — modelo e código C executados no mesmo processo, sem restrição de tempo real — é a definição de SIL (Aula 14), não de HIL, que exige o controlador rodando como alvo separado, sujeito a tempo real (Aula 15).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Está incorreta, apenas porque HIL exige necessariamente um ESP32 físico conectado por porta serial.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Está correta, desde que o teste tenha sido executado com </w:t>
      </w:r>
      <w:r>
        <w:rPr>
          <w:rFonts w:ascii="Times New Roman" w:hAnsi="Times New Roman"/>
          <w:sz w:val="24"/>
        </w:rPr>
        <w:t>real_time=True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Está incorreta, apenas porque a Aula 14 usa Python puro, sem nenhum código C envolvido.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35.</w:t>
      </w:r>
      <w:r>
        <w:rPr>
          <w:rFonts w:ascii="Times New Roman" w:hAnsi="Times New Roman"/>
          <w:sz w:val="24"/>
        </w:rPr>
        <w:t xml:space="preserve"> Um controlador apresenta erro de equivalência SIL de exatamente 0,0 V (double) e, ao ser testado em HIL, apresenta latência máxima de 2,002 ms sobre um Ts de 5 ms, sem qualquer estouro de watchdog registrado. Qual conclusão é tecnicamente correta sobre esse controlador?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Como o erro de equivalência é zero, o comportamento temporal medido em HIL é redundante e poderia ter sido dispensado.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 ausência de estouro do watchdog garante que o controlador nunca apresentará jitter em produção, sob nenhuma condição de carga.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As duas evidências são complementares e independentes: a equivalência numérica (SIL) mostra que a lógica do código está correta, e o comportamento temporal (HIL) mostra que, nas condições testadas, o alvo respondeu dentro do prazo — nenhuma delas garante a outra.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O resultado de HIL substitui a necessidade de verificação formal do supervisor realizada na Unidade 3.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Como não houve estouro de watchdog, o sistema está formalmente certificado para operação em campo.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36.</w:t>
      </w:r>
      <w:r>
        <w:rPr>
          <w:rFonts w:ascii="Times New Roman" w:hAnsi="Times New Roman"/>
          <w:sz w:val="24"/>
        </w:rPr>
        <w:t xml:space="preserve"> A verificação exaustiva de REQ-SAFE-006 explora 6 caminhos e encontra um pior caso de 5 períodos de atuação até o torque ser zerado, com Ts=5 ms. Qual é a margem, em milissegundos, entre esse pior caso e o limite de 150 ms exigido pelo requisito?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O pior caso é de 25 ms (5×5 ms), o que deixa uma margem de 125 ms frente ao limite de 150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O pior caso é de 30 ms (6×5 ms, um por caminho explorado), com margem de 120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O pior caso é de 25 ms, mas o limite real é de 25 ms também, sem qualquer margem.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O pior caso excede o limite de 150 ms, caracterizando violação do requisito.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O cálculo não pode ser feito sem conhecer o valor exato de d_stop_max em segundos.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37.</w:t>
      </w:r>
      <w:r>
        <w:rPr>
          <w:rFonts w:ascii="Times New Roman" w:hAnsi="Times New Roman"/>
          <w:sz w:val="24"/>
        </w:rPr>
        <w:t xml:space="preserve"> Ao ser questionada por um cliente de robótica industrial se o pipeline apresentado "gera evidências suficientes para certificar o robô conforme a ISO 26262", a equipe do NexaBot responde: "sim, geramos modelo versionado, propriedades formais verificadas, testes com cobertura medida, código rastreável, equivalência numérica medida e um pipeline de CI — isso é certificação completa." Do ponto de vista da Aula 16, essa resposta está: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Correta, pois as seis evidências listadas são exatamente os seis requisitos formais da ISO 26262 para certificação.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Correta, desde que o cliente aceite a matriz de rastreabilidade gerada automaticamente como documento oficial de certificação.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Incorreta, apenas porque falta incluir testes de HIL na lista de evidências apresentadas.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Incorreta, apenas porque a ISO 26262 não reconhece nenhuma forma de verificação formal automatizada como evidência válida.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Incorreta, pois as seis evidências listadas são reais e valiosas, mas certificação exige também independência entre quem desenvolve e verifica, qualificação formal das ferramentas e aprovação de uma autoridade certificadora — nenhuma delas produzida por esse pipeline técnico, por mais completo que seja.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38.</w:t>
      </w:r>
      <w:r>
        <w:rPr>
          <w:rFonts w:ascii="Times New Roman" w:hAnsi="Times New Roman"/>
          <w:sz w:val="24"/>
        </w:rPr>
        <w:t xml:space="preserve"> Uma equipe argumenta que, como a suíte de testes do NexaBot atinge cobertura de código medida e passa integralmente na esteira de integração contínua, isso substitui a necessidade de qualificação formal de ferramentas como SymPy, Jinja2 e GCC exigida por normas como a DO-178C. Essa argumentação está: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Correta, pois cobertura de código e CI são, por definição normativa, formas equivalentes de qualificação de ferramenta.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Correta, desde que a cobertura medida seja de 100% das linhas de código geradas.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Incorreta: cobertura e CI não tornam uma ferramenta automaticamente qualificada. A equipe ainda precisa analisar o uso, o impacto de erros e a capacidade de detectá-los por verificação posterior; conforme essa análise, qualifica a ferramenta ou adota verificação independente suficiente.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Incorreta, apenas porque a cobertura de código do NexaBot está abaixo do mínimo exigido pela DO-178C.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Correta, pois GCC é homologado automaticamente como ferramenta qualificada sempre que compila software aprovado por testes de regressão.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39.</w:t>
      </w:r>
      <w:r>
        <w:rPr>
          <w:rFonts w:ascii="Times New Roman" w:hAnsi="Times New Roman"/>
          <w:sz w:val="24"/>
        </w:rPr>
        <w:t xml:space="preserve"> Comparando os três domínios discutidos na Aula 16 — automotivo (ISO 26262), aeroespacial (DO-178C) e robótica industrial (ISO 10218/ISO-TS 15066) —, qual afirmação descreve corretamente uma diferença relevante entre eles quanto à exigência de medir e documentar o pior caso de tempo de resposta?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Apenas o setor aeroespacial exige medir tempo de resposta; os demais setores dispensam essa exigência.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 robótica industrial não exige qualquer evidência de tempo de resposta de parada, por operar sob regime totalmente informal.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O setor automotivo é o único que aceita autômatos temporizados como evidência de pior caso.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Os três setores exigem, conforme a função analisada, evidência de tempo de resposta ou pior caso, mas diferem no processo de garantia e auditoria; no aeroespacial, o plano aprovado e a análise de confiança das ferramentas seguem critérios próprios do nível de software e do uso de cada ferramenta.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 robótica industrial adota exatamente os mesmos DAL da DO-178C, apenas com nomenclatura diferente.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40.</w:t>
      </w:r>
      <w:r>
        <w:rPr>
          <w:rFonts w:ascii="Times New Roman" w:hAnsi="Times New Roman"/>
          <w:sz w:val="24"/>
        </w:rPr>
        <w:t xml:space="preserve"> Ao encerrar a disciplina, um estudante resume a trajetória das quatro unidades do NexaBot como: "identificamos o modelo, fechamos a malha com PID, provamos formalmente o supervisor e geramos código com rastreabilidade — portanto o sistema está pronto para produção sem qualquer ressalva." Sob a ótica da honestidade técnica construída na Aula 16, esse resumo: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Está correto, pois a travessia completa das quatro camadas — modelo, controle, verificação formal, código rastreável — é, por definição, suficiente para produção em qualquer domínio.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Omite uma distinção essencial: o resumo descreve evidências reais, mas conclui indevidamente que não há ressalvas, ignorando a lacuna de verificação do REQ-SAFE-007 e a distinção entre evidência técnica e certificação/aprovação organizacional.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Está correto, desde que o supervisor tenha sido verificado exaustivamente na Unidade 3, o que dispensa qualquer ressalva sobre código ou tempo real.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Está incorreto, apenas porque a Unidade 1 não foi mencionada explicitamente no resumo do estudante.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Está correto, pois a matriz relaciona 14 requisitos em 91 arquivos Python, número que por si só é evidência suficiente para qualquer domínio.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Gabarito e feedbacks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a asserção II é falsa, não verdadeira — o gcc não detecta nem impede a compilação de um arquivo </w:t>
      </w:r>
      <w:r>
        <w:rPr>
          <w:rFonts w:ascii="Times New Roman" w:hAnsi="Times New Roman"/>
          <w:sz w:val="24"/>
        </w:rPr>
        <w:t>.c</w:t>
      </w:r>
      <w:r>
        <w:rPr>
          <w:rFonts w:ascii="Times New Roman" w:hAnsi="Times New Roman"/>
          <w:sz w:val="24"/>
        </w:rPr>
        <w:t xml:space="preserve"> editado manualmente, e o hash não é recalculado automaticamente ao salvar.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 pelo mesmo motivo.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a I é verdadeira — o arquivo gerado é, por definição, artefato derivado, corrigido sempre no modelo; a II é falsa, pois nada no gcc detecta ou impede a compilação de C editado manualmente, nem recalcula o hash automaticamente.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ambas as asserções são verdadeiras, e a II descreve corretamente o mecanismo (</w:t>
      </w:r>
      <w:r>
        <w:rPr>
          <w:rFonts w:ascii="Times New Roman" w:hAnsi="Times New Roman"/>
          <w:sz w:val="24"/>
        </w:rPr>
        <w:t>compute_params_hash</w:t>
      </w:r>
      <w:r>
        <w:rPr>
          <w:rFonts w:ascii="Times New Roman" w:hAnsi="Times New Roman"/>
          <w:sz w:val="24"/>
        </w:rPr>
        <w:t xml:space="preserve"> sobre os sete parâmetros) que explica por que o bloco de rastreabilidade liga o arquivo aos requisitos, à versão e ao hash.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de fato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a asserção I é falsa — Q16.16 usa </w:t>
      </w:r>
      <w:r>
        <w:rPr>
          <w:rFonts w:ascii="Times New Roman" w:hAnsi="Times New Roman"/>
          <w:sz w:val="24"/>
        </w:rPr>
        <w:t>int32_t</w:t>
      </w:r>
      <w:r>
        <w:rPr>
          <w:rFonts w:ascii="Times New Roman" w:hAnsi="Times New Roman"/>
          <w:sz w:val="24"/>
        </w:rPr>
        <w:t xml:space="preserve"> (32 bits), não 64 bits, e não elimina completamente o erro de arredondamento.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II também é falsa — a multiplicação exige acumulador de 64 bits (</w:t>
      </w:r>
      <w:r>
        <w:rPr>
          <w:rFonts w:ascii="Times New Roman" w:hAnsi="Times New Roman"/>
          <w:sz w:val="24"/>
        </w:rPr>
        <w:t>int64_t</w:t>
      </w:r>
      <w:r>
        <w:rPr>
          <w:rFonts w:ascii="Times New Roman" w:hAnsi="Times New Roman"/>
          <w:sz w:val="24"/>
        </w:rPr>
        <w:t xml:space="preserve">) antes do deslocamento, não pode ser feita diretamente em </w:t>
      </w:r>
      <w:r>
        <w:rPr>
          <w:rFonts w:ascii="Times New Roman" w:hAnsi="Times New Roman"/>
          <w:sz w:val="24"/>
        </w:rPr>
        <w:t>int32_t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a I é falsa pelo formato incorreto e pela ausência de eliminação total do erro; a II é falsa porque a multiplicação exige acumulador intermediário de 64 bits, e não é feita diretamente em </w:t>
      </w:r>
      <w:r>
        <w:rPr>
          <w:rFonts w:ascii="Times New Roman" w:hAnsi="Times New Roman"/>
          <w:sz w:val="24"/>
        </w:rPr>
        <w:t>int32_t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4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II é verdadeira apenas como fato genérico sobre o SymPy; não justifica especificamente por que as equações do PID foram derivadas em vez de digitadas.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ambas as asserções são verdadeiras, mas a II é um fato genérico sobre a biblioteca SymPy, que não explica a escolha metodológica descrita na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5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é falsa — a Aula 13 não afirma que Euler para trás produz menos erro de discretização do que Tustin para qualquer Ts, apenas que foi escolhida pelo custo computacional mais baixo; a II é verdadeira e descreve corretamente essa vantagem de custo.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6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Correta: ambas as asserções são verdadeiras, e a II descreve o mecanismo de </w:t>
      </w:r>
      <w:r>
        <w:rPr>
          <w:rFonts w:ascii="Times New Roman" w:hAnsi="Times New Roman"/>
          <w:sz w:val="24"/>
        </w:rPr>
        <w:t>compare_model_vs_code</w:t>
      </w:r>
      <w:r>
        <w:rPr>
          <w:rFonts w:ascii="Times New Roman" w:hAnsi="Times New Roman"/>
          <w:sz w:val="24"/>
        </w:rPr>
        <w:t xml:space="preserve"> que torna possível a medição amostra a amostra afirmada na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de fato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7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a I é verdadeira — erro zero é consistente com (e até melhor do que) a expectativa de equivalência na ordem do épsilon de máquina; a II é falsa, pois erro zero indica justamente que gcc -O2 sem -ffast-math preservou a mesma ordem de operações IEEE-754, não que aplicou reordenação agressiva.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8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 — testes de regressão são evidência valiosa, mas não certificam formalmente nada; certificação exige independência de verificação, qualificação de ferramenta e aprovação de autoridade.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II também é falsa — mesmo com tolerância de 10⁻⁹ V (muito maior que o épsilon de máquina), o teste detectaria facilmente um bug de lógica como o do anti-windup removido, cujo erro (12,61 V) é muitas ordens de grandeza acima dessa tolerância.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 I é falsa pelo motivo de certificação exposto; a II é falsa porque a tolerância adotada continua muito menor do que o erro produzido por um bug de lógica real, permanecendo capaz de detectá-lo.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9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II é verdadeira, mas descreve a composição da sequência de teste, não a razão do valor de 12,61 V medido.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ambas as asserções são verdadeiras — o erro de 12,61 V está de fato documentado, e as sequências fixas de teste também estão corretamente descritas —, mas a II não explica por que a remoção do anti-windup produziu esse erro específico.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10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é falsa — a Aula 14 não trata esse erro como invalidação automática, mas como um número que a equipe avalia frente ao requisito; a II é verdadeira e reproduz corretamente o cálculo percentual e a atribuição da decisão à equipe.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11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 — SIL e HIL verificam propriedades independentes; equivalência numérica não garante comportamento temporal.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II também é falsa — a definição dada é de latência, não de jitter, que é a variação do período efetivo do laço.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 I é falsa pela independência entre as duas propriedades; a II é falsa porque troca a definição de jitter pela de latência.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12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II é verdadeira, mas descreve o protocolo de linha, não o motivo do valor de jitter medido.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ambas as asserções são verdadeiras — o valor de jitter está corretamente reportado, e o protocolo ASCII realmente existe —, mas a II não justifica a métrica de jitter apresentada na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13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ambas as asserções são verdadeiras, e a II fornece exatamente a justificativa de segurança (assumir o pior caso diante da incerteza) para o comportamento do watchdog descrito na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de fato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14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é falsa — o protocolo é idêntico entre os dois back-ends, e nenhuma alteração de lógica de controle é exigida; a II é verdadeira e descreve corretamente que a diferença está só no transporte.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15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a I é verdadeira — 2,002/5=0,4004, cerca de 40% do período nominal; a II é falsa, pois latência é medida em unidades de tempo (segundos/milissegundos) via relógio de alta resolução, e radianos por segundo não é uma unidade de tempo.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16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é falsa — as normas não compartilham a mesma nomenclatura nem o mesmo número de níveis; a II é verdadeira e descreve corretamente os cinco DAL (A-E) da DO-178C e os quatro ASIL (A-D) da ISO 26262.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17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 — varredura estática de rastreabilidade não constitui qualificação formal de ferramenta.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II também é falsa — qualificação de ferramenta significa comprovação formal, com evidência, de que a ferramenta produz saídas corretas com confiança compatível com a criticidade, não popularidade na comunidade open source.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 I é falsa, pois rastreabilidade não é qualificação de ferramenta; a II é falsa, pois qualificação exige evidência formal de correção, não apenas ampla adoção.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18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a I é verdadeira — reproduz a posição da Aula 16 sobre ferramentas não qualificadas; a II é falsa, pois não existe proibição legal geral ao uso de ferramentas abertas em contexto certificado, apenas a exigência de qualificá-las quando necessário.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19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ambas as asserções são verdadeiras; a II explica exatamente por que as colunas "código gerado" e "teste" ficam vazias para REQ-SAFE-006 — a lógica do supervisor não passa pelo codegen do PID, e a verificação existente é exaustiva, não um teste automatizado dedicado.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de fato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20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II é verdadeira, mas descreve contexto regulatório de outro domínio, não o motivo do valor de 25 ms encontrado para 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ambas as asserções são verdadeiras — o pior caso de 25 ms está de fato dentro do limite, e a caracterização da robótica industrial também está correta —, mas a II não explica por que o pior caso do NexaBot é 25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21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o SHA-256 não preserva similaridade de entrada; qualquer alteração, por menor que seja, produz uma saída completamente diferente (efeito avalanche).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</w:t>
      </w:r>
      <w:r>
        <w:rPr>
          <w:rFonts w:ascii="Times New Roman" w:hAnsi="Times New Roman"/>
          <w:sz w:val="24"/>
        </w:rPr>
        <w:t>compute_params_hash</w:t>
      </w:r>
      <w:r>
        <w:rPr>
          <w:rFonts w:ascii="Times New Roman" w:hAnsi="Times New Roman"/>
          <w:sz w:val="24"/>
        </w:rPr>
        <w:t xml:space="preserve"> recalcula o hash a partir do JSON ordenado dos sete parâmetros; alterar qualquer um deles, mesmo levemente, produz um hash inteiramente novo, sem relação visível com o anterior.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o SHA-256 não preserva prefixos entre entradas semelhantes; é próprio do efeito avalanche que pequenas mudanças alterem o hash inteiro, não apenas parte dele.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o hash é recalculado automaticamente a cada geração, dentro do próprio processo de </w:t>
      </w:r>
      <w:r>
        <w:rPr>
          <w:rFonts w:ascii="Times New Roman" w:hAnsi="Times New Roman"/>
          <w:sz w:val="24"/>
        </w:rPr>
        <w:t>generate_pid_controller</w:t>
      </w:r>
      <w:r>
        <w:rPr>
          <w:rFonts w:ascii="Times New Roman" w:hAnsi="Times New Roman"/>
          <w:sz w:val="24"/>
        </w:rPr>
        <w:t>, sem exigir edição manual do cabeçalho.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o hash é uma função determinística dos parâmetros atuais; não incorpora valores históricos ou anteriores.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22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τ_f não é múltiplo exato de Δ=2⁻¹⁶, portanto sofre arredondamento.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τ_f×2¹⁶=655,36, não é um inteiro exato; há parte fracionária a arredondar.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655,36 arredonda para baixo, para 655, não para cima, para 656.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0,01×65536=655,36, arredondado para 655; τ_f_fixo=655/65536=0,0099945068359375 s, um erro de aproximadamente −5,493×10⁻⁶ s, conforme medido na Aula 13.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τ_f=0,01 está bem dentro da faixa representável de um formato com 16 bits inteiros.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23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Correta: o módulo </w:t>
      </w:r>
      <w:r>
        <w:rPr>
          <w:rFonts w:ascii="Times New Roman" w:hAnsi="Times New Roman"/>
          <w:sz w:val="24"/>
        </w:rPr>
        <w:t>derive.py</w:t>
      </w:r>
      <w:r>
        <w:rPr>
          <w:rFonts w:ascii="Times New Roman" w:hAnsi="Times New Roman"/>
          <w:sz w:val="24"/>
        </w:rPr>
        <w:t xml:space="preserve"> verifica que o resíduo simbólico entre a recorrência derivada e o contrato de </w:t>
      </w:r>
      <w:r>
        <w:rPr>
          <w:rFonts w:ascii="Times New Roman" w:hAnsi="Times New Roman"/>
          <w:sz w:val="24"/>
        </w:rPr>
        <w:t>DiscretePID.step</w:t>
      </w:r>
      <w:r>
        <w:rPr>
          <w:rFonts w:ascii="Times New Roman" w:hAnsi="Times New Roman"/>
          <w:sz w:val="24"/>
        </w:rPr>
        <w:t xml:space="preserve"> é identicamente zero, recusando-se a gerar C caso haja qualquer divergência algébrica.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verificação exige resíduo identicamente zero (algébrico), não uma tolerância numérica de épsilon de máquina.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o </w:t>
      </w:r>
      <w:r>
        <w:rPr>
          <w:rFonts w:ascii="Times New Roman" w:hAnsi="Times New Roman"/>
          <w:sz w:val="24"/>
        </w:rPr>
        <w:t>AssertionError</w:t>
      </w:r>
      <w:r>
        <w:rPr>
          <w:rFonts w:ascii="Times New Roman" w:hAnsi="Times New Roman"/>
          <w:sz w:val="24"/>
        </w:rPr>
        <w:t xml:space="preserve"> ocorre na etapa de derivação simbólica, antes de qualquer tentativa de compilação com gcc.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verificação simbólica não substitui a equivalência numérica medida por SIL sobre o código já compilado; são etapas complementares.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comparação é feita simbolicamente, com os símbolos genéricos do SymPy, não com valores numéricos concretos de Kp, Ki e Kd.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24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Q16.16 usa </w:t>
      </w:r>
      <w:r>
        <w:rPr>
          <w:rFonts w:ascii="Times New Roman" w:hAnsi="Times New Roman"/>
          <w:sz w:val="24"/>
        </w:rPr>
        <w:t>int32_t</w:t>
      </w:r>
      <w:r>
        <w:rPr>
          <w:rFonts w:ascii="Times New Roman" w:hAnsi="Times New Roman"/>
          <w:sz w:val="24"/>
        </w:rPr>
        <w:t xml:space="preserve"> com bit de sinal, representando números negativos normalmente, sem lógica adicional.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comparação de velocidade depende da implementação específica; a Aula 13 não afirma essa superioridade universal da FPU.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a Aula 13 justifica o ponto fixo pelo custo de emular </w:t>
      </w:r>
      <w:r>
        <w:rPr>
          <w:rFonts w:ascii="Times New Roman" w:hAnsi="Times New Roman"/>
          <w:sz w:val="24"/>
        </w:rPr>
        <w:t>double</w:t>
      </w:r>
      <w:r>
        <w:rPr>
          <w:rFonts w:ascii="Times New Roman" w:hAnsi="Times New Roman"/>
          <w:sz w:val="24"/>
        </w:rPr>
        <w:t xml:space="preserve"> em microcontroladores sem FPU, que pode comprometer o período de amostragem — não pela superioridade incondicional de um formato sobre o outro.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o ponto fixo não elimina o erro de quantização; ao contrário, a Aula 13 mede exatamente esse erro para Ts, τ_f e Kd.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o acumulador de 64 bits (</w:t>
      </w:r>
      <w:r>
        <w:rPr>
          <w:rFonts w:ascii="Times New Roman" w:hAnsi="Times New Roman"/>
          <w:sz w:val="24"/>
        </w:rPr>
        <w:t>int64_t</w:t>
      </w:r>
      <w:r>
        <w:rPr>
          <w:rFonts w:ascii="Times New Roman" w:hAnsi="Times New Roman"/>
          <w:sz w:val="24"/>
        </w:rPr>
        <w:t>) é uma escolha de implementação em software, disponível em qualquer microcontrolador de 32 bits com suporte a aritmética de 64 bits em software.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25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2,2 não é múltiplo exato de Δ=2⁻¹⁶, logo há erro de arredondamento.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144.179,2 não arredonda para 144.180; a parte fracionária 0,2 é menor que 0,5 e arredonda para baixo.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2,2 está bem dentro da faixa representável por 16 bits inteiros com sinal em Q16.16.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o formato Q16.16 armazena apenas inteiros de 32 bits; a parte fracionária de 144.179,2 não pode ser preservada diretamente.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round(144.179,2)=144.179 (0,2 arredonda para baixo), com pequeno erro de arredondamento, pois 2,2 não é múltiplo exato da resolução Δ.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26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10⁸ subestima muito a razão real entre 12,61 V e 2,22×10⁻¹⁶.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10¹² também subestima a razão real.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10¹⁴ ainda está abaixo da ordem de grandeza correta.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12,61 / 2,22×10⁻¹⁶ ≈ 5,68×10¹⁶, valor reportado na Aula 14 como assinatura inconfundível de divergência de lógica.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10²⁰ superestima a razão real.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27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duas implementações independentes que seguem exatamente a mesma aritmética IEEE-754, na mesma ordem de operações, podem legitimamente produzir erro zero — não é impossível.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NumPy e gcc -O2 (sem -ffast-math) seguem a mesma aritmética de dupla precisão na mesma ordem de operações; erro zero é, portanto, um resultado plausível e esperado, não suspeito.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comparar com tolerância (como fazem os testes de regressão) é uma prática complementar de engenharia de testes, mas não torna o valor exato zero, por si só, suspeito.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erro zero não implica que o código não foi executado; ao contrário, é consistente com a execução correta do binário real compilado.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2.000 amostras, cobrindo degrau e componente senoidal, são suficientes para revelar divergências de lógica, como demonstrado pelo próprio experimento do anti-windup removido.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28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DO-178C não define equivalência numérica em SIL como único critério de certificação; certificação envolve múltiplos elementos organizacionais e de processo.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mesmo com erro exatamente zero, a equivalência numérica sozinha não constitui certificação.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o SIL desta disciplina compila e executa o código C real gerado, via </w:t>
      </w:r>
      <w:r>
        <w:rPr>
          <w:rFonts w:ascii="Times New Roman" w:hAnsi="Times New Roman"/>
          <w:sz w:val="24"/>
        </w:rPr>
        <w:t>ctypes</w:t>
      </w:r>
      <w:r>
        <w:rPr>
          <w:rFonts w:ascii="Times New Roman" w:hAnsi="Times New Roman"/>
          <w:sz w:val="24"/>
        </w:rPr>
        <w:t>, não uma simulação aproximada do comportamento esperado.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o número de amostras não é o motivo central pelo qual a equivalência SIL não equivale a certificação; mesmo com todos os cenários cobertos, faltariam os demais elementos do processo.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as evidências de equivalência numérica são reais e valiosas, mas certificação real exige também independência de verificação, qualificação formal de ferramenta e aprovação de autoridade certificadora — nenhuma delas produzida pela medição de erro em SIL.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29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uma troca de operador no template alteraria a lógica do código gerado, produzindo um erro de magnitude comparável ao caso do anti-windup removido (muitas ordens de grandeza acima de 10⁻⁹ V), o que o teste de regressão detectaria e falharia.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erros de template afetam diretamente a lógica do C gerado, e portanto afetam sim a equivalência numérica medida por SIL.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o teste de regressão falha pela comparação numérica de </w:t>
      </w:r>
      <w:r>
        <w:rPr>
          <w:rFonts w:ascii="Times New Roman" w:hAnsi="Times New Roman"/>
          <w:sz w:val="24"/>
        </w:rPr>
        <w:t>compare_model_vs_code</w:t>
      </w:r>
      <w:r>
        <w:rPr>
          <w:rFonts w:ascii="Times New Roman" w:hAnsi="Times New Roman"/>
          <w:sz w:val="24"/>
        </w:rPr>
        <w:t>, independentemente de a compilação em si ter tido sucesso.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um erro de lógica como a troca de operador produziria erro muito acima do épsilon de máquina, não abaixo dele.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o comportamento do teste é bem definido — ele compara erro numérico contra um limiar fixo e falha quando esse limiar é ultrapassado.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30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análise de quantização da Aula 13 não prevê que qualquer variação nos ganhos aumente proporcionalmente o erro de Ts e τ_f, que dependem apenas de seus próprios valores.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escolha de formato (Q16.16 versus outro) não é determinada pela combinação específica de ganhos usada nesta comparação.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um erro de 4,2 V é ordens de grandeza maior do que o esperado pela propagação dos erros de quantização de Ts, τ_f e Kd (que produziram um erro máximo de 0,01586 V com os ganhos originais), sinalizando possível bug, não efeito normal do ponto fixo.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não há, no conteúdo da disciplina, relação entre o valor de Kp e uma saturação automática do formato Q16.16.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um erro de 4,2 V frente a um fundo de escala de 24 V (17,5%) é significativo e não deve ser ignorado.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31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0,75/5 corresponde a 15%, não a 5%.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7,5% corresponderia a um jitter de 0,375 ms, não a 0,75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10% corresponderia a um jitter de 0,5 ms, não a 0,75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12,5% corresponderia a um jitter de 0,625 ms, não a 0,75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0,75 ms / 5 ms = 0,15, ou seja, 15% do período nominal.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32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Correta: 3×Ts=3×5 ms=15 ms; como o atraso de 20 ms excede esse prazo, 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deve devolver u=0,0 V e sinalizar </w:t>
      </w:r>
      <w:r>
        <w:rPr>
          <w:rFonts w:ascii="Times New Roman" w:hAnsi="Times New Roman"/>
          <w:sz w:val="24"/>
        </w:rPr>
        <w:t>estourou=True</w:t>
      </w:r>
      <w:r>
        <w:rPr>
          <w:rFonts w:ascii="Times New Roman" w:hAnsi="Times New Roman"/>
          <w:sz w:val="24"/>
        </w:rPr>
        <w:t>, exatamente como no cenário de atraso de 50 ms sob prazo de 10 ms descrito na aula.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3×Ts=15 ms, não 5 ms; além disso, 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não aguarda ciclos adicionais — decide dentro do prazo configurado.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o comando seguro do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>, por definição (REQ-SAFE-004), é tensão zero, não o último comando válido.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3×Ts=15 ms, não 25 ms; e 20 ms excede 15 ms, portanto há estouro.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3×Ts=15 ms, não 3 ms; e o </w:t>
      </w:r>
      <w:r>
        <w:rPr>
          <w:rFonts w:ascii="Times New Roman" w:hAnsi="Times New Roman"/>
          <w:sz w:val="24"/>
        </w:rPr>
        <w:t>Watchdog</w:t>
      </w:r>
      <w:r>
        <w:rPr>
          <w:rFonts w:ascii="Times New Roman" w:hAnsi="Times New Roman"/>
          <w:sz w:val="24"/>
        </w:rPr>
        <w:t xml:space="preserve"> não reinicia automaticamente sem sinalizar falha — ele sinaliza o estouro explicitamente.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33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0,3 ms está abaixo, não acima, da latência máxima observada de 2,002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estar acima da latência média não implica ausência de estouros, pois a distribuição de latências tem cauda longa, como evidenciado pela latência máxima muito superior à média.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o percentil 95 caracteriza a distribuição das latências já observadas, não garante que exatamente 5% das chamadas futuras estourarão um prazo próximo a ele.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com prazo de apenas 0,3 ms, ao menos 5% das chamadas (as que excedem o p95 de 0,287 ms) já se aproximam ou ultrapassam esse valor, e a latência máxima de 2,002 ms mostra que estouros reais são prováveis nessa configuração apertada.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aula não recomenda configurar o prazo sempre abaixo do p95; ao contrário, sugere prazos com margem sobre a latência observada para evitar falsos positivos.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34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SIL e HIL são técnicas distintas e não intercambiáveis, verificando propriedades diferentes (numérica e temporal, respectivamente).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executar modelo e código C no mesmo processo, sem restrição de tempo real, é exatamente a definição de SIL (Aula 14); HIL (Aula 15) exige o controlador rodando como alvo separado, sob restrição de tempo real.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o </w:t>
      </w:r>
      <w:r>
        <w:rPr>
          <w:rFonts w:ascii="Times New Roman" w:hAnsi="Times New Roman"/>
          <w:sz w:val="24"/>
        </w:rPr>
        <w:t>LoopbackTarget</w:t>
      </w:r>
      <w:r>
        <w:rPr>
          <w:rFonts w:ascii="Times New Roman" w:hAnsi="Times New Roman"/>
          <w:sz w:val="24"/>
        </w:rPr>
        <w:t xml:space="preserve"> permite fazer HIL sem hardware físico, usando um subprocesso local; ESP32 é necessário apenas para </w:t>
      </w:r>
      <w:r>
        <w:rPr>
          <w:rFonts w:ascii="Times New Roman" w:hAnsi="Times New Roman"/>
          <w:sz w:val="24"/>
        </w:rPr>
        <w:t>SerialTarget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mesmo com </w:t>
      </w:r>
      <w:r>
        <w:rPr>
          <w:rFonts w:ascii="Times New Roman" w:hAnsi="Times New Roman"/>
          <w:sz w:val="24"/>
        </w:rPr>
        <w:t>real_time=True</w:t>
      </w:r>
      <w:r>
        <w:rPr>
          <w:rFonts w:ascii="Times New Roman" w:hAnsi="Times New Roman"/>
          <w:sz w:val="24"/>
        </w:rPr>
        <w:t>, o que foi descrito no enunciado (modelo e C no mesmo processo) continua sendo a definição de SIL, não de HIL.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a Aula 14 envolve, sim, código C real, compilado e executado via </w:t>
      </w:r>
      <w:r>
        <w:rPr>
          <w:rFonts w:ascii="Times New Roman" w:hAnsi="Times New Roman"/>
          <w:sz w:val="24"/>
        </w:rPr>
        <w:t>ctypes</w:t>
      </w:r>
      <w:r>
        <w:rPr>
          <w:rFonts w:ascii="Times New Roman" w:hAnsi="Times New Roman"/>
          <w:sz w:val="24"/>
        </w:rPr>
        <w:t>, ao lado do modelo em Python.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35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o comportamento temporal medido em HIL não é redundante frente à equivalência numérica; são propriedades independentes que a Aula 15 explicitamente distingue.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ausência de estouro em uma execução específica não garante ausência de jitter sob qualquer condição de carga futura; é uma medição empírica, não uma prova de limite superior.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SIL comprova a correção da lógica do código (equivalência numérica), e HIL comprova que, nas condições testadas, o comportamento temporal respeitou o prazo — nenhuma das duas evidências implica ou substitui a outra.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HIL não substitui a verificação formal exaustiva do supervisor realizada na Unidade 3; são etapas complementares do pipeline.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ausência de estouro de watchdog em um teste específico não caracteriza certificação formal para operação em campo.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36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5 períodos × 5 ms = 25 ms; a margem frente ao limite de 150 ms é 150−25=125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o número de caminhos explorados (6) não corresponde ao número de períodos do pior caso (5); são grandezas diferentes.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o limite exigido pelo requisito é 150 ms, não 25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25 ms está dentro do limite de 150 ms, não o excede.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o valor de d_stop_max=150 ms já está explicitamente fornecido no enunciado da aula, permitindo o cálculo da margem sem informação adicional.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37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seis evidências listadas não são os "requisitos formais" da ISO 26262 para certificação; são evidências técnicas que servem de insumo a um processo mais amplo.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uma matriz de rastreabilidade gerada automaticamente, por si só, não é aceita como documento oficial de certificação por nenhuma autoridade.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ausência de HIL na lista não é o motivo central da incorreção; mesmo incluindo HIL, faltariam independência de verificação, qualificação de ferramenta e aprovação de autoridade.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ISO 26262 pode, sim, considerar verificação formal automatizada como evidência valiosa; o problema não está em rejeitá-la, e sim em confundir evidência com certificação completa.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as evidências são reais e valiosas, mas certificação exige também independência entre desenvolvimento e verificação, qualificação formal das ferramentas e aprovação de autoridade certificadora — elementos que nenhum pipeline técnico produz sozinho.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38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não existe equivalência normativa entre cobertura de código/CI e qualificação formal de ferramenta; são conceitos distintos na DO-178C.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cobertura de linhas não decide, sozinha, a confiança na ferramenta; é preciso considerar o uso e se erros da ferramenta seriam detectados posteriormente.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cobertura e CI não qualificam automaticamente SymPy, Jinja2 ou GCC. A estratégia aplicável pode exigir qualificação ou verificação independente suficiente das saídas, conforme o uso e o impacto de erro.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o argumento apresentado erra por confundir os dois conceitos, independentemente do valor específico de cobertura obtido.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não existe homologação automática de GCC pela aprovação em testes de regressão; qualificação de ferramenta exige processo formal próprio.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39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Aula 16 discute exigências de tempo de resposta também no setor automotivo (HARA/ASIL) e na robótica industrial (ISO 10218/ISO-TS 15066), não apenas no aeroespacial.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robótica industrial exige, sim, evidência de tempo de resposta de parada, ainda que sob um regime de auditoria menos formalizado do que o aeroespacial.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autômatos temporizados são mencionados como possível ferramenta de verificação no setor automotivo, mas isso não impede seu uso, como demonstrado pelo próprio NexaBot, em outros contextos.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os domínios podem exigir evidência temporal, mas usam processos de garantia e auditoria diferentes; no aeroespacial, planos, níveis de software e critérios de confiança em ferramentas dependem do contexto de uso.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robótica industrial não usa a nomenclatura DAL da DO-178C; utiliza normas próprias (ISO 10218, ISO/TS 15066).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40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travessia das quatro camadas produz evidência técnica robusta, mas não é, por definição, suficiente para eliminar qualquer ressalva de produção em qualquer domínio.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o resumo reconhece evidências reais, mas conclui indevidamente que isso elimina toda ressalva, ignorando a lacuna explícita do REQ-SAFE-007 e a distinção entre evidência técnica e certificação/aprovação organizacional.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verificação exaustiva do supervisor não dispensa ressalvas relativas a código gerado ou comportamento em tempo real, que são propriedades distintas verificadas em aulas diferentes.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omissão da Unidade 1 no resumo não é o problema central identificado pela Aula 16; o problema está na conclusão de ausência de ressalvas.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o número de requisitos e arquivos relacionados na matriz não é, por si só, evidência suficiente para qualquer domínio de aplicação; a suficiência depende do processo de certificação de cada domínio.</w:t>
      </w:r>
    </w:p>
    <w:sectPr>
      <w:headerReference r:id="rId10" w:type="default"/>
      <w:footerReference r:id="rId11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  <w:t xml:space="preserve">QUESTÕES – UniFECAF EAD – UNIDADE 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-171447</wp:posOffset>
          </wp:positionV>
          <wp:extent cx="1446080" cy="41179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57" w:hanging="357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www.poder360.com.br/brasil/saiba-se-a-populacao-da-sua-cidade-cresceu-ou-diminuiu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sVUH942eHWz3DXp232N5zp/YIA==">CgMxLjAaHwoBMBIaChgICVIUChJ0YWJsZS5tMnhuaDZjeHhxengyDmguYmprc2Jkc3czZzZxOAByITFvcTZ6YUo5YzI0NklHOHhNTEJicUgzbzN2NVZnQlI3aQ==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