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76" w:lineRule="auto"/>
        <w:rPr>
          <w:rFonts w:ascii="Times New Roman" w:cs="Times New Roman" w:eastAsia="Times New Roman" w:hAnsi="Times New Roman"/>
          <w:b w:val="1"/>
          <w:bCs w:val="1"/>
          <w:sz w:val="38"/>
          <w:szCs w:val="38"/>
        </w:rPr>
      </w:pPr>
      <w:r w:rsidDel="00000000" w:rsidR="00000000" w:rsidRPr="00000000">
        <w:rPr>
          <w:rtl w:val="0"/>
        </w:rPr>
      </w:r>
    </w:p>
    <w:tbl>
      <w:tblPr>
        <w:tblStyle w:val="Table1"/>
        <w:tblW w:w="95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665"/>
        <w:tblGridChange w:id="0">
          <w:tblGrid>
            <w:gridCol w:w="4845"/>
            <w:gridCol w:w="4665"/>
          </w:tblGrid>
        </w:tblGridChange>
      </w:tblGrid>
      <w:tr>
        <w:trPr>
          <w:trHeight w:val="641.796875" w:hRule="atLeast"/>
        </w:trPr>
        <w:tc>
          <w:tcPr>
            <w:gridSpan w:val="2"/>
            <w:shd w:fill="f1f3f4" w:val="clear"/>
            <w:tcMar>
              <w:top w:w="100.0" w:type="dxa"/>
              <w:left w:w="100.0" w:type="dxa"/>
              <w:bottom w:w="100.0" w:type="dxa"/>
              <w:right w:w="100.0" w:type="dxa"/>
            </w:tcMar>
          </w:tcPr>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after="120" w:before="120" w:line="240" w:lineRule="auto"/>
              <w:ind w:left="0" w:right="0" w:hanging="357"/>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bjksbdsw3g6q" w:id="0"/>
            <w:bookmarkEnd w:id="0"/>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Tabela para uso exclusivo do(a) coordenador(a)</w:t>
            </w:r>
          </w:p>
        </w:tc>
      </w:tr>
      <w:tr>
        <w:trPr>
          <w:trHeight w:val="432.978515625" w:hRule="atLeast"/>
        </w:trPr>
        <w:tc>
          <w:tcPr>
            <w:shd w:fill="b7b7b7" w:val="clear"/>
            <w:tcMar>
              <w:top w:w="100.0" w:type="dxa"/>
              <w:left w:w="100.0" w:type="dxa"/>
              <w:bottom w:w="100.0" w:type="dxa"/>
              <w:right w:w="100.0" w:type="dxa"/>
            </w:tcMar>
          </w:tcPr>
          <w:p w:rsidR="00000000" w:rsidDel="00000000" w:rsidP="00000000" w:rsidRDefault="00000000" w:rsidRPr="00000000" w14:paraId="0000000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Requisitos para um conteúdo UAU</w:t>
            </w:r>
          </w:p>
        </w:tc>
        <w:tc>
          <w:tcPr>
            <w:shd w:fill="b7b7b7" w:val="clear"/>
            <w:tcMar>
              <w:top w:w="100.0" w:type="dxa"/>
              <w:left w:w="100.0" w:type="dxa"/>
              <w:bottom w:w="100.0" w:type="dxa"/>
              <w:right w:w="100.0" w:type="dxa"/>
            </w:tcMar>
          </w:tcPr>
          <w:p w:rsidR="00000000" w:rsidDel="00000000" w:rsidP="00000000" w:rsidRDefault="00000000" w:rsidRPr="00000000" w14:paraId="0000000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Observações</w:t>
            </w:r>
          </w:p>
        </w:tc>
      </w:tr>
      <w:tr>
        <w:trPr/>
        <w:tc>
          <w:tcPr>
            <w:shd w:fill="auto" w:val="clear"/>
            <w:tcMar>
              <w:top w:w="100.0" w:type="dxa"/>
              <w:left w:w="100.0" w:type="dxa"/>
              <w:bottom w:w="100.0" w:type="dxa"/>
              <w:right w:w="100.0" w:type="dxa"/>
            </w:tcMar>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Conformidade com o Plano de Aprendizado</w:t>
            </w:r>
          </w:p>
        </w:tc>
        <w:tc>
          <w:tcPr>
            <w:shd w:fill="auto" w:val="clear"/>
            <w:tcMar>
              <w:top w:w="100.0" w:type="dxa"/>
              <w:left w:w="100.0" w:type="dxa"/>
              <w:bottom w:w="100.0" w:type="dxa"/>
              <w:right w:w="100.0" w:type="dxa"/>
            </w:tcMar>
          </w:tcPr>
          <w:p w:rsidR="00000000" w:rsidDel="00000000" w:rsidP="00000000" w:rsidRDefault="00000000" w:rsidRPr="00000000" w14:paraId="00000007">
            <w:pPr>
              <w:rPr>
                <w:sz w:val="24"/>
                <w:szCs w:val="24"/>
              </w:rPr>
            </w:pPr>
            <w:r w:rsidDel="00000000" w:rsidR="00000000" w:rsidRPr="00000000">
              <w:rPr>
                <w:rtl w:val="0"/>
              </w:rPr>
            </w:r>
          </w:p>
        </w:tc>
      </w:tr>
      <w:tr>
        <w:trPr/>
        <w:tc>
          <w:tcPr>
            <w:shd w:fill="auto" w:val="clear"/>
            <w:tcMar>
              <w:top w:w="100.0" w:type="dxa"/>
              <w:left w:w="100.0" w:type="dxa"/>
              <w:bottom w:w="100.0" w:type="dxa"/>
              <w:right w:w="100.0" w:type="dxa"/>
            </w:tcMar>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Conformidade com o conteúdo desenvolvido na disciplina</w:t>
            </w:r>
          </w:p>
        </w:tc>
        <w:tc>
          <w:tcPr>
            <w:shd w:fill="auto" w:val="clear"/>
            <w:tcMar>
              <w:top w:w="100.0" w:type="dxa"/>
              <w:left w:w="100.0" w:type="dxa"/>
              <w:bottom w:w="100.0" w:type="dxa"/>
              <w:right w:w="100.0" w:type="dxa"/>
            </w:tcMar>
          </w:tcPr>
          <w:p w:rsidR="00000000" w:rsidDel="00000000" w:rsidP="00000000" w:rsidRDefault="00000000" w:rsidRPr="00000000" w14:paraId="00000009">
            <w:pPr>
              <w:rPr>
                <w:sz w:val="24"/>
                <w:szCs w:val="24"/>
              </w:rPr>
            </w:pPr>
            <w:r w:rsidDel="00000000" w:rsidR="00000000" w:rsidRPr="00000000">
              <w:rPr>
                <w:rtl w:val="0"/>
              </w:rPr>
            </w:r>
          </w:p>
        </w:tc>
      </w:tr>
      <w:tr>
        <w:trPr/>
        <w:tc>
          <w:tcPr>
            <w:shd w:fill="auto" w:val="clear"/>
            <w:tcMar>
              <w:top w:w="100.0" w:type="dxa"/>
              <w:left w:w="100.0" w:type="dxa"/>
              <w:bottom w:w="100.0" w:type="dxa"/>
              <w:right w:w="100.0" w:type="dxa"/>
            </w:tcMar>
          </w:tcPr>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Ortografia e gramática</w:t>
            </w:r>
          </w:p>
        </w:tc>
        <w:tc>
          <w:tcPr>
            <w:shd w:fill="auto" w:val="clear"/>
            <w:tcMar>
              <w:top w:w="100.0" w:type="dxa"/>
              <w:left w:w="100.0" w:type="dxa"/>
              <w:bottom w:w="100.0" w:type="dxa"/>
              <w:right w:w="100.0" w:type="dxa"/>
            </w:tcMar>
          </w:tcPr>
          <w:p w:rsidR="00000000" w:rsidDel="00000000" w:rsidP="00000000" w:rsidRDefault="00000000" w:rsidRPr="00000000" w14:paraId="0000000B">
            <w:pPr>
              <w:rPr>
                <w:sz w:val="24"/>
                <w:szCs w:val="24"/>
              </w:rPr>
            </w:pPr>
            <w:r w:rsidDel="00000000" w:rsidR="00000000" w:rsidRPr="00000000">
              <w:rPr>
                <w:rtl w:val="0"/>
              </w:rPr>
            </w:r>
          </w:p>
        </w:tc>
      </w:tr>
    </w:tbl>
    <w:p w:rsidR="00000000" w:rsidDel="00000000" w:rsidP="00000000" w:rsidRDefault="00000000" w:rsidRPr="00000000" w14:paraId="0000000C">
      <w:pPr>
        <w:widowControl w:val="0"/>
        <w:spacing w:after="0" w:line="276" w:lineRule="auto"/>
        <w:rPr>
          <w:rFonts w:ascii="Times New Roman" w:cs="Times New Roman" w:eastAsia="Times New Roman" w:hAnsi="Times New Roman"/>
          <w:b w:val="1"/>
          <w:bCs w:val="1"/>
          <w:sz w:val="2"/>
          <w:szCs w:val="2"/>
        </w:rPr>
      </w:pPr>
      <w:r w:rsidDel="00000000" w:rsidR="00000000" w:rsidRPr="00000000">
        <w:rPr>
          <w:rtl w:val="0"/>
        </w:rPr>
      </w:r>
    </w:p>
    <w:tbl>
      <w:tblPr>
        <w:tblStyle w:val="Table2"/>
        <w:tblW w:w="95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7170"/>
        <w:tblGridChange w:id="0">
          <w:tblGrid>
            <w:gridCol w:w="2340"/>
            <w:gridCol w:w="7170"/>
          </w:tblGrid>
        </w:tblGridChange>
      </w:tblGrid>
      <w:tr>
        <w:trPr/>
        <w:tc>
          <w:tcPr>
            <w:shd w:fill="b7b7b7" w:val="clear"/>
            <w:tcMar>
              <w:top w:w="100.0" w:type="dxa"/>
              <w:left w:w="100.0" w:type="dxa"/>
              <w:bottom w:w="100.0" w:type="dxa"/>
              <w:right w:w="100.0" w:type="dxa"/>
            </w:tcMar>
          </w:tcPr>
          <w:p w:rsidR="00000000" w:rsidDel="00000000" w:rsidP="00000000" w:rsidRDefault="00000000" w:rsidRPr="00000000" w14:paraId="0000000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da Validação</w:t>
            </w:r>
          </w:p>
        </w:tc>
        <w:tc>
          <w:tcPr>
            <w:shd w:fill="b7b7b7" w:val="clear"/>
            <w:tcMar>
              <w:top w:w="100.0" w:type="dxa"/>
              <w:left w:w="100.0" w:type="dxa"/>
              <w:bottom w:w="100.0" w:type="dxa"/>
              <w:right w:w="100.0" w:type="dxa"/>
            </w:tcMar>
          </w:tcPr>
          <w:p w:rsidR="00000000" w:rsidDel="00000000" w:rsidP="00000000" w:rsidRDefault="00000000" w:rsidRPr="00000000" w14:paraId="0000000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Nome do(a) Coordenador(a) do curso</w:t>
            </w:r>
          </w:p>
        </w:tc>
      </w:tr>
      <w:tr>
        <w:trPr/>
        <w:tc>
          <w:tcPr>
            <w:shd w:fill="auto" w:val="clear"/>
            <w:tcMar>
              <w:top w:w="100.0" w:type="dxa"/>
              <w:left w:w="100.0" w:type="dxa"/>
              <w:bottom w:w="100.0" w:type="dxa"/>
              <w:right w:w="100.0" w:type="dxa"/>
            </w:tcMar>
          </w:tcPr>
          <w:p w:rsidR="00000000" w:rsidDel="00000000" w:rsidP="00000000" w:rsidRDefault="00000000" w:rsidRPr="00000000" w14:paraId="0000000F">
            <w:pPr>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10">
            <w:pPr>
              <w:rPr/>
            </w:pPr>
            <w:r w:rsidDel="00000000" w:rsidR="00000000" w:rsidRPr="00000000">
              <w:rPr>
                <w:rtl w:val="0"/>
              </w:rPr>
            </w:r>
          </w:p>
        </w:tc>
      </w:tr>
    </w:tbl>
    <w:p w:rsidR="00000000" w:rsidDel="00000000" w:rsidP="00000000" w:rsidRDefault="00000000" w:rsidRPr="00000000" w14:paraId="00000011">
      <w:pPr>
        <w:widowControl w:val="0"/>
        <w:spacing w:after="0" w:line="276" w:lineRule="auto"/>
        <w:rPr>
          <w:rFonts w:ascii="Times New Roman" w:cs="Times New Roman" w:eastAsia="Times New Roman" w:hAnsi="Times New Roman"/>
          <w:b w:val="1"/>
          <w:bCs w:val="1"/>
          <w:sz w:val="2"/>
          <w:szCs w:val="2"/>
        </w:rPr>
      </w:pPr>
      <w:r w:rsidDel="00000000" w:rsidR="00000000" w:rsidRPr="00000000">
        <w:rPr>
          <w:rtl w:val="0"/>
        </w:rPr>
      </w:r>
    </w:p>
    <w:sdt>
      <w:sdtPr>
        <w:lock w:val="contentLocked"/>
        <w:id w:val="1869542874"/>
        <w:tag w:val="goog_rdk_0"/>
      </w:sdtPr>
      <w:sdtContent>
        <w:tbl>
          <w:tblPr>
            <w:tblStyle w:val="Table3"/>
            <w:tblW w:w="95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3030"/>
            <w:gridCol w:w="3510"/>
            <w:tblGridChange w:id="0">
              <w:tblGrid>
                <w:gridCol w:w="2970"/>
                <w:gridCol w:w="3030"/>
                <w:gridCol w:w="3510"/>
              </w:tblGrid>
            </w:tblGridChange>
          </w:tblGrid>
          <w:tr>
            <w:trPr/>
            <w:tc>
              <w:tcPr>
                <w:shd w:fill="auto" w:val="clear"/>
                <w:tcMar>
                  <w:top w:w="100.0" w:type="dxa"/>
                  <w:left w:w="100.0" w:type="dxa"/>
                  <w:bottom w:w="100.0" w:type="dxa"/>
                  <w:right w:w="100.0" w:type="dxa"/>
                </w:tcMar>
              </w:tcPr>
              <w:p w:rsidR="00000000" w:rsidDel="00000000" w:rsidP="00000000" w:rsidRDefault="00000000" w:rsidRPr="00000000" w14:paraId="00000012">
                <w:pPr>
                  <w:widowControl w:val="0"/>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VALIDADO</w:t>
                </w:r>
              </w:p>
            </w:tc>
            <w:tc>
              <w:tcPr>
                <w:shd w:fill="auto" w:val="clear"/>
                <w:tcMar>
                  <w:top w:w="100.0" w:type="dxa"/>
                  <w:left w:w="100.0" w:type="dxa"/>
                  <w:bottom w:w="100.0" w:type="dxa"/>
                  <w:right w:w="100.0" w:type="dxa"/>
                </w:tcMar>
              </w:tcPr>
              <w:p w:rsidR="00000000" w:rsidDel="00000000" w:rsidP="00000000" w:rsidRDefault="00000000" w:rsidRPr="00000000" w14:paraId="00000013">
                <w:pPr>
                  <w:widowControl w:val="0"/>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VALIDADO</w:t>
                </w:r>
              </w:p>
            </w:tc>
            <w:tc>
              <w:tcPr>
                <w:shd w:fill="auto" w:val="clear"/>
                <w:tcMar>
                  <w:top w:w="100.0" w:type="dxa"/>
                  <w:left w:w="100.0" w:type="dxa"/>
                  <w:bottom w:w="100.0" w:type="dxa"/>
                  <w:right w:w="100.0" w:type="dxa"/>
                </w:tcMar>
              </w:tcPr>
              <w:p w:rsidR="00000000" w:rsidDel="00000000" w:rsidP="00000000" w:rsidRDefault="00000000" w:rsidRPr="00000000" w14:paraId="00000014">
                <w:pPr>
                  <w:widowControl w:val="0"/>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CANCELADO</w:t>
                </w:r>
              </w:p>
            </w:tc>
          </w:tr>
        </w:tbl>
      </w:sdtContent>
    </w:sdt>
    <w:p w:rsidR="00000000" w:rsidDel="00000000" w:rsidP="00000000" w:rsidRDefault="00000000" w:rsidRPr="00000000" w14:paraId="00000015">
      <w:pPr>
        <w:jc w:val="center"/>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16">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AVALIAÇÃO FINAL</w:t>
      </w:r>
    </w:p>
    <w:p w:rsidR="00000000" w:rsidDel="00000000" w:rsidP="00000000" w:rsidRDefault="00000000" w:rsidRPr="00000000" w14:paraId="00000017">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Disciplina:</w:t>
      </w:r>
      <w:r>
        <w:rPr>
          <w:rFonts w:ascii="Times New Roman" w:hAnsi="Times New Roman"/>
          <w:sz w:val="24"/>
        </w:rPr>
        <w:t xml:space="preserve"> Model-Based Design for Cyber-Physical Systems</w:t>
      </w:r>
    </w:p>
    <w:p w:rsidR="00000000" w:rsidDel="00000000" w:rsidP="00000000" w:rsidRDefault="00000000" w:rsidRPr="00000000" w14:paraId="00000018">
      <w:pPr>
        <w:rPr>
          <w:rFonts w:ascii="Arial" w:cs="Arial" w:eastAsia="Arial" w:hAnsi="Arial"/>
          <w:color w:val="ff0000"/>
          <w:sz w:val="24"/>
          <w:szCs w:val="24"/>
        </w:rPr>
      </w:pPr>
      <w:r w:rsidDel="00000000" w:rsidR="00000000" w:rsidRPr="00000000">
        <w:rPr>
          <w:rFonts w:ascii="Arial" w:cs="Arial" w:eastAsia="Arial" w:hAnsi="Arial"/>
          <w:b w:val="1"/>
          <w:bCs w:val="1"/>
          <w:sz w:val="24"/>
          <w:szCs w:val="24"/>
          <w:rtl w:val="0"/>
        </w:rPr>
        <w:t xml:space="preserve">Professor-conteudista:</w:t>
      </w:r>
      <w:r w:rsidDel="00000000" w:rsidR="00000000" w:rsidRPr="00000000">
        <w:rPr>
          <w:rtl w:val="0"/>
        </w:rPr>
      </w:r>
      <w:r>
        <w:rPr>
          <w:rFonts w:ascii="Times New Roman" w:hAnsi="Times New Roman"/>
          <w:sz w:val="24"/>
        </w:rPr>
        <w:t xml:space="preserve"> Afonso Cesar Lelis Brandão</w:t>
      </w:r>
    </w:p>
    <w:p>
      <w:pPr>
        <w:spacing w:line="276" w:lineRule="auto" w:before="0" w:after="120"/>
        <w:ind w:firstLine="0"/>
        <w:jc w:val="left"/>
      </w:pPr>
      <w:r>
        <w:rPr>
          <w:rFonts w:ascii="Times New Roman" w:hAnsi="Times New Roman"/>
          <w:b/>
          <w:sz w:val="24"/>
        </w:rPr>
        <w:t>Orientações</w:t>
      </w:r>
    </w:p>
    <w:p>
      <w:pPr>
        <w:spacing w:line="276" w:lineRule="auto" w:before="0" w:after="120"/>
        <w:ind w:firstLine="0" w:left="360"/>
        <w:jc w:val="left"/>
      </w:pPr>
      <w:r>
        <w:rPr>
          <w:rFonts w:ascii="Times New Roman" w:hAnsi="Times New Roman"/>
          <w:sz w:val="24"/>
        </w:rPr>
        <w:t xml:space="preserve">•  </w:t>
      </w:r>
      <w:r>
        <w:rPr>
          <w:rFonts w:ascii="Times New Roman" w:hAnsi="Times New Roman"/>
          <w:sz w:val="24"/>
        </w:rPr>
        <w:t>Quantidade: 10 questões dissertativas.</w:t>
      </w:r>
    </w:p>
    <w:p>
      <w:pPr>
        <w:spacing w:line="276" w:lineRule="auto" w:before="0" w:after="120"/>
        <w:ind w:firstLine="0" w:left="360"/>
        <w:jc w:val="left"/>
      </w:pPr>
      <w:r>
        <w:rPr>
          <w:rFonts w:ascii="Times New Roman" w:hAnsi="Times New Roman"/>
          <w:sz w:val="24"/>
        </w:rPr>
        <w:t xml:space="preserve">•  </w:t>
      </w:r>
      <w:r>
        <w:rPr>
          <w:rFonts w:ascii="Times New Roman" w:hAnsi="Times New Roman"/>
          <w:sz w:val="24"/>
        </w:rPr>
        <w:t>Abrangência: as quatro unidades, com a seguinte distribuição — Unidade 1, questões 1 a 3; Unidade 2, questões 4 a 6; Unidade 3, questões 7 e 8; Unidade 4, questões 9 e 10.</w:t>
      </w:r>
    </w:p>
    <w:p>
      <w:pPr>
        <w:spacing w:line="276" w:lineRule="auto" w:before="0" w:after="120"/>
        <w:ind w:firstLine="0" w:left="360"/>
        <w:jc w:val="left"/>
      </w:pPr>
      <w:r>
        <w:rPr>
          <w:rFonts w:ascii="Times New Roman" w:hAnsi="Times New Roman"/>
          <w:sz w:val="24"/>
        </w:rPr>
        <w:t xml:space="preserve">•  </w:t>
      </w:r>
      <w:r>
        <w:rPr>
          <w:rFonts w:ascii="Times New Roman" w:hAnsi="Times New Roman"/>
          <w:sz w:val="24"/>
        </w:rPr>
        <w:t>Conteúdo: situações-problema envolvendo o NexaBot ou sistemas ciberfísicos equivalentes do setor automotivo, aeroespacial ou de robótica industrial, exigindo aplicação analítica dos conceitos estudados — não a reprodução de definições.</w:t>
      </w:r>
    </w:p>
    <w:p>
      <w:pPr>
        <w:spacing w:line="276" w:lineRule="auto" w:before="0" w:after="120"/>
        <w:ind w:firstLine="0" w:left="360"/>
        <w:jc w:val="left"/>
      </w:pPr>
      <w:r>
        <w:rPr>
          <w:rFonts w:ascii="Times New Roman" w:hAnsi="Times New Roman"/>
          <w:sz w:val="24"/>
        </w:rPr>
        <w:t xml:space="preserve">•  </w:t>
      </w:r>
      <w:r>
        <w:rPr>
          <w:rFonts w:ascii="Times New Roman" w:hAnsi="Times New Roman"/>
          <w:sz w:val="24"/>
        </w:rPr>
        <w:t>Valor: 10 pontos por questão, totalizando 100 pontos.</w:t>
      </w:r>
    </w:p>
    <w:p>
      <w:pPr>
        <w:spacing w:line="276" w:lineRule="auto" w:before="0" w:after="120"/>
        <w:ind w:firstLine="0" w:left="360"/>
        <w:jc w:val="left"/>
      </w:pPr>
      <w:r>
        <w:rPr>
          <w:rFonts w:ascii="Times New Roman" w:hAnsi="Times New Roman"/>
          <w:sz w:val="24"/>
        </w:rPr>
        <w:t xml:space="preserve">•  </w:t>
      </w:r>
      <w:r>
        <w:rPr>
          <w:rFonts w:ascii="Times New Roman" w:hAnsi="Times New Roman"/>
          <w:sz w:val="24"/>
        </w:rPr>
        <w:t xml:space="preserve">Cada resposta deve relacionar </w:t>
      </w:r>
      <w:r>
        <w:rPr>
          <w:rFonts w:ascii="Times New Roman" w:hAnsi="Times New Roman"/>
          <w:b/>
          <w:sz w:val="24"/>
        </w:rPr>
        <w:t>conceito</w:t>
      </w:r>
      <w:r>
        <w:rPr>
          <w:rFonts w:ascii="Times New Roman" w:hAnsi="Times New Roman"/>
          <w:sz w:val="24"/>
        </w:rPr>
        <w:t xml:space="preserve">, </w:t>
      </w:r>
      <w:r>
        <w:rPr>
          <w:rFonts w:ascii="Times New Roman" w:hAnsi="Times New Roman"/>
          <w:b/>
          <w:sz w:val="24"/>
        </w:rPr>
        <w:t>mecanismo</w:t>
      </w:r>
      <w:r>
        <w:rPr>
          <w:rFonts w:ascii="Times New Roman" w:hAnsi="Times New Roman"/>
          <w:sz w:val="24"/>
        </w:rPr>
        <w:t xml:space="preserve">, </w:t>
      </w:r>
      <w:r>
        <w:rPr>
          <w:rFonts w:ascii="Times New Roman" w:hAnsi="Times New Roman"/>
          <w:b/>
          <w:sz w:val="24"/>
        </w:rPr>
        <w:t>hipóteses assumidas</w:t>
      </w:r>
      <w:r>
        <w:rPr>
          <w:rFonts w:ascii="Times New Roman" w:hAnsi="Times New Roman"/>
          <w:sz w:val="24"/>
        </w:rPr>
        <w:t xml:space="preserve"> e </w:t>
      </w:r>
      <w:r>
        <w:rPr>
          <w:rFonts w:ascii="Times New Roman" w:hAnsi="Times New Roman"/>
          <w:b/>
          <w:sz w:val="24"/>
        </w:rPr>
        <w:t>consequência prática</w:t>
      </w:r>
      <w:r>
        <w:rPr>
          <w:rFonts w:ascii="Times New Roman" w:hAnsi="Times New Roman"/>
          <w:sz w:val="24"/>
        </w:rPr>
        <w:t xml:space="preserve"> para o sistema descrito. Respostas puramente definicionais, sem análise do cenário apresentado, não atendem integralmente ao que foi solicitado.</w:t>
      </w:r>
    </w:p>
    <w:p>
      <w:pPr>
        <w:spacing w:line="276" w:lineRule="auto" w:before="0" w:after="120"/>
        <w:ind w:firstLine="0" w:left="360"/>
        <w:jc w:val="left"/>
      </w:pPr>
      <w:r>
        <w:rPr>
          <w:rFonts w:ascii="Times New Roman" w:hAnsi="Times New Roman"/>
          <w:sz w:val="24"/>
        </w:rPr>
        <w:t xml:space="preserve">•  </w:t>
      </w:r>
      <w:r>
        <w:rPr>
          <w:rFonts w:ascii="Times New Roman" w:hAnsi="Times New Roman"/>
          <w:sz w:val="24"/>
        </w:rPr>
        <w:t>Sempre que a questão pedir um cálculo, apresente a fórmula, a substituição numérica e o resultado com unidade.</w:t>
      </w:r>
    </w:p>
    <w:p>
      <w:pPr>
        <w:spacing w:line="276" w:lineRule="auto" w:before="0" w:after="120"/>
        <w:ind w:firstLine="0"/>
        <w:jc w:val="left"/>
      </w:pPr>
      <w:r>
        <w:rPr>
          <w:rFonts w:ascii="Times New Roman" w:hAnsi="Times New Roman"/>
          <w:b/>
          <w:sz w:val="24"/>
        </w:rPr>
        <w:t>Questões</w:t>
      </w:r>
    </w:p>
    <w:p>
      <w:pPr>
        <w:spacing w:line="276" w:lineRule="auto" w:before="0" w:after="120"/>
        <w:ind w:firstLine="0"/>
        <w:jc w:val="left"/>
      </w:pPr>
      <w:r>
        <w:rPr>
          <w:rFonts w:ascii="Times New Roman" w:hAnsi="Times New Roman"/>
          <w:b/>
          <w:sz w:val="24"/>
        </w:rPr>
        <w:t>Questão 1 — Unidade 1: espaço de estados e o significado físico dos polos</w:t>
      </w:r>
    </w:p>
    <w:p>
      <w:pPr>
        <w:spacing w:line="276" w:lineRule="auto" w:before="0" w:after="120"/>
        <w:ind w:firstLine="0"/>
        <w:jc w:val="left"/>
      </w:pPr>
      <w:r>
        <w:rPr>
          <w:rFonts w:ascii="Times New Roman" w:hAnsi="Times New Roman"/>
          <w:sz w:val="24"/>
        </w:rPr>
        <w:t xml:space="preserve">A equipe de engenharia do NexaBot linearizou o motor de tração em espaço de estados e obteve dois polos reais e negativos, em </w:t>
      </w:r>
      <w:r>
        <w:drawing>
          <wp:inline>
            <wp:extent cx="936282" cy="152255"/>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936282" cy="152255"/>
                    </a:xfrm>
                    <a:prstGeom prst="rect"/>
                  </pic:spPr>
                </pic:pic>
              </a:graphicData>
            </a:graphic>
          </wp:inline>
        </w:drawing>
      </w:r>
      <w:r>
        <w:rPr>
          <w:rFonts w:ascii="Times New Roman" w:hAnsi="Times New Roman"/>
          <w:sz w:val="24"/>
        </w:rPr>
        <w:t xml:space="preserve"> e </w:t>
      </w:r>
      <w:r>
        <w:drawing>
          <wp:inline>
            <wp:extent cx="860087" cy="152255"/>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860087" cy="152255"/>
                    </a:xfrm>
                    <a:prstGeom prst="rect"/>
                  </pic:spPr>
                </pic:pic>
              </a:graphicData>
            </a:graphic>
          </wp:inline>
        </w:drawing>
      </w:r>
      <w:r>
        <w:rPr>
          <w:rFonts w:ascii="Times New Roman" w:hAnsi="Times New Roman"/>
          <w:sz w:val="24"/>
        </w:rPr>
        <w:t>. Um estagiário argumenta que, como os dois polos estão no semiplano esquerdo, "o sistema é igualmente rápido em qualquer direção" e que basta um único controlador proporcional simples, sintonizado por tentativa, para atender a qualquer especificação de desempenho. Explique fisicamente o que cada um dos dois polos representa no motor de corrente contínua (associe cada polo a um subsistema — elétrico ou mecânico), calcule as duas constantes de tempo correspondentes, mostre que a separação de escalas de tempo entre elas é de cerca de duas ordens de grandeza e explique por que essa separação — e não apenas o sinal dos polos — é a informação relevante para decidir se o polo elétrico pode ser desprezado em um projeto de controle de velocidade.</w:t>
      </w:r>
    </w:p>
    <w:p>
      <w:pPr>
        <w:spacing w:line="276" w:lineRule="auto" w:before="0" w:after="120"/>
        <w:ind w:firstLine="0"/>
        <w:jc w:val="left"/>
      </w:pPr>
      <w:r>
        <w:rPr>
          <w:rFonts w:ascii="Times New Roman" w:hAnsi="Times New Roman"/>
          <w:b/>
          <w:sz w:val="24"/>
        </w:rPr>
        <w:t>Questão 2 — Unidade 1: identificação de parâmetros e validação com dados retidos</w:t>
      </w:r>
    </w:p>
    <w:p>
      <w:pPr>
        <w:spacing w:line="276" w:lineRule="auto" w:before="0" w:after="120"/>
        <w:ind w:firstLine="0"/>
        <w:jc w:val="left"/>
      </w:pPr>
      <w:r>
        <w:rPr>
          <w:rFonts w:ascii="Times New Roman" w:hAnsi="Times New Roman"/>
          <w:sz w:val="24"/>
        </w:rPr>
        <w:t>Um colega identificou os parâmetros do motor do NexaBot ajustando-os por mínimos quadrados a um único ensaio de degrau e obteve um erro de ajuste inferior a 1% sobre esse mesmo conjunto de dados. Ele conclui que o modelo está pronto para uso no projeto de controle. Explique por que um erro de ajuste baixo sobre os dados usados na identificação não é evidência suficiente de que o modelo é válido, descreva o procedimento correto de validação com dados retidos (dados não usados na identificação) e explique, com um exemplo numérico plausível para o NexaBot, uma situação em que o ajuste sobre os dados de identificação é excelente mas o modelo falha ao ser testado contra o conjunto retido. Conclua indicando pelo menos duas causas prováveis desse tipo de falha (por exemplo, sobreajuste a ruído de medição ou excitação insuficiente do ensaio).</w:t>
      </w:r>
    </w:p>
    <w:p>
      <w:pPr>
        <w:spacing w:line="276" w:lineRule="auto" w:before="0" w:after="120"/>
        <w:ind w:firstLine="0"/>
        <w:jc w:val="left"/>
      </w:pPr>
      <w:r>
        <w:rPr>
          <w:rFonts w:ascii="Times New Roman" w:hAnsi="Times New Roman"/>
          <w:b/>
          <w:sz w:val="24"/>
        </w:rPr>
        <w:t>Questão 3 — Unidade 1: controlabilidade, observabilidade e o limite físico do atuador</w:t>
      </w:r>
    </w:p>
    <w:p>
      <w:pPr>
        <w:spacing w:line="276" w:lineRule="auto" w:before="0" w:after="120"/>
        <w:ind w:firstLine="0"/>
        <w:jc w:val="left"/>
      </w:pPr>
      <w:r>
        <w:rPr>
          <w:rFonts w:ascii="Times New Roman" w:hAnsi="Times New Roman"/>
          <w:sz w:val="24"/>
        </w:rPr>
        <w:t>Um projetista, de posse do modelo em espaço de estados do NexaBot, decide alocar os polos de malha fechada por realimentação de estados em posições muito mais rápidas que os polos de malha aberta, buscando um tempo de acomodação muito curto. A simulação mostra que a tensão de comando exigida durante o transitório ultrapassa amplamente os 24 V disponíveis na bateria. Explique o que significa, tecnicamente, o par (planta, matriz de entrada) ser controlável, e por que a controlabilidade garante que a alocação de polos é matematicamente possível, mas não garante que ela seja fisicamente implementável. Descreva o mecanismo pelo qual a exigência de dinâmica mais rápida aumenta o esforço de controle e explique como um projetista deveria reformular o problema (por exemplo, via ponderação em um regulador linear quadrático) para obter um compromisso entre velocidade de resposta e respeito ao limite de 24 V.</w:t>
      </w:r>
    </w:p>
    <w:p>
      <w:pPr>
        <w:spacing w:line="276" w:lineRule="auto" w:before="0" w:after="120"/>
        <w:ind w:firstLine="0"/>
        <w:jc w:val="left"/>
      </w:pPr>
      <w:r>
        <w:rPr>
          <w:rFonts w:ascii="Times New Roman" w:hAnsi="Times New Roman"/>
          <w:b/>
          <w:sz w:val="24"/>
        </w:rPr>
        <w:t>Questão 4 — Unidade 2: sintonia de PID, métricas de aceitação e o sobressinal de Ziegler-Nichols</w:t>
      </w:r>
    </w:p>
    <w:p>
      <w:pPr>
        <w:spacing w:line="276" w:lineRule="auto" w:before="0" w:after="120"/>
        <w:ind w:firstLine="0"/>
        <w:jc w:val="left"/>
      </w:pPr>
      <w:r>
        <w:rPr>
          <w:rFonts w:ascii="Times New Roman" w:hAnsi="Times New Roman"/>
          <w:sz w:val="24"/>
        </w:rPr>
        <w:t>A equipe do NexaBot sintonizou o controlador de velocidade pelo método clássico de Ziegler-Nichols a partir do ganho crítico e do período crítico de oscilação, obtendo uma resposta ao degrau com sobressinal superior a 20%. O requisito do projeto exige sobressinal inferior a 10% para não saturar o atuador durante manobras. Explique o que representam o ganho crítico e o período crítico no procedimento de Ziegler-Nichols, apresente pelo menos três métricas objetivas de aceitação de uma malha de controle (por exemplo, sobressinal, tempo de acomodação e integral do erro quadrático) e explique o mecanismo pelo qual a regra clássica de Ziegler-Nichols tende a produzir sobressinal elevado. Proponha e justifique uma alternativa de sintonia (variante sem sobressinal ou ajuste manual orientado pelas métricas) compatível com o requisito do NexaBot.</w:t>
      </w:r>
    </w:p>
    <w:p>
      <w:pPr>
        <w:spacing w:line="276" w:lineRule="auto" w:before="0" w:after="120"/>
        <w:ind w:firstLine="0"/>
        <w:jc w:val="left"/>
      </w:pPr>
      <w:r>
        <w:rPr>
          <w:rFonts w:ascii="Times New Roman" w:hAnsi="Times New Roman"/>
          <w:b/>
          <w:sz w:val="24"/>
        </w:rPr>
        <w:t>Questão 5 — Unidade 2: saturação, windup e back-calculation</w:t>
      </w:r>
    </w:p>
    <w:p>
      <w:pPr>
        <w:spacing w:line="276" w:lineRule="auto" w:before="0" w:after="120"/>
        <w:ind w:firstLine="0"/>
        <w:jc w:val="left"/>
      </w:pPr>
      <w:r>
        <w:rPr>
          <w:rFonts w:ascii="Times New Roman" w:hAnsi="Times New Roman"/>
          <w:sz w:val="24"/>
        </w:rPr>
        <w:t xml:space="preserve">Para sustentar uma velocidade de </w:t>
      </w:r>
      <w:r>
        <w:drawing>
          <wp:inline>
            <wp:extent cx="495670" cy="152255"/>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95670" cy="152255"/>
                    </a:xfrm>
                    <a:prstGeom prst="rect"/>
                  </pic:spPr>
                </pic:pic>
              </a:graphicData>
            </a:graphic>
          </wp:inline>
        </w:drawing>
      </w:r>
      <w:r>
        <w:rPr>
          <w:rFonts w:ascii="Times New Roman" w:hAnsi="Times New Roman"/>
          <w:sz w:val="24"/>
        </w:rPr>
        <w:t xml:space="preserve">, o NexaBot exige </w:t>
      </w:r>
      <w:r>
        <w:drawing>
          <wp:inline>
            <wp:extent cx="499170" cy="133543"/>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99170" cy="133543"/>
                    </a:xfrm>
                    <a:prstGeom prst="rect"/>
                  </pic:spPr>
                </pic:pic>
              </a:graphicData>
            </a:graphic>
          </wp:inline>
        </w:drawing>
      </w:r>
      <w:r>
        <w:rPr>
          <w:rFonts w:ascii="Times New Roman" w:hAnsi="Times New Roman"/>
          <w:sz w:val="24"/>
        </w:rPr>
        <w:t xml:space="preserve"> em regime permanente, restando apenas </w:t>
      </w:r>
      <w:r>
        <w:drawing>
          <wp:inline>
            <wp:extent cx="423043" cy="133543"/>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23043" cy="133543"/>
                    </a:xfrm>
                    <a:prstGeom prst="rect"/>
                  </pic:spPr>
                </pic:pic>
              </a:graphicData>
            </a:graphic>
          </wp:inline>
        </w:drawing>
      </w:r>
      <w:r>
        <w:rPr>
          <w:rFonts w:ascii="Times New Roman" w:hAnsi="Times New Roman"/>
          <w:sz w:val="24"/>
        </w:rPr>
        <w:t xml:space="preserve"> de folga frente ao limite de </w:t>
      </w:r>
      <w:r>
        <w:drawing>
          <wp:inline>
            <wp:extent cx="304577" cy="107359"/>
            <wp:docPr id="6" name="Picture 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04577" cy="107359"/>
                    </a:xfrm>
                    <a:prstGeom prst="rect"/>
                  </pic:spPr>
                </pic:pic>
              </a:graphicData>
            </a:graphic>
          </wp:inline>
        </w:drawing>
      </w:r>
      <w:r>
        <w:rPr>
          <w:rFonts w:ascii="Times New Roman" w:hAnsi="Times New Roman"/>
          <w:sz w:val="24"/>
        </w:rPr>
        <w:t xml:space="preserve"> para a ação transitória do controlador. Durante uma referência mais agressiva, o comando calculado pelo PID ultrapassa os 24 V, o atuador satura e a resposta observada apresenta sobressinal grosseiro e assentamento lento, mesmo após a referência ser reduzida. Explique o mecanismo do efeito windup: por que o termo integral continua acumulando erro enquanto o atuador está saturado, e por que essa acumulação atrasa a resposta mesmo depois de o erro real começar a diminuir. Descreva o funcionamento do anti-windup por back-calculation (qual sinal ele realimenta e onde) e explique, em termos do orçamento de tensão do NexaBot (18,85 V de regime contra 24 V disponíveis), por que esse mecanismo é especialmente necessário nesse sistema e não apenas uma boa prática genérica.</w:t>
      </w:r>
    </w:p>
    <w:p>
      <w:pPr>
        <w:spacing w:line="276" w:lineRule="auto" w:before="0" w:after="120"/>
        <w:ind w:firstLine="0"/>
        <w:jc w:val="left"/>
      </w:pPr>
      <w:r>
        <w:rPr>
          <w:rFonts w:ascii="Times New Roman" w:hAnsi="Times New Roman"/>
          <w:b/>
          <w:sz w:val="24"/>
        </w:rPr>
        <w:t>Questão 6 — Unidade 2: período de amostragem e erro de acoplamento em co-simulação FMI</w:t>
      </w:r>
    </w:p>
    <w:p>
      <w:pPr>
        <w:spacing w:line="276" w:lineRule="auto" w:before="0" w:after="120"/>
        <w:ind w:firstLine="0"/>
        <w:jc w:val="left"/>
      </w:pPr>
      <w:r>
        <w:rPr>
          <w:rFonts w:ascii="Times New Roman" w:hAnsi="Times New Roman"/>
          <w:sz w:val="24"/>
        </w:rPr>
        <w:t xml:space="preserve">Um engenheiro decide reduzir o período de amostragem do controlador do NexaBot de </w:t>
      </w:r>
      <w:r>
        <w:drawing>
          <wp:inline>
            <wp:extent cx="656205" cy="127013"/>
            <wp:docPr id="7" name="Picture 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656205" cy="127013"/>
                    </a:xfrm>
                    <a:prstGeom prst="rect"/>
                  </pic:spPr>
                </pic:pic>
              </a:graphicData>
            </a:graphic>
          </wp:inline>
        </w:drawing>
      </w:r>
      <w:r>
        <w:rPr>
          <w:rFonts w:ascii="Times New Roman" w:hAnsi="Times New Roman"/>
          <w:sz w:val="24"/>
        </w:rPr>
        <w:t xml:space="preserve"> para </w:t>
      </w:r>
      <w:r>
        <w:drawing>
          <wp:inline>
            <wp:extent cx="656205" cy="127013"/>
            <wp:docPr id="8" name="Picture 8"/>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656205" cy="127013"/>
                    </a:xfrm>
                    <a:prstGeom prst="rect"/>
                  </pic:spPr>
                </pic:pic>
              </a:graphicData>
            </a:graphic>
          </wp:inline>
        </w:drawing>
      </w:r>
      <w:r>
        <w:rPr>
          <w:rFonts w:ascii="Times New Roman" w:hAnsi="Times New Roman"/>
          <w:sz w:val="24"/>
        </w:rPr>
        <w:t xml:space="preserve">, argumentando que "amostrar mais rápido só pode melhorar o resultado", e em seguida acopla o controlador discretizado à planta por co-simulação FMI 3.0 usando um passo de comunicação de 50 ms entre os dois FMUs. Considerando a constante de tempo modal dominante de aproximadamente </w:t>
      </w:r>
      <w:r>
        <w:drawing>
          <wp:inline>
            <wp:extent cx="571798" cy="130985"/>
            <wp:docPr id="9" name="Picture 9"/>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71798" cy="130985"/>
                    </a:xfrm>
                    <a:prstGeom prst="rect"/>
                  </pic:spPr>
                </pic:pic>
              </a:graphicData>
            </a:graphic>
          </wp:inline>
        </w:drawing>
      </w:r>
      <w:r>
        <w:rPr>
          <w:rFonts w:ascii="Times New Roman" w:hAnsi="Times New Roman"/>
          <w:sz w:val="24"/>
        </w:rPr>
        <w:t xml:space="preserve"> (ou a aproximação mecânica desacoplada de </w:t>
      </w:r>
      <w:r>
        <w:drawing>
          <wp:inline>
            <wp:extent cx="571798" cy="132668"/>
            <wp:docPr id="10" name="Picture 10"/>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71798" cy="132668"/>
                    </a:xfrm>
                    <a:prstGeom prst="rect"/>
                  </pic:spPr>
                </pic:pic>
              </a:graphicData>
            </a:graphic>
          </wp:inline>
        </w:drawing>
      </w:r>
      <w:r>
        <w:rPr>
          <w:rFonts w:ascii="Times New Roman" w:hAnsi="Times New Roman"/>
          <w:sz w:val="24"/>
        </w:rPr>
        <w:t>), explique o critério que relaciona o período de amostragem às constantes de tempo da planta e avalie se a escolha de 1 ms é adequada, insuficiente ou desnecessariamente conservadora, justificando com o número de amostras por constante de tempo que cada escolha produz. Em seguida, explique o que é o erro de acoplamento em uma co-simulação FMI, por que ele depende do passo de comunicação entre os FMUs — que é uma grandeza distinta do período de amostragem interno do controlador — e por que, nesse cenário, um passo de comunicação de 50 ms pode comprometer a co-simulação mesmo com um controlador amostrado a 1 ms.</w:t>
      </w:r>
    </w:p>
    <w:p>
      <w:pPr>
        <w:spacing w:line="276" w:lineRule="auto" w:before="0" w:after="120"/>
        <w:ind w:firstLine="0"/>
        <w:jc w:val="left"/>
      </w:pPr>
      <w:r>
        <w:rPr>
          <w:rFonts w:ascii="Times New Roman" w:hAnsi="Times New Roman"/>
          <w:b/>
          <w:sz w:val="24"/>
        </w:rPr>
        <w:t>Questão 7 — Unidade 3: de requisito ambíguo a propriedade formal</w:t>
      </w:r>
    </w:p>
    <w:p>
      <w:pPr>
        <w:spacing w:line="276" w:lineRule="auto" w:before="0" w:after="120"/>
        <w:ind w:firstLine="0"/>
        <w:jc w:val="left"/>
      </w:pPr>
      <w:r>
        <w:rPr>
          <w:rFonts w:ascii="Times New Roman" w:hAnsi="Times New Roman"/>
          <w:sz w:val="24"/>
        </w:rPr>
        <w:t xml:space="preserve">O requisito original de segurança do NexaBot foi escrito como "o robô deve parar rapidamente se houver obstáculo". Ao tentar formalizar esse texto para verificação, a equipe percebe que ele admite pelo menos três interpretações incompatíveis quanto ao que conta como "parar" (torque zerado, freio acionado, velocidade nula) e quanto ao que significa "rapidamente" (sem prazo numérico). Explique, com um exemplo para cada caso, por que um requisito em linguagem natural como esse é inadequado como entrada de um verificador formal. Reescreva o requisito como uma propriedade formalizável, equivalente em espírito a REQ-SAFE-006 (torque zerado em no máximo 150 ms após a detecção do obstáculo), explicitando o evento de disparo, a ação exigida e o prazo. Por fim, explique a diferença entre uma propriedade de </w:t>
      </w:r>
      <w:r>
        <w:rPr>
          <w:rFonts w:ascii="Times New Roman" w:hAnsi="Times New Roman"/>
          <w:b/>
          <w:sz w:val="24"/>
        </w:rPr>
        <w:t>segurança</w:t>
      </w:r>
      <w:r>
        <w:rPr>
          <w:rFonts w:ascii="Times New Roman" w:hAnsi="Times New Roman"/>
          <w:sz w:val="24"/>
        </w:rPr>
        <w:t xml:space="preserve"> ("algo ruim nunca acontece") e uma propriedade de </w:t>
      </w:r>
      <w:r>
        <w:rPr>
          <w:rFonts w:ascii="Times New Roman" w:hAnsi="Times New Roman"/>
          <w:b/>
          <w:sz w:val="24"/>
        </w:rPr>
        <w:t>vivacidade</w:t>
      </w:r>
      <w:r>
        <w:rPr>
          <w:rFonts w:ascii="Times New Roman" w:hAnsi="Times New Roman"/>
          <w:sz w:val="24"/>
        </w:rPr>
        <w:t xml:space="preserve"> ("algo bom eventualmente acontece"), classificando o requisito reescrito e um segundo requisito do NexaBot de natureza diferente (por exemplo, REQ-SAFE-005) em uma dessas duas categorias, com justificativa.</w:t>
      </w:r>
    </w:p>
    <w:p>
      <w:pPr>
        <w:spacing w:line="276" w:lineRule="auto" w:before="0" w:after="120"/>
        <w:ind w:firstLine="0"/>
        <w:jc w:val="left"/>
      </w:pPr>
      <w:r>
        <w:rPr>
          <w:rFonts w:ascii="Times New Roman" w:hAnsi="Times New Roman"/>
          <w:b/>
          <w:sz w:val="24"/>
        </w:rPr>
        <w:t>Questão 8 — Unidade 3: o que o contraexemplo prova, e o que a verificação não prova</w:t>
      </w:r>
    </w:p>
    <w:p>
      <w:pPr>
        <w:spacing w:line="276" w:lineRule="auto" w:before="0" w:after="120"/>
        <w:ind w:firstLine="0"/>
        <w:jc w:val="left"/>
      </w:pPr>
      <w:r>
        <w:rPr>
          <w:rFonts w:ascii="Times New Roman" w:hAnsi="Times New Roman"/>
          <w:sz w:val="24"/>
        </w:rPr>
        <w:t>Um bug foi introduzido no supervisor de segurança do NexaBot: por um erro de transição, o torque pode permanecer habilitado por um ciclo mesmo com obstáculo detectado. O verificador de modelos, ao explorar exaustivamente o espaço de estados alcançável, relata a violação de REQ-SAFE-001 e devolve a sequência exata de entradas (o contraexemplo) que leva o supervisor da condição inicial até o estado de falha. Explique o que exatamente um contraexemplo demonstra sobre o modelo verificado e por que ele é considerado a saída mais valiosa de um model checker, em contraste com uma simulação que passa em todos os cenários testados. Em seguida, explique por que a mesma verificação — mesmo depois de corrigido o bug e de o verificador reportar que a propriedade é satisfeita — não constitui prova de que o NexaBot físico se comportará corretamente, distinguindo explicitamente o modelo (o autômato verificado) do sistema físico real. Encerre relacionando cobertura de transições e cobertura de linhas de código: por que uma suíte de testes pode ter 100% de cobertura de linha e ainda assim não ter exercitado uma transição crítica do supervisor.</w:t>
      </w:r>
    </w:p>
    <w:p>
      <w:pPr>
        <w:spacing w:line="276" w:lineRule="auto" w:before="0" w:after="120"/>
        <w:ind w:firstLine="0"/>
        <w:jc w:val="left"/>
      </w:pPr>
      <w:r>
        <w:rPr>
          <w:rFonts w:ascii="Times New Roman" w:hAnsi="Times New Roman"/>
          <w:b/>
          <w:sz w:val="24"/>
        </w:rPr>
        <w:t>Questão 9 — Unidade 4: equivalência modelo-código e o épsilon de máquina</w:t>
      </w:r>
    </w:p>
    <w:p>
      <w:pPr>
        <w:spacing w:line="276" w:lineRule="auto" w:before="0" w:after="120"/>
        <w:ind w:firstLine="0"/>
        <w:jc w:val="left"/>
      </w:pPr>
      <w:r>
        <w:rPr>
          <w:rFonts w:ascii="Times New Roman" w:hAnsi="Times New Roman"/>
          <w:sz w:val="24"/>
        </w:rPr>
        <w:t xml:space="preserve">Durante o teste de software-in-the-loop (SIL) do controlador do NexaBot, a equipe compara, amostra a amostra, a saída do modelo de referência (calculada em Python com aritmética de ponto flutuante em precisão dupla) com a saída do código C gerado automaticamente, também compilado para usar </w:t>
      </w:r>
      <w:r>
        <w:rPr>
          <w:rFonts w:ascii="Times New Roman" w:hAnsi="Times New Roman"/>
          <w:sz w:val="24"/>
        </w:rPr>
        <w:t>double</w:t>
      </w:r>
      <w:r>
        <w:rPr>
          <w:rFonts w:ascii="Times New Roman" w:hAnsi="Times New Roman"/>
          <w:sz w:val="24"/>
        </w:rPr>
        <w:t xml:space="preserve">. O erro máximo absoluto observado entre as duas implementações, ao longo de toda a sequência de entradas de teste, é de </w:t>
      </w:r>
      <w:r>
        <w:drawing>
          <wp:inline>
            <wp:extent cx="683331" cy="161005"/>
            <wp:docPr id="11" name="Picture 11"/>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83331" cy="161005"/>
                    </a:xfrm>
                    <a:prstGeom prst="rect"/>
                  </pic:spPr>
                </pic:pic>
              </a:graphicData>
            </a:graphic>
          </wp:inline>
        </w:drawing>
      </w:r>
      <w:r>
        <w:rPr>
          <w:rFonts w:ascii="Times New Roman" w:hAnsi="Times New Roman"/>
          <w:sz w:val="24"/>
        </w:rPr>
        <w:t xml:space="preserve">. Sabendo que o épsilon de máquina para </w:t>
      </w:r>
      <w:r>
        <w:rPr>
          <w:rFonts w:ascii="Times New Roman" w:hAnsi="Times New Roman"/>
          <w:sz w:val="24"/>
        </w:rPr>
        <w:t>double</w:t>
      </w:r>
      <w:r>
        <w:rPr>
          <w:rFonts w:ascii="Times New Roman" w:hAnsi="Times New Roman"/>
          <w:sz w:val="24"/>
        </w:rPr>
        <w:t xml:space="preserve"> é da ordem de </w:t>
      </w:r>
      <w:r>
        <w:drawing>
          <wp:inline>
            <wp:extent cx="737179" cy="161140"/>
            <wp:docPr id="12" name="Picture 12"/>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737179" cy="161140"/>
                    </a:xfrm>
                    <a:prstGeom prst="rect"/>
                  </pic:spPr>
                </pic:pic>
              </a:graphicData>
            </a:graphic>
          </wp:inline>
        </w:drawing>
      </w:r>
      <w:r>
        <w:rPr>
          <w:rFonts w:ascii="Times New Roman" w:hAnsi="Times New Roman"/>
          <w:sz w:val="24"/>
        </w:rPr>
        <w:t xml:space="preserve">, e considerando que ambas as implementações usam o mesmo tipo de dado e deveriam calcular exatamente a mesma equação de diferenças, explique por que um erro dessa magnitude — muitas ordens de grandeza acima do épsilon de máquina — deve ser interpretado como evidência de um defeito real na geração de código ou na tradução da equação, e não como ruído numérico esperado de arredondamento de ponto flutuante. Descreva pelo menos duas causas plausíveis de defeito que produziriam um erro dessa ordem (por exemplo, ordem de operações divergente, template com erro de sinal, ou truncamento indevido) e explique por que a mesma discrepância, se o código gerado usasse ponto fixo Q16.16, exigiria uma tolerância de aceitação diferente da usada para </w:t>
      </w:r>
      <w:r>
        <w:rPr>
          <w:rFonts w:ascii="Times New Roman" w:hAnsi="Times New Roman"/>
          <w:sz w:val="24"/>
        </w:rPr>
        <w:t>double</w:t>
      </w:r>
      <w:r>
        <w:rPr>
          <w:rFonts w:ascii="Times New Roman" w:hAnsi="Times New Roman"/>
          <w:sz w:val="24"/>
        </w:rPr>
        <w:t>.</w:t>
      </w:r>
    </w:p>
    <w:p>
      <w:pPr>
        <w:spacing w:line="276" w:lineRule="auto" w:before="0" w:after="120"/>
        <w:ind w:firstLine="0"/>
        <w:jc w:val="left"/>
      </w:pPr>
      <w:r>
        <w:rPr>
          <w:rFonts w:ascii="Times New Roman" w:hAnsi="Times New Roman"/>
          <w:b/>
          <w:sz w:val="24"/>
        </w:rPr>
        <w:t>Questão 10 — Unidade 4: o que o pipeline aberto sustenta perante DO-178C e ISO 26262</w:t>
      </w:r>
    </w:p>
    <w:p>
      <w:pPr>
        <w:spacing w:line="276" w:lineRule="auto" w:before="0" w:after="120"/>
        <w:ind w:firstLine="0"/>
        <w:jc w:val="left"/>
      </w:pPr>
      <w:r>
        <w:rPr>
          <w:rFonts w:ascii="Times New Roman" w:hAnsi="Times New Roman"/>
          <w:sz w:val="24"/>
        </w:rPr>
        <w:t xml:space="preserve">O NexaBot chega ao final da disciplina com modelo, propriedades verificadas no escopo declarado, código gerado, testes com cobertura medida e uma matriz que expõe uma lacuna: REQ-SAFE-007 não possui teste da trajetória contínua. Um colega conclui que o restante das evidências "certifica" o sistema segundo a DO-178C ou a ISO 26262. Explique a diferença entre </w:t>
      </w:r>
      <w:r>
        <w:rPr>
          <w:rFonts w:ascii="Times New Roman" w:hAnsi="Times New Roman"/>
          <w:b/>
          <w:sz w:val="24"/>
        </w:rPr>
        <w:t>produzir evidências</w:t>
      </w:r>
      <w:r>
        <w:rPr>
          <w:rFonts w:ascii="Times New Roman" w:hAnsi="Times New Roman"/>
          <w:sz w:val="24"/>
        </w:rPr>
        <w:t xml:space="preserve"> e </w:t>
      </w:r>
      <w:r>
        <w:rPr>
          <w:rFonts w:ascii="Times New Roman" w:hAnsi="Times New Roman"/>
          <w:b/>
          <w:sz w:val="24"/>
        </w:rPr>
        <w:t>certificar um sistema</w:t>
      </w:r>
      <w:r>
        <w:rPr>
          <w:rFonts w:ascii="Times New Roman" w:hAnsi="Times New Roman"/>
          <w:sz w:val="24"/>
        </w:rPr>
        <w:t xml:space="preserve">, situando o que a matriz e a suíte sustentam. Explique também como uso, impacto de erro e detecção posterior determinam a análise de confiança ou eventual </w:t>
      </w:r>
      <w:r>
        <w:rPr>
          <w:rFonts w:ascii="Times New Roman" w:hAnsi="Times New Roman"/>
          <w:b/>
          <w:sz w:val="24"/>
        </w:rPr>
        <w:t>qualificação de ferramenta</w:t>
      </w:r>
      <w:r>
        <w:rPr>
          <w:rFonts w:ascii="Times New Roman" w:hAnsi="Times New Roman"/>
          <w:sz w:val="24"/>
        </w:rPr>
        <w:t xml:space="preserve">, além do papel da </w:t>
      </w:r>
      <w:r>
        <w:rPr>
          <w:rFonts w:ascii="Times New Roman" w:hAnsi="Times New Roman"/>
          <w:b/>
          <w:sz w:val="24"/>
        </w:rPr>
        <w:t>independência de verificação</w:t>
      </w:r>
      <w:r>
        <w:rPr>
          <w:rFonts w:ascii="Times New Roman" w:hAnsi="Times New Roman"/>
          <w:sz w:val="24"/>
        </w:rPr>
        <w:t>. Conclua indicando o que falta no pipeline e por que a lacuna explícita não pode ser compensada apenas por mais arquivos ou por uma CI verde.</w:t>
      </w:r>
    </w:p>
    <w:sectPr>
      <w:headerReference r:id="rId8" w:type="default"/>
      <w:footerReference r:id="rId9" w:type="default"/>
      <w:pgSz w:h="16838" w:w="11906" w:orient="portrait"/>
      <w:pgMar w:bottom="1134" w:top="1701" w:left="1701"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tabs>
        <w:tab w:val="center" w:leader="none" w:pos="4252"/>
        <w:tab w:val="right" w:leader="none" w:pos="8504"/>
      </w:tabs>
      <w:rPr/>
    </w:pPr>
    <w:r w:rsidDel="00000000" w:rsidR="00000000" w:rsidRPr="00000000">
      <w:rPr>
        <w:b w:val="1"/>
        <w:bCs w:val="1"/>
        <w:rtl w:val="0"/>
      </w:rPr>
      <w:t xml:space="preserve">Núcleo de Educação a Distância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tabs>
        <w:tab w:val="center" w:leader="none" w:pos="4252"/>
        <w:tab w:val="right" w:leader="none" w:pos="8504"/>
      </w:tabs>
      <w:spacing w:after="0" w:line="240" w:lineRule="auto"/>
      <w:jc w:val="center"/>
      <w:rPr/>
    </w:pPr>
    <w:r w:rsidDel="00000000" w:rsidR="00000000" w:rsidRPr="00000000">
      <w:rPr>
        <w:rtl w:val="0"/>
      </w:rPr>
      <w:t xml:space="preserve">AVALIAÇÃO – UniFECAF EAD</w:t>
    </w:r>
    <w:r w:rsidDel="00000000" w:rsidR="00000000" w:rsidRPr="00000000">
      <w:drawing>
        <wp:anchor allowOverlap="1" behindDoc="0" distB="114300" distT="114300" distL="114300" distR="114300" hidden="0" layoutInCell="1" locked="0" relativeHeight="0" simplePos="0">
          <wp:simplePos x="0" y="0"/>
          <wp:positionH relativeFrom="column">
            <wp:posOffset>4705350</wp:posOffset>
          </wp:positionH>
          <wp:positionV relativeFrom="paragraph">
            <wp:posOffset>-171447</wp:posOffset>
          </wp:positionV>
          <wp:extent cx="1446080" cy="411798"/>
          <wp:effectExtent b="0" l="0" r="0" t="0"/>
          <wp:wrapNone/>
          <wp:docPr id="5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46080" cy="411798"/>
                  </a:xfrm>
                  <a:prstGeom prst="rect"/>
                  <a:ln/>
                </pic:spPr>
              </pic:pic>
            </a:graphicData>
          </a:graphic>
        </wp:anchor>
      </w:drawing>
    </w:r>
  </w:p>
  <w:p w:rsidR="00000000" w:rsidDel="00000000" w:rsidP="00000000" w:rsidRDefault="00000000" w:rsidRPr="00000000" w14:paraId="0000004B">
    <w:pPr>
      <w:tabs>
        <w:tab w:val="center" w:leader="none" w:pos="4252"/>
        <w:tab w:val="right" w:leader="none" w:pos="8504"/>
      </w:tabs>
      <w:rPr>
        <w:sz w:val="20"/>
        <w:szCs w:val="20"/>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tabs>
        <w:tab w:val="center" w:leader="none" w:pos="4252"/>
        <w:tab w:val="right" w:leader="none" w:pos="8504"/>
      </w:tabs>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276" w:lineRule="auto"/>
    </w:pPr>
    <w:rPr>
      <w:rFonts w:ascii="Arial" w:cs="Arial" w:eastAsia="Arial" w:hAnsi="Arial"/>
      <w:b w:val="1"/>
      <w:bCs w:val="1"/>
      <w:sz w:val="28"/>
      <w:szCs w:val="28"/>
    </w:rPr>
  </w:style>
  <w:style w:type="paragraph" w:styleId="Heading2">
    <w:name w:val="heading 2"/>
    <w:basedOn w:val="Normal"/>
    <w:next w:val="Normal"/>
    <w:pPr>
      <w:keepNext w:val="1"/>
      <w:keepLines w:val="1"/>
      <w:spacing w:line="240" w:lineRule="auto"/>
      <w:ind w:left="357" w:hanging="357"/>
    </w:pPr>
    <w:rPr>
      <w:rFonts w:ascii="Arial" w:cs="Arial" w:eastAsia="Arial" w:hAnsi="Arial"/>
      <w:b w:val="1"/>
      <w:bCs w:val="1"/>
      <w:color w:val="2f5496"/>
      <w:sz w:val="28"/>
      <w:szCs w:val="28"/>
    </w:rPr>
  </w:style>
  <w:style w:type="paragraph" w:styleId="Heading3">
    <w:name w:val="heading 3"/>
    <w:basedOn w:val="Normal"/>
    <w:next w:val="Normal"/>
    <w:pPr>
      <w:spacing w:after="100" w:before="100"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spacing w:after="40" w:before="240" w:line="276" w:lineRule="auto"/>
    </w:pPr>
    <w:rPr>
      <w:b w:val="1"/>
      <w:bCs w:val="1"/>
      <w:sz w:val="24"/>
      <w:szCs w:val="24"/>
    </w:rPr>
  </w:style>
  <w:style w:type="paragraph" w:styleId="Heading5">
    <w:name w:val="heading 5"/>
    <w:basedOn w:val="Normal"/>
    <w:next w:val="Normal"/>
    <w:pPr>
      <w:keepNext w:val="1"/>
      <w:keepLines w:val="1"/>
      <w:spacing w:after="40" w:before="220" w:line="276" w:lineRule="auto"/>
    </w:pPr>
    <w:rPr>
      <w:b w:val="1"/>
      <w:bCs w:val="1"/>
    </w:rPr>
  </w:style>
  <w:style w:type="paragraph" w:styleId="Heading6">
    <w:name w:val="heading 6"/>
    <w:basedOn w:val="Normal"/>
    <w:next w:val="Normal"/>
    <w:pPr>
      <w:keepNext w:val="1"/>
      <w:keepLines w:val="1"/>
      <w:spacing w:after="40" w:before="200" w:line="276" w:lineRule="auto"/>
    </w:pPr>
    <w:rPr>
      <w:b w:val="1"/>
      <w:bCs w:val="1"/>
      <w:sz w:val="20"/>
      <w:szCs w:val="20"/>
    </w:rPr>
  </w:style>
  <w:style w:type="paragraph" w:styleId="Title">
    <w:name w:val="Title"/>
    <w:basedOn w:val="Normal"/>
    <w:next w:val="Normal"/>
    <w:pPr>
      <w:keepNext w:val="1"/>
      <w:keepLines w:val="1"/>
      <w:spacing w:after="120" w:before="480" w:line="276" w:lineRule="auto"/>
    </w:pPr>
    <w:rPr>
      <w:b w:val="1"/>
      <w:bCs w:val="1"/>
      <w:sz w:val="72"/>
      <w:szCs w:val="7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TableNormal3" w:customStyle="1">
    <w:name w:val="Table Normal"/>
    <w:tblPr>
      <w:tblCellMar>
        <w:top w:w="0.0" w:type="dxa"/>
        <w:left w:w="0.0" w:type="dxa"/>
        <w:bottom w:w="0.0" w:type="dxa"/>
        <w:right w:w="0.0" w:type="dxa"/>
      </w:tblCellMar>
    </w:tblPr>
  </w:style>
  <w:style w:type="table" w:styleId="TableNormal4" w:customStyle="1">
    <w:name w:val="Table Normal"/>
    <w:tblPr>
      <w:tblCellMar>
        <w:top w:w="0.0" w:type="dxa"/>
        <w:left w:w="0.0" w:type="dxa"/>
        <w:bottom w:w="0.0" w:type="dxa"/>
        <w:right w:w="0.0" w:type="dxa"/>
      </w:tblCellMar>
    </w:tblPr>
  </w:style>
  <w:style w:type="character" w:styleId="Ttulo2Char" w:customStyle="1">
    <w:name w:val="Título 2 Char"/>
    <w:basedOn w:val="Fontepargpadro"/>
    <w:link w:val="Ttulo2"/>
    <w:uiPriority w:val="9"/>
    <w:rsid w:val="00A86149"/>
    <w:rPr>
      <w:rFonts w:ascii="Arial" w:hAnsi="Arial" w:cstheme="majorBidi" w:eastAsiaTheme="majorEastAsia"/>
      <w:b w:val="1"/>
      <w:color w:val="2f5496" w:themeColor="accent1" w:themeShade="0000BF"/>
      <w:sz w:val="28"/>
      <w:szCs w:val="26"/>
    </w:rPr>
  </w:style>
  <w:style w:type="character" w:styleId="Ttulo1Char" w:customStyle="1">
    <w:name w:val="Título 1 Char"/>
    <w:basedOn w:val="Fontepargpadro"/>
    <w:link w:val="Ttulo1"/>
    <w:uiPriority w:val="9"/>
    <w:rsid w:val="006565D9"/>
    <w:rPr>
      <w:rFonts w:ascii="Arial" w:cs="Arial" w:eastAsia="Arial" w:hAnsi="Arial"/>
      <w:b w:val="1"/>
      <w:sz w:val="28"/>
      <w:szCs w:val="28"/>
      <w:lang w:eastAsia="pt-BR"/>
    </w:rPr>
  </w:style>
  <w:style w:type="character" w:styleId="Ttulo3Char" w:customStyle="1">
    <w:name w:val="Título 3 Char"/>
    <w:basedOn w:val="Fontepargpadro"/>
    <w:link w:val="Ttulo3"/>
    <w:uiPriority w:val="9"/>
    <w:semiHidden w:val="1"/>
    <w:rsid w:val="006565D9"/>
    <w:rPr>
      <w:rFonts w:ascii="Times New Roman" w:cs="Times New Roman" w:eastAsia="Times New Roman" w:hAnsi="Times New Roman"/>
      <w:b w:val="1"/>
      <w:sz w:val="27"/>
      <w:szCs w:val="27"/>
      <w:lang w:eastAsia="pt-BR"/>
    </w:rPr>
  </w:style>
  <w:style w:type="character" w:styleId="Ttulo4Char" w:customStyle="1">
    <w:name w:val="Título 4 Char"/>
    <w:basedOn w:val="Fontepargpadro"/>
    <w:link w:val="Ttulo4"/>
    <w:uiPriority w:val="9"/>
    <w:semiHidden w:val="1"/>
    <w:rsid w:val="006565D9"/>
    <w:rPr>
      <w:rFonts w:ascii="Calibri" w:cs="Calibri" w:eastAsia="Calibri" w:hAnsi="Calibri"/>
      <w:b w:val="1"/>
      <w:sz w:val="24"/>
      <w:szCs w:val="24"/>
      <w:lang w:eastAsia="pt-BR"/>
    </w:rPr>
  </w:style>
  <w:style w:type="character" w:styleId="Ttulo5Char" w:customStyle="1">
    <w:name w:val="Título 5 Char"/>
    <w:basedOn w:val="Fontepargpadro"/>
    <w:link w:val="Ttulo5"/>
    <w:uiPriority w:val="9"/>
    <w:semiHidden w:val="1"/>
    <w:rsid w:val="006565D9"/>
    <w:rPr>
      <w:rFonts w:ascii="Calibri" w:cs="Calibri" w:eastAsia="Calibri" w:hAnsi="Calibri"/>
      <w:b w:val="1"/>
      <w:lang w:eastAsia="pt-BR"/>
    </w:rPr>
  </w:style>
  <w:style w:type="character" w:styleId="Ttulo6Char" w:customStyle="1">
    <w:name w:val="Título 6 Char"/>
    <w:basedOn w:val="Fontepargpadro"/>
    <w:link w:val="Ttulo6"/>
    <w:uiPriority w:val="9"/>
    <w:semiHidden w:val="1"/>
    <w:rsid w:val="006565D9"/>
    <w:rPr>
      <w:rFonts w:ascii="Calibri" w:cs="Calibri" w:eastAsia="Calibri" w:hAnsi="Calibri"/>
      <w:b w:val="1"/>
      <w:sz w:val="20"/>
      <w:szCs w:val="20"/>
      <w:lang w:eastAsia="pt-BR"/>
    </w:rPr>
  </w:style>
  <w:style w:type="numbering" w:styleId="Semlista1" w:customStyle="1">
    <w:name w:val="Sem lista1"/>
    <w:next w:val="Semlista"/>
    <w:uiPriority w:val="99"/>
    <w:semiHidden w:val="1"/>
    <w:unhideWhenUsed w:val="1"/>
    <w:rsid w:val="006565D9"/>
  </w:style>
  <w:style w:type="table" w:styleId="TableNormal5" w:customStyle="1">
    <w:name w:val="Table Normal"/>
    <w:rsid w:val="006565D9"/>
    <w:pPr>
      <w:spacing w:after="200" w:line="276" w:lineRule="auto"/>
    </w:pPr>
    <w:tblPr>
      <w:tblCellMar>
        <w:top w:w="0.0" w:type="dxa"/>
        <w:left w:w="0.0" w:type="dxa"/>
        <w:bottom w:w="0.0" w:type="dxa"/>
        <w:right w:w="0.0" w:type="dxa"/>
      </w:tblCellMar>
    </w:tblPr>
  </w:style>
  <w:style w:type="character" w:styleId="TtuloChar" w:customStyle="1">
    <w:name w:val="Título Char"/>
    <w:basedOn w:val="Fontepargpadro"/>
    <w:link w:val="Ttulo"/>
    <w:uiPriority w:val="10"/>
    <w:rsid w:val="006565D9"/>
    <w:rPr>
      <w:rFonts w:ascii="Calibri" w:cs="Calibri" w:eastAsia="Calibri" w:hAnsi="Calibri"/>
      <w:b w:val="1"/>
      <w:sz w:val="72"/>
      <w:szCs w:val="72"/>
      <w:lang w:eastAsia="pt-BR"/>
    </w:rPr>
  </w:style>
  <w:style w:type="character" w:styleId="SubttuloChar" w:customStyle="1">
    <w:name w:val="Subtítulo Char"/>
    <w:basedOn w:val="Fontepargpadro"/>
    <w:link w:val="Subttulo"/>
    <w:uiPriority w:val="11"/>
    <w:rsid w:val="006565D9"/>
    <w:rPr>
      <w:rFonts w:ascii="Georgia" w:cs="Georgia" w:eastAsia="Georgia" w:hAnsi="Georgia"/>
      <w:i w:val="1"/>
      <w:color w:val="666666"/>
      <w:sz w:val="48"/>
      <w:szCs w:val="48"/>
      <w:lang w:eastAsia="pt-BR"/>
    </w:rPr>
  </w:style>
  <w:style w:type="table" w:styleId="4" w:customStyle="1">
    <w:name w:val="4"/>
    <w:basedOn w:val="TableNormal5"/>
    <w:rsid w:val="006565D9"/>
    <w:tblPr/>
  </w:style>
  <w:style w:type="table" w:styleId="3" w:customStyle="1">
    <w:name w:val="3"/>
    <w:basedOn w:val="TableNormal5"/>
    <w:rsid w:val="006565D9"/>
    <w:tblPr/>
  </w:style>
  <w:style w:type="table" w:styleId="2" w:customStyle="1">
    <w:name w:val="2"/>
    <w:basedOn w:val="TableNormal5"/>
    <w:rsid w:val="006565D9"/>
    <w:tblPr/>
  </w:style>
  <w:style w:type="table" w:styleId="1" w:customStyle="1">
    <w:name w:val="1"/>
    <w:basedOn w:val="TableNormal5"/>
    <w:rsid w:val="006565D9"/>
    <w:tblPr/>
  </w:style>
  <w:style w:type="paragraph" w:styleId="PargrafodaLista">
    <w:name w:val="List Paragraph"/>
    <w:basedOn w:val="Normal"/>
    <w:uiPriority w:val="34"/>
    <w:qFormat w:val="1"/>
    <w:rsid w:val="006565D9"/>
    <w:pPr>
      <w:spacing w:after="200" w:line="276" w:lineRule="auto"/>
      <w:ind w:left="720"/>
      <w:contextualSpacing w:val="1"/>
    </w:pPr>
  </w:style>
  <w:style w:type="character" w:styleId="normaltextrun" w:customStyle="1">
    <w:name w:val="normaltextrun"/>
    <w:basedOn w:val="Fontepargpadro"/>
    <w:rsid w:val="006565D9"/>
  </w:style>
  <w:style w:type="character" w:styleId="spellingerror" w:customStyle="1">
    <w:name w:val="spellingerror"/>
    <w:basedOn w:val="Fontepargpadro"/>
    <w:rsid w:val="006565D9"/>
  </w:style>
  <w:style w:type="character" w:styleId="eop" w:customStyle="1">
    <w:name w:val="eop"/>
    <w:basedOn w:val="Fontepargpadro"/>
    <w:rsid w:val="006565D9"/>
  </w:style>
  <w:style w:type="paragraph" w:styleId="paragraph" w:customStyle="1">
    <w:name w:val="paragraph"/>
    <w:basedOn w:val="Normal"/>
    <w:rsid w:val="006565D9"/>
    <w:pPr>
      <w:spacing w:after="100" w:afterAutospacing="1" w:before="100" w:beforeAutospacing="1" w:line="240" w:lineRule="auto"/>
    </w:pPr>
    <w:rPr>
      <w:rFonts w:ascii="Times New Roman" w:cs="Times New Roman" w:eastAsia="Times New Roman" w:hAnsi="Times New Roman"/>
      <w:sz w:val="24"/>
      <w:szCs w:val="24"/>
    </w:rPr>
  </w:style>
  <w:style w:type="character" w:styleId="Hyperlink1" w:customStyle="1">
    <w:name w:val="Hyperlink1"/>
    <w:basedOn w:val="Fontepargpadro"/>
    <w:uiPriority w:val="99"/>
    <w:unhideWhenUsed w:val="1"/>
    <w:rsid w:val="006565D9"/>
    <w:rPr>
      <w:color w:val="0000ff"/>
      <w:u w:val="single"/>
    </w:rPr>
  </w:style>
  <w:style w:type="character" w:styleId="MenoPendente1" w:customStyle="1">
    <w:name w:val="Menção Pendente1"/>
    <w:basedOn w:val="Fontepargpadro"/>
    <w:uiPriority w:val="99"/>
    <w:semiHidden w:val="1"/>
    <w:unhideWhenUsed w:val="1"/>
    <w:rsid w:val="006565D9"/>
    <w:rPr>
      <w:color w:val="605e5c"/>
      <w:shd w:color="auto" w:fill="e1dfdd" w:val="clear"/>
    </w:rPr>
  </w:style>
  <w:style w:type="character" w:styleId="scxw180409123" w:customStyle="1">
    <w:name w:val="scxw180409123"/>
    <w:basedOn w:val="Fontepargpadro"/>
    <w:rsid w:val="006565D9"/>
  </w:style>
  <w:style w:type="character" w:styleId="contextualspellingandgrammarerror" w:customStyle="1">
    <w:name w:val="contextualspellingandgrammarerror"/>
    <w:basedOn w:val="Fontepargpadro"/>
    <w:rsid w:val="006565D9"/>
  </w:style>
  <w:style w:type="character" w:styleId="scxw233976697" w:customStyle="1">
    <w:name w:val="scxw233976697"/>
    <w:basedOn w:val="Fontepargpadro"/>
    <w:rsid w:val="006565D9"/>
  </w:style>
  <w:style w:type="paragraph" w:styleId="Cabealho">
    <w:name w:val="header"/>
    <w:basedOn w:val="Normal"/>
    <w:link w:val="CabealhoChar"/>
    <w:uiPriority w:val="99"/>
    <w:unhideWhenUsed w:val="1"/>
    <w:rsid w:val="006565D9"/>
    <w:pPr>
      <w:tabs>
        <w:tab w:val="center" w:pos="4252"/>
        <w:tab w:val="right" w:pos="8504"/>
      </w:tabs>
      <w:spacing w:after="0" w:line="240" w:lineRule="auto"/>
    </w:pPr>
    <w:rPr>
      <w:rFonts w:ascii="Times New Roman" w:cs="Times New Roman" w:eastAsia="Times New Roman" w:hAnsi="Times New Roman"/>
      <w:sz w:val="24"/>
      <w:szCs w:val="24"/>
    </w:rPr>
  </w:style>
  <w:style w:type="character" w:styleId="CabealhoChar" w:customStyle="1">
    <w:name w:val="Cabeçalho Char"/>
    <w:basedOn w:val="Fontepargpadro"/>
    <w:link w:val="Cabealho"/>
    <w:uiPriority w:val="99"/>
    <w:rsid w:val="006565D9"/>
    <w:rPr>
      <w:rFonts w:ascii="Times New Roman" w:cs="Times New Roman" w:eastAsia="Times New Roman" w:hAnsi="Times New Roman"/>
      <w:sz w:val="24"/>
      <w:szCs w:val="24"/>
      <w:lang w:eastAsia="pt-BR"/>
    </w:rPr>
  </w:style>
  <w:style w:type="paragraph" w:styleId="Rodap">
    <w:name w:val="footer"/>
    <w:basedOn w:val="Normal"/>
    <w:link w:val="RodapChar"/>
    <w:uiPriority w:val="99"/>
    <w:unhideWhenUsed w:val="1"/>
    <w:rsid w:val="006565D9"/>
    <w:pPr>
      <w:tabs>
        <w:tab w:val="center" w:pos="4252"/>
        <w:tab w:val="right" w:pos="8504"/>
      </w:tabs>
      <w:spacing w:after="0" w:line="240" w:lineRule="auto"/>
    </w:pPr>
    <w:rPr>
      <w:rFonts w:ascii="Times New Roman" w:cs="Times New Roman" w:eastAsia="Times New Roman" w:hAnsi="Times New Roman"/>
      <w:sz w:val="24"/>
      <w:szCs w:val="24"/>
    </w:rPr>
  </w:style>
  <w:style w:type="character" w:styleId="RodapChar" w:customStyle="1">
    <w:name w:val="Rodapé Char"/>
    <w:basedOn w:val="Fontepargpadro"/>
    <w:link w:val="Rodap"/>
    <w:uiPriority w:val="99"/>
    <w:rsid w:val="006565D9"/>
    <w:rPr>
      <w:rFonts w:ascii="Times New Roman" w:cs="Times New Roman" w:eastAsia="Times New Roman" w:hAnsi="Times New Roman"/>
      <w:sz w:val="24"/>
      <w:szCs w:val="24"/>
      <w:lang w:eastAsia="pt-BR"/>
    </w:rPr>
  </w:style>
  <w:style w:type="character" w:styleId="TextodoEspaoReservado">
    <w:name w:val="Placeholder Text"/>
    <w:basedOn w:val="Fontepargpadro"/>
    <w:uiPriority w:val="99"/>
    <w:semiHidden w:val="1"/>
    <w:rsid w:val="006565D9"/>
    <w:rPr>
      <w:color w:val="808080"/>
    </w:rPr>
  </w:style>
  <w:style w:type="table" w:styleId="Tabelacomgrade">
    <w:name w:val="Table Grid"/>
    <w:basedOn w:val="Tabelanormal"/>
    <w:uiPriority w:val="39"/>
    <w:rsid w:val="006565D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semiHidden w:val="1"/>
    <w:unhideWhenUsed w:val="1"/>
    <w:rsid w:val="006565D9"/>
    <w:pPr>
      <w:spacing w:after="100" w:afterAutospacing="1" w:before="100" w:beforeAutospacing="1" w:line="240" w:lineRule="auto"/>
    </w:pPr>
    <w:rPr>
      <w:rFonts w:ascii="Times New Roman" w:cs="Times New Roman" w:eastAsia="Times New Roman" w:hAnsi="Times New Roman"/>
      <w:sz w:val="24"/>
      <w:szCs w:val="24"/>
    </w:rPr>
  </w:style>
  <w:style w:type="character" w:styleId="HiperlinkVisitado1" w:customStyle="1">
    <w:name w:val="HiperlinkVisitado1"/>
    <w:basedOn w:val="Fontepargpadro"/>
    <w:uiPriority w:val="99"/>
    <w:semiHidden w:val="1"/>
    <w:unhideWhenUsed w:val="1"/>
    <w:rsid w:val="006565D9"/>
    <w:rPr>
      <w:color w:val="800080"/>
      <w:u w:val="single"/>
    </w:rPr>
  </w:style>
  <w:style w:type="character" w:styleId="Hyperlink">
    <w:name w:val="Hyperlink"/>
    <w:basedOn w:val="Fontepargpadro"/>
    <w:uiPriority w:val="99"/>
    <w:unhideWhenUsed w:val="1"/>
    <w:rsid w:val="006565D9"/>
    <w:rPr>
      <w:color w:val="0563c1" w:themeColor="hyperlink"/>
      <w:u w:val="single"/>
    </w:rPr>
  </w:style>
  <w:style w:type="character" w:styleId="HiperlinkVisitado">
    <w:name w:val="FollowedHyperlink"/>
    <w:basedOn w:val="Fontepargpadro"/>
    <w:uiPriority w:val="99"/>
    <w:semiHidden w:val="1"/>
    <w:unhideWhenUsed w:val="1"/>
    <w:rsid w:val="006565D9"/>
    <w:rPr>
      <w:color w:val="954f72" w:themeColor="followedHyperlink"/>
      <w:u w:val="single"/>
    </w:rPr>
  </w:style>
  <w:style w:type="character" w:styleId="Refdecomentrio">
    <w:name w:val="annotation reference"/>
    <w:basedOn w:val="Fontepargpadro"/>
    <w:uiPriority w:val="99"/>
    <w:semiHidden w:val="1"/>
    <w:unhideWhenUsed w:val="1"/>
    <w:rsid w:val="00FC440E"/>
    <w:rPr>
      <w:sz w:val="16"/>
      <w:szCs w:val="16"/>
    </w:rPr>
  </w:style>
  <w:style w:type="paragraph" w:styleId="Textodecomentrio">
    <w:name w:val="annotation text"/>
    <w:basedOn w:val="Normal"/>
    <w:link w:val="TextodecomentrioChar"/>
    <w:uiPriority w:val="99"/>
    <w:semiHidden w:val="1"/>
    <w:unhideWhenUsed w:val="1"/>
    <w:rsid w:val="00FC440E"/>
    <w:pPr>
      <w:spacing w:line="240" w:lineRule="auto"/>
    </w:pPr>
    <w:rPr>
      <w:sz w:val="20"/>
      <w:szCs w:val="20"/>
    </w:rPr>
  </w:style>
  <w:style w:type="character" w:styleId="TextodecomentrioChar" w:customStyle="1">
    <w:name w:val="Texto de comentário Char"/>
    <w:basedOn w:val="Fontepargpadro"/>
    <w:link w:val="Textodecomentrio"/>
    <w:uiPriority w:val="99"/>
    <w:semiHidden w:val="1"/>
    <w:rsid w:val="00FC440E"/>
    <w:rPr>
      <w:sz w:val="20"/>
      <w:szCs w:val="20"/>
    </w:rPr>
  </w:style>
  <w:style w:type="paragraph" w:styleId="Assuntodocomentrio">
    <w:name w:val="annotation subject"/>
    <w:basedOn w:val="Textodecomentrio"/>
    <w:next w:val="Textodecomentrio"/>
    <w:link w:val="AssuntodocomentrioChar"/>
    <w:uiPriority w:val="99"/>
    <w:semiHidden w:val="1"/>
    <w:unhideWhenUsed w:val="1"/>
    <w:rsid w:val="00FC440E"/>
    <w:rPr>
      <w:b w:val="1"/>
      <w:bCs w:val="1"/>
    </w:rPr>
  </w:style>
  <w:style w:type="character" w:styleId="AssuntodocomentrioChar" w:customStyle="1">
    <w:name w:val="Assunto do comentário Char"/>
    <w:basedOn w:val="TextodecomentrioChar"/>
    <w:link w:val="Assuntodocomentrio"/>
    <w:uiPriority w:val="99"/>
    <w:semiHidden w:val="1"/>
    <w:rsid w:val="00FC440E"/>
    <w:rPr>
      <w:b w:val="1"/>
      <w:bCs w:val="1"/>
      <w:sz w:val="20"/>
      <w:szCs w:val="20"/>
    </w:rPr>
  </w:style>
  <w:style w:type="table" w:styleId="a" w:customStyle="1">
    <w:basedOn w:val="TableNormal5"/>
    <w:tblPr>
      <w:tblStyleRowBandSize w:val="1"/>
      <w:tblStyleColBandSize w:val="1"/>
    </w:tblPr>
  </w:style>
  <w:style w:type="table" w:styleId="a0" w:customStyle="1">
    <w:basedOn w:val="TableNormal5"/>
    <w:tblPr>
      <w:tblStyleRowBandSize w:val="1"/>
      <w:tblStyleColBandSize w:val="1"/>
      <w:tblCellMar>
        <w:left w:w="115.0" w:type="dxa"/>
        <w:right w:w="115.0" w:type="dxa"/>
      </w:tblCellMar>
    </w:tblPr>
  </w:style>
  <w:style w:type="table" w:styleId="a1" w:customStyle="1">
    <w:basedOn w:val="TableNormal5"/>
    <w:tblPr>
      <w:tblStyleRowBandSize w:val="1"/>
      <w:tblStyleColBandSize w:val="1"/>
    </w:tblPr>
  </w:style>
  <w:style w:type="table" w:styleId="a2" w:customStyle="1">
    <w:basedOn w:val="TableNormal5"/>
    <w:tblPr>
      <w:tblStyleRowBandSize w:val="1"/>
      <w:tblStyleColBandSize w:val="1"/>
    </w:tblPr>
  </w:style>
  <w:style w:type="table" w:styleId="a3" w:customStyle="1">
    <w:basedOn w:val="TableNormal4"/>
    <w:pPr>
      <w:spacing w:after="0" w:line="240" w:lineRule="auto"/>
    </w:pPr>
    <w:tblPr>
      <w:tblStyleRowBandSize w:val="1"/>
      <w:tblStyleColBandSize w:val="1"/>
      <w:tblCellMar>
        <w:left w:w="108.0" w:type="dxa"/>
        <w:right w:w="108.0" w:type="dxa"/>
      </w:tblCellMar>
    </w:tblPr>
  </w:style>
  <w:style w:type="table" w:styleId="a4" w:customStyle="1">
    <w:basedOn w:val="TableNormal4"/>
    <w:pPr>
      <w:spacing w:after="0" w:line="240" w:lineRule="auto"/>
    </w:pPr>
    <w:tblPr>
      <w:tblStyleRowBandSize w:val="1"/>
      <w:tblStyleColBandSize w:val="1"/>
      <w:tblCellMar>
        <w:left w:w="108.0" w:type="dxa"/>
        <w:right w:w="108.0" w:type="dxa"/>
      </w:tblCellMar>
    </w:tblPr>
  </w:style>
  <w:style w:type="table" w:styleId="a5" w:customStyle="1">
    <w:basedOn w:val="TableNormal4"/>
    <w:pPr>
      <w:spacing w:after="0" w:line="240" w:lineRule="auto"/>
    </w:pPr>
    <w:tblPr>
      <w:tblStyleRowBandSize w:val="1"/>
      <w:tblStyleColBandSize w:val="1"/>
      <w:tblCellMar>
        <w:left w:w="108.0" w:type="dxa"/>
        <w:right w:w="108.0" w:type="dxa"/>
      </w:tblCellMar>
    </w:tblPr>
  </w:style>
  <w:style w:type="table" w:styleId="a6" w:customStyle="1">
    <w:basedOn w:val="TableNormal4"/>
    <w:pPr>
      <w:spacing w:after="0" w:line="240" w:lineRule="auto"/>
    </w:pPr>
    <w:tblPr>
      <w:tblStyleRowBandSize w:val="1"/>
      <w:tblStyleColBandSize w:val="1"/>
      <w:tblCellMar>
        <w:left w:w="108.0" w:type="dxa"/>
        <w:right w:w="108.0" w:type="dxa"/>
      </w:tblCellMar>
    </w:tblPr>
  </w:style>
  <w:style w:type="table" w:styleId="a7" w:customStyle="1">
    <w:basedOn w:val="TableNormal4"/>
    <w:pPr>
      <w:spacing w:after="0" w:line="240" w:lineRule="auto"/>
    </w:pPr>
    <w:tblPr>
      <w:tblStyleRowBandSize w:val="1"/>
      <w:tblStyleColBandSize w:val="1"/>
      <w:tblCellMar>
        <w:left w:w="108.0" w:type="dxa"/>
        <w:right w:w="108.0" w:type="dxa"/>
      </w:tblCellMar>
    </w:tblPr>
  </w:style>
  <w:style w:type="table" w:styleId="a8" w:customStyle="1">
    <w:basedOn w:val="TableNormal4"/>
    <w:pPr>
      <w:spacing w:after="0" w:line="240" w:lineRule="auto"/>
    </w:pPr>
    <w:tblPr>
      <w:tblStyleRowBandSize w:val="1"/>
      <w:tblStyleColBandSize w:val="1"/>
      <w:tblCellMar>
        <w:left w:w="108.0" w:type="dxa"/>
        <w:right w:w="108.0" w:type="dxa"/>
      </w:tblCellMar>
    </w:tblPr>
  </w:style>
  <w:style w:type="table" w:styleId="a9" w:customStyle="1">
    <w:basedOn w:val="TableNormal4"/>
    <w:pPr>
      <w:spacing w:after="0" w:line="240" w:lineRule="auto"/>
    </w:pPr>
    <w:tblPr>
      <w:tblStyleRowBandSize w:val="1"/>
      <w:tblStyleColBandSize w:val="1"/>
      <w:tblCellMar>
        <w:left w:w="108.0" w:type="dxa"/>
        <w:right w:w="108.0" w:type="dxa"/>
      </w:tblCellMar>
    </w:tblPr>
  </w:style>
  <w:style w:type="table" w:styleId="aa" w:customStyle="1">
    <w:basedOn w:val="TableNormal4"/>
    <w:pPr>
      <w:spacing w:after="200" w:line="276" w:lineRule="auto"/>
    </w:pPr>
    <w:tblPr>
      <w:tblStyleRowBandSize w:val="1"/>
      <w:tblStyleColBandSize w:val="1"/>
      <w:tblCellMar>
        <w:left w:w="115.0" w:type="dxa"/>
        <w:right w:w="115.0" w:type="dxa"/>
      </w:tblCellMar>
    </w:tblPr>
  </w:style>
  <w:style w:type="table" w:styleId="ab" w:customStyle="1">
    <w:basedOn w:val="TableNormal3"/>
    <w:pPr>
      <w:spacing w:after="200" w:line="276" w:lineRule="auto"/>
    </w:pPr>
    <w:tblPr>
      <w:tblStyleRowBandSize w:val="1"/>
      <w:tblStyleColBandSize w:val="1"/>
      <w:tblCellMar>
        <w:left w:w="115.0" w:type="dxa"/>
        <w:right w:w="115.0" w:type="dxa"/>
      </w:tblCellMar>
    </w:tblPr>
  </w:style>
  <w:style w:type="table" w:styleId="ac" w:customStyle="1">
    <w:basedOn w:val="TableNormal3"/>
    <w:pPr>
      <w:spacing w:after="200" w:line="276" w:lineRule="auto"/>
    </w:pPr>
    <w:tblPr>
      <w:tblStyleRowBandSize w:val="1"/>
      <w:tblStyleColBandSize w:val="1"/>
      <w:tblCellMar>
        <w:left w:w="115.0" w:type="dxa"/>
        <w:right w:w="115.0" w:type="dxa"/>
      </w:tblCellMar>
    </w:tblPr>
  </w:style>
  <w:style w:type="table" w:styleId="ad" w:customStyle="1">
    <w:basedOn w:val="TableNormal3"/>
    <w:pPr>
      <w:spacing w:after="200" w:line="276" w:lineRule="auto"/>
    </w:pPr>
    <w:tblPr>
      <w:tblStyleRowBandSize w:val="1"/>
      <w:tblStyleColBandSize w:val="1"/>
      <w:tblCellMar>
        <w:left w:w="115.0" w:type="dxa"/>
        <w:right w:w="115.0" w:type="dxa"/>
      </w:tblCellMar>
    </w:tblPr>
  </w:style>
  <w:style w:type="table" w:styleId="ae" w:customStyle="1">
    <w:basedOn w:val="TableNormal3"/>
    <w:pPr>
      <w:spacing w:after="200" w:line="276" w:lineRule="auto"/>
    </w:pPr>
    <w:tblPr>
      <w:tblStyleRowBandSize w:val="1"/>
      <w:tblStyleColBandSize w:val="1"/>
      <w:tblCellMar>
        <w:left w:w="115.0" w:type="dxa"/>
        <w:right w:w="115.0" w:type="dxa"/>
      </w:tblCellMar>
    </w:tblPr>
  </w:style>
  <w:style w:type="table" w:styleId="af" w:customStyle="1">
    <w:basedOn w:val="TableNormal3"/>
    <w:pPr>
      <w:spacing w:after="200" w:line="276" w:lineRule="auto"/>
    </w:pPr>
    <w:tblPr>
      <w:tblStyleRowBandSize w:val="1"/>
      <w:tblStyleColBandSize w:val="1"/>
      <w:tblCellMar>
        <w:left w:w="115.0" w:type="dxa"/>
        <w:right w:w="115.0" w:type="dxa"/>
      </w:tblCellMar>
    </w:tblPr>
  </w:style>
  <w:style w:type="table" w:styleId="af0" w:customStyle="1">
    <w:basedOn w:val="TableNormal3"/>
    <w:pPr>
      <w:spacing w:after="200" w:line="276" w:lineRule="auto"/>
    </w:pPr>
    <w:tblPr>
      <w:tblStyleRowBandSize w:val="1"/>
      <w:tblStyleColBandSize w:val="1"/>
      <w:tblCellMar>
        <w:left w:w="115.0" w:type="dxa"/>
        <w:right w:w="115.0" w:type="dxa"/>
      </w:tblCellMar>
    </w:tblPr>
  </w:style>
  <w:style w:type="table" w:styleId="af1" w:customStyle="1">
    <w:basedOn w:val="TableNormal1"/>
    <w:pPr>
      <w:spacing w:after="200" w:line="276" w:lineRule="auto"/>
    </w:pPr>
    <w:tblPr>
      <w:tblStyleRowBandSize w:val="1"/>
      <w:tblStyleColBandSize w:val="1"/>
      <w:tblCellMar>
        <w:left w:w="115.0" w:type="dxa"/>
        <w:right w:w="115.0" w:type="dxa"/>
      </w:tblCellMar>
    </w:tblPr>
  </w:style>
  <w:style w:type="table" w:styleId="af2" w:customStyle="1">
    <w:basedOn w:val="TableNormal1"/>
    <w:pPr>
      <w:spacing w:after="200" w:line="276" w:lineRule="auto"/>
    </w:pPr>
    <w:tblPr>
      <w:tblStyleRowBandSize w:val="1"/>
      <w:tblStyleColBandSize w:val="1"/>
      <w:tblCellMar>
        <w:left w:w="115.0" w:type="dxa"/>
        <w:right w:w="115.0" w:type="dxa"/>
      </w:tblCellMar>
    </w:tblPr>
  </w:style>
  <w:style w:type="table" w:styleId="af3" w:customStyle="1">
    <w:basedOn w:val="TableNormal1"/>
    <w:pPr>
      <w:spacing w:after="200" w:line="276" w:lineRule="auto"/>
    </w:pPr>
    <w:tblPr>
      <w:tblStyleRowBandSize w:val="1"/>
      <w:tblStyleColBandSize w:val="1"/>
      <w:tblCellMar>
        <w:left w:w="115.0" w:type="dxa"/>
        <w:right w:w="115.0" w:type="dxa"/>
      </w:tblCellMar>
    </w:tblPr>
  </w:style>
  <w:style w:type="table" w:styleId="af4" w:customStyle="1">
    <w:basedOn w:val="TableNormal1"/>
    <w:pPr>
      <w:spacing w:after="200" w:line="276" w:lineRule="auto"/>
    </w:pPr>
    <w:tblPr>
      <w:tblStyleRowBandSize w:val="1"/>
      <w:tblStyleColBandSize w:val="1"/>
      <w:tblCellMar>
        <w:left w:w="115.0" w:type="dxa"/>
        <w:right w:w="115.0" w:type="dxa"/>
      </w:tblCellMar>
    </w:tblPr>
  </w:style>
  <w:style w:type="table" w:styleId="af5" w:customStyle="1">
    <w:basedOn w:val="TableNormal1"/>
    <w:pPr>
      <w:spacing w:after="200" w:line="276" w:lineRule="auto"/>
    </w:pPr>
    <w:tblPr>
      <w:tblStyleRowBandSize w:val="1"/>
      <w:tblStyleColBandSize w:val="1"/>
      <w:tblCellMar>
        <w:left w:w="115.0" w:type="dxa"/>
        <w:right w:w="115.0" w:type="dxa"/>
      </w:tblCellMar>
    </w:tblPr>
  </w:style>
  <w:style w:type="table" w:styleId="af6" w:customStyle="1">
    <w:basedOn w:val="TableNormal1"/>
    <w:pPr>
      <w:spacing w:after="200" w:line="276" w:lineRule="auto"/>
    </w:pPr>
    <w:tblPr>
      <w:tblStyleRowBandSize w:val="1"/>
      <w:tblStyleColBandSize w:val="1"/>
      <w:tblCellMar>
        <w:left w:w="115.0" w:type="dxa"/>
        <w:right w:w="115.0" w:type="dxa"/>
      </w:tblCellMar>
    </w:tblPr>
  </w:style>
  <w:style w:type="table" w:styleId="af7" w:customStyle="1">
    <w:basedOn w:val="TableNormal1"/>
    <w:pPr>
      <w:spacing w:after="200" w:line="276" w:lineRule="auto"/>
    </w:pPr>
    <w:tblPr>
      <w:tblStyleRowBandSize w:val="1"/>
      <w:tblStyleColBandSize w:val="1"/>
      <w:tblCellMar>
        <w:left w:w="115.0" w:type="dxa"/>
        <w:right w:w="115.0" w:type="dxa"/>
      </w:tblCellMar>
    </w:tblPr>
  </w:style>
  <w:style w:type="table" w:styleId="af8" w:customStyle="1">
    <w:basedOn w:val="TableNormal1"/>
    <w:pPr>
      <w:spacing w:after="200" w:line="276" w:lineRule="auto"/>
    </w:pPr>
    <w:tblPr>
      <w:tblStyleRowBandSize w:val="1"/>
      <w:tblStyleColBandSize w:val="1"/>
      <w:tblCellMar>
        <w:left w:w="115.0" w:type="dxa"/>
        <w:right w:w="115.0" w:type="dxa"/>
      </w:tblCellMar>
    </w:tblPr>
  </w:style>
  <w:style w:type="table" w:styleId="af9" w:customStyle="1">
    <w:basedOn w:val="TableNormal1"/>
    <w:pPr>
      <w:spacing w:after="200" w:line="276" w:lineRule="auto"/>
    </w:pPr>
    <w:tblPr>
      <w:tblStyleRowBandSize w:val="1"/>
      <w:tblStyleColBandSize w:val="1"/>
      <w:tblCellMar>
        <w:left w:w="115.0" w:type="dxa"/>
        <w:right w:w="115.0" w:type="dxa"/>
      </w:tblCellMar>
    </w:tblPr>
  </w:style>
  <w:style w:type="table" w:styleId="afa" w:customStyle="1">
    <w:basedOn w:val="TableNormal1"/>
    <w:pPr>
      <w:spacing w:after="200" w:line="276" w:lineRule="auto"/>
    </w:pPr>
    <w:tblPr>
      <w:tblStyleRowBandSize w:val="1"/>
      <w:tblStyleColBandSize w:val="1"/>
      <w:tblCellMar>
        <w:left w:w="115.0" w:type="dxa"/>
        <w:right w:w="115.0" w:type="dxa"/>
      </w:tblCellMar>
    </w:tblPr>
  </w:style>
  <w:style w:type="table" w:styleId="afb" w:customStyle="1">
    <w:basedOn w:val="TableNormal1"/>
    <w:pPr>
      <w:spacing w:after="200" w:line="276" w:lineRule="auto"/>
    </w:pPr>
    <w:tblPr>
      <w:tblStyleRowBandSize w:val="1"/>
      <w:tblStyleColBandSize w:val="1"/>
      <w:tblCellMar>
        <w:left w:w="115.0" w:type="dxa"/>
        <w:right w:w="115.0" w:type="dxa"/>
      </w:tblCellMar>
    </w:tblPr>
  </w:style>
  <w:style w:type="table" w:styleId="afc" w:customStyle="1">
    <w:basedOn w:val="TableNormal0"/>
    <w:pPr>
      <w:spacing w:after="200" w:line="276" w:lineRule="auto"/>
    </w:pPr>
    <w:tblPr>
      <w:tblStyleRowBandSize w:val="1"/>
      <w:tblStyleColBandSize w:val="1"/>
      <w:tblCellMar>
        <w:left w:w="115.0" w:type="dxa"/>
        <w:right w:w="115.0" w:type="dxa"/>
      </w:tblCellMar>
    </w:tblPr>
  </w:style>
  <w:style w:type="table" w:styleId="Tab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3">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3">
    <w:basedOn w:val="TableNormal"/>
    <w:pPr>
      <w:spacing w:after="0" w:line="240" w:lineRule="auto"/>
    </w:pPr>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276"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Pr>
  </w:style>
  <w:style w:type="table" w:styleId="Table2">
    <w:basedOn w:val="TableNormal"/>
    <w:pPr>
      <w:spacing w:after="0" w:line="240" w:lineRule="auto"/>
    </w:pPr>
    <w:tblPr>
      <w:tblStyleRowBandSize w:val="1"/>
      <w:tblStyleColBandSize w:val="1"/>
    </w:tblPr>
  </w:style>
  <w:style w:type="table" w:styleId="Table3">
    <w:basedOn w:val="TableNormal"/>
    <w:pPr>
      <w:spacing w:after="0" w:line="240" w:lineRule="auto"/>
    </w:pPr>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eader" Target="header1.xm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w5dw1QSI/i29Qs1daC0zIXir+w==">CgMxLjAaHwoBMBIaChgICVIUChJ0YWJsZS5tMnhuaDZjeHhxengyDmguYmprc2Jkc3czZzZxOAByITEtbWU3aFZTejNhSGJBVGdwY3VqeXBrVWxXM2lHdXdRTQ==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2021-09-28T12:14:00Z</dcterms:created>
  <dc:creator>Francisco José Dias Junior</dc:creator>
</cp:coreProperties>
</file>