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200"/>
        <w:jc w:val="left"/>
        <w:rPr/>
      </w:pPr>
      <w:r>
        <w:rPr/>
        <w:t>Análise dos materiais recebidos</w:t>
      </w:r>
    </w:p>
    <w:p>
      <w:pPr>
        <w:pStyle w:val="Blocodecitao"/>
        <w:bidi w:val="0"/>
        <w:jc w:val="left"/>
        <w:rPr/>
      </w:pPr>
      <w:r>
        <w:rPr/>
        <w:t xml:space="preserve">Verificação documental executada antes do início da produção. Registra o que foi recebido, o que está íntegro, o que </w:t>
      </w:r>
      <w:r>
        <w:rPr>
          <w:rStyle w:val="Strong"/>
        </w:rPr>
        <w:t>não</w:t>
      </w:r>
      <w:r>
        <w:rPr/>
        <w:t xml:space="preserve"> foi recebido e quais decisões precisaram ser tomadas na ausência de instrução formal. Toda decisão adotada aqui é provisória até ratificação da coordenação.</w:t>
      </w:r>
    </w:p>
    <w:p>
      <w:pPr>
        <w:pStyle w:val="Heading2"/>
        <w:bidi w:val="0"/>
        <w:jc w:val="left"/>
        <w:rPr/>
      </w:pPr>
      <w:r>
        <w:rPr/>
        <w:t>1. Inventário e integridade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4"/>
        <w:gridCol w:w="1865"/>
        <w:gridCol w:w="1104"/>
        <w:gridCol w:w="1972"/>
        <w:gridCol w:w="1676"/>
      </w:tblGrid>
      <w:tr>
        <w:trPr>
          <w:tblHeader w:val="true"/>
        </w:trPr>
        <w:tc>
          <w:tcPr>
            <w:tcW w:w="2454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Arquivo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Tipo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Tamanho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SHA-256 (prefixo)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Integridade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MODEL_BASED_DESIGN_FOR_CYBER_PHYSICAL_SYSTEMS.docx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Ementa oficial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169.117 bytes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be6eadc932d2ee9b…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Íntegro — ZIP OOXML válido, 13 partes, sem erro de CRC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orientacoes_gravacao_EAD.pdf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Diretrizes de gravação do Núcleo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152.594 bytes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049dcf383862cdbc…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Íntegro — 2 páginas A4, PDF marcado (</w:t>
            </w:r>
            <w:r>
              <w:rPr>
                <w:rStyle w:val="Emphasis"/>
              </w:rPr>
              <w:t>tagged</w:t>
            </w:r>
            <w:r>
              <w:rPr/>
              <w:t>), sem criptografia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direcionamentos.md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E-mail de encaminhamento transcrito</w:t>
            </w:r>
          </w:p>
        </w:tc>
        <w:tc>
          <w:tcPr>
            <w:tcW w:w="11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1.055 bytes</w:t>
            </w:r>
          </w:p>
        </w:tc>
        <w:tc>
          <w:tcPr>
            <w:tcW w:w="19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18348094144ed950…</w:t>
            </w:r>
          </w:p>
        </w:tc>
        <w:tc>
          <w:tcPr>
            <w:tcW w:w="16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Íntegro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Detalhes da ementa (DOCX).</w:t>
      </w:r>
      <w:r>
        <w:rPr/>
        <w:t xml:space="preserve"> 63 parágrafos, nenhuma tabela, nenhuma imagem no corpo do documento; duas imagens (</w:t>
      </w:r>
      <w:r>
        <w:rPr>
          <w:rStyle w:val="Cdigo-fonte"/>
        </w:rPr>
        <w:t>image1.png</w:t>
      </w:r>
      <w:r>
        <w:rPr/>
        <w:t xml:space="preserve">, </w:t>
      </w:r>
      <w:r>
        <w:rPr>
          <w:rStyle w:val="Cdigo-fonte"/>
        </w:rPr>
        <w:t>image2.png</w:t>
      </w:r>
      <w:r>
        <w:rPr/>
        <w:t xml:space="preserve">) referenciadas apenas pelo cabeçalho, correspondentes à identidade institucional. O cabeçalho carrega um identificador numérico institucional. O documento </w:t>
      </w:r>
      <w:r>
        <w:rPr>
          <w:rStyle w:val="Strong"/>
        </w:rPr>
        <w:t>não</w:t>
      </w:r>
      <w:r>
        <w:rPr/>
        <w:t xml:space="preserve"> contém instruções internas de preenchimento, caixas de exemplo nem marcadores de gabarito — ou seja, é uma ementa acabada, não um modelo a preencher.</w:t>
      </w:r>
    </w:p>
    <w:p>
      <w:pPr>
        <w:pStyle w:val="BodyText"/>
        <w:bidi w:val="0"/>
        <w:jc w:val="left"/>
        <w:rPr/>
      </w:pPr>
      <w:r>
        <w:rPr>
          <w:rStyle w:val="Strong"/>
        </w:rPr>
        <w:t>Detalhes das diretrizes (PDF).</w:t>
      </w:r>
      <w:r>
        <w:rPr/>
        <w:t xml:space="preserve"> Produzido em Microsoft Word LTSC, criado e modificado em 21 de maio de 2026, duas páginas, conteúdo textual integralmente extraível.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Conclusão da verificação de integridade:</w:t>
      </w:r>
      <w:r>
        <w:rPr/>
        <w:t xml:space="preserve"> os três documentos recebidos estão corretos, legíveis e consistentes entre si. Nenhum arquivo corrompido, truncado ou protegido.</w:t>
      </w:r>
    </w:p>
    <w:p>
      <w:pPr>
        <w:pStyle w:val="Heading2"/>
        <w:bidi w:val="0"/>
        <w:jc w:val="left"/>
        <w:rPr/>
      </w:pPr>
      <w:r>
        <w:rPr/>
        <w:t>2. O que a ementa oficial efetivamente determina</w:t>
      </w:r>
    </w:p>
    <w:p>
      <w:pPr>
        <w:pStyle w:val="BodyText"/>
        <w:bidi w:val="0"/>
        <w:jc w:val="left"/>
        <w:rPr/>
      </w:pPr>
      <w:r>
        <w:rPr/>
        <w:t>A ementa fixa, de forma clara e sem ambiguidade: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ementa descritiva da disciplina;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objetivo geral e cinco objetivos específicos;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uma competência central, seis habilidades e cinco atitudes;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um roteiro de aprendizagem em </w:t>
      </w:r>
      <w:r>
        <w:rPr>
          <w:rStyle w:val="Strong"/>
        </w:rPr>
        <w:t>quatro blocos temáticos</w:t>
      </w:r>
      <w:r>
        <w:rPr/>
        <w:t xml:space="preserve">, cada um com </w:t>
      </w:r>
      <w:r>
        <w:rPr>
          <w:rStyle w:val="Strong"/>
        </w:rPr>
        <w:t>quatro tópicos</w:t>
      </w:r>
      <w:r>
        <w:rPr/>
        <w:t xml:space="preserve">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cinco tecnologias sugeridas;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três referências básicas e cinco complementares. </w:t>
      </w:r>
    </w:p>
    <w:p>
      <w:pPr>
        <w:pStyle w:val="Heading2"/>
        <w:bidi w:val="0"/>
        <w:jc w:val="left"/>
        <w:rPr/>
      </w:pPr>
      <w:r>
        <w:rPr/>
        <w:t xml:space="preserve">3. O que </w:t>
      </w:r>
      <w:r>
        <w:rPr>
          <w:rStyle w:val="Strong"/>
          <w:b/>
          <w:bCs/>
        </w:rPr>
        <w:t>não</w:t>
      </w:r>
      <w:r>
        <w:rPr/>
        <w:t xml:space="preserve"> foi recebido — lacunas documentais</w:t>
      </w:r>
    </w:p>
    <w:p>
      <w:pPr>
        <w:pStyle w:val="BodyText"/>
        <w:bidi w:val="0"/>
        <w:jc w:val="left"/>
        <w:rPr/>
      </w:pPr>
      <w:r>
        <w:rPr/>
        <w:t xml:space="preserve">Esta é a diferença mais relevante em relação à disciplina irmã </w:t>
      </w:r>
      <w:r>
        <w:rPr>
          <w:rStyle w:val="Cdigo-fonte"/>
        </w:rPr>
        <w:t>distributed_systems_engineering</w:t>
      </w:r>
      <w:r>
        <w:rPr/>
        <w:t xml:space="preserve">, que recebeu 34 arquivos institucionais. Aqui </w:t>
      </w:r>
      <w:r>
        <w:rPr>
          <w:rStyle w:val="Strong"/>
        </w:rPr>
        <w:t>não foram fornecidos</w:t>
      </w:r>
      <w:r>
        <w:rPr/>
        <w:t>: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8"/>
        <w:gridCol w:w="2234"/>
        <w:gridCol w:w="4729"/>
      </w:tblGrid>
      <w:tr>
        <w:trPr>
          <w:tblHeader w:val="true"/>
        </w:trPr>
        <w:tc>
          <w:tcPr>
            <w:tcW w:w="2108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 ausente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Consequência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Decisão adotada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Modelo (TEMPLATE) de unidade em DOCX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há caixas institucionais a preencher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Resolvido:</w:t>
            </w:r>
            <w:r>
              <w:rPr/>
              <w:t xml:space="preserve"> localizados os modelos oficiais do Núcleo em </w:t>
            </w:r>
            <w:r>
              <w:rPr>
                <w:rStyle w:val="Cdigo-fonte"/>
              </w:rPr>
              <w:t>data_engineering_and_pipelines/tools/_templates_pristine/</w:t>
            </w:r>
            <w:r>
              <w:rPr/>
              <w:t xml:space="preserve"> e adotados (ver seção 3.1)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Modelo de questionário por unidade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Quantidade e tipologia das questões não informadas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Resolvido:</w:t>
            </w:r>
            <w:r>
              <w:rPr/>
              <w:t xml:space="preserve"> o modelo oficial determina 40 questões; adotadas 40 por unidade (20 asserção-razão + 20 interpretação)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Modelo de avaliação final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Formato não informado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Resolvido:</w:t>
            </w:r>
            <w:r>
              <w:rPr/>
              <w:t xml:space="preserve"> adotado o modelo oficial "Avaliação final (10 discursivas)", que coincide com o formato desta disciplina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Modelo de entrega de trabalho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Formato do PBL não informado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Resolvido:</w:t>
            </w:r>
            <w:r>
              <w:rPr/>
              <w:t xml:space="preserve"> adotado o modelo oficial "TEMPLATE ENTREGA DE TRABALHO", com as caixas TÍTULO, DESAFIO, FONTE DE PESQUISA, ENTREGÁVEL e SOLUÇÃO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Modelo de slides (PPTX)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Padrão visual dos decks não informado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Adotado o deck HTML autocontido do repositório, com identidade UniFECAF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Guia "Como Fazer um Bom Vídeo"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recebido nesta disciplina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Usadas as diretrizes do PDF do Núcleo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Fichas de validação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recebidas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produzidas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Número de unidades e de videoaulas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Não informado em nenhum documento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Inferido: 4 unidades × 4 videoaulas = 16, a partir dos quatro blocos de quatro tópicos do roteiro de aprendizagem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Carga horária da disciplina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informada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declarada no material</w:t>
            </w:r>
          </w:p>
        </w:tc>
      </w:tr>
      <w:tr>
        <w:trPr/>
        <w:tc>
          <w:tcPr>
            <w:tcW w:w="21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Prazo de entrega</w:t>
            </w:r>
          </w:p>
        </w:tc>
        <w:tc>
          <w:tcPr>
            <w:tcW w:w="223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informado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 confirmar com a coordenação; ver </w:t>
            </w:r>
            <w:r>
              <w:rPr>
                <w:rStyle w:val="Cdigo-fonte"/>
              </w:rPr>
              <w:t>CRONOGRAMA.md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3.1 Modelos institucionais localizados e adotados</w:t>
      </w:r>
    </w:p>
    <w:p>
      <w:pPr>
        <w:pStyle w:val="BodyText"/>
        <w:bidi w:val="0"/>
        <w:jc w:val="left"/>
        <w:rPr/>
      </w:pPr>
      <w:r>
        <w:rPr/>
        <w:t xml:space="preserve">Os modelos oficiais </w:t>
      </w:r>
      <w:r>
        <w:rPr>
          <w:rStyle w:val="Strong"/>
        </w:rPr>
        <w:t>não vieram no pacote desta disciplina</w:t>
      </w:r>
      <w:r>
        <w:rPr/>
        <w:t xml:space="preserve">, mas foram localizados no próprio repositório, preservados em </w:t>
      </w:r>
      <w:r>
        <w:rPr>
          <w:rStyle w:val="Cdigo-fonte"/>
        </w:rPr>
        <w:t>disciplinas/data_engineering_and_pipelines/tools/_templates_pristine/</w:t>
      </w:r>
      <w:r>
        <w:rPr/>
        <w:t>. São da mesma variante e do mesmo Núcleo das Engenharias e Tecnologia, e o conjunto está completo: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Cdigo-fonte"/>
        </w:rPr>
        <w:t>TEMPLATE - Unidade 1</w:t>
      </w:r>
      <w:r>
        <w:rPr/>
        <w:t xml:space="preserve"> a </w:t>
      </w:r>
      <w:r>
        <w:rPr>
          <w:rStyle w:val="Cdigo-fonte"/>
        </w:rPr>
        <w:t>Unidade 4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Cdigo-fonte"/>
        </w:rPr>
        <w:t>40 Questões - UNI1</w:t>
      </w:r>
      <w:r>
        <w:rPr/>
        <w:t xml:space="preserve"> a </w:t>
      </w:r>
      <w:r>
        <w:rPr>
          <w:rStyle w:val="Cdigo-fonte"/>
        </w:rPr>
        <w:t>UNI4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Cdigo-fonte"/>
        </w:rPr>
        <w:t>Avaliação final_(10 discursivas)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"/>
        </w:rPr>
        <w:t>TEMPLATE ENTREGA DE TRABALHO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A coincidência decisiva é a avaliação final de </w:t>
      </w:r>
      <w:r>
        <w:rPr>
          <w:rStyle w:val="Strong"/>
        </w:rPr>
        <w:t>10 discursivas</w:t>
      </w:r>
      <w:r>
        <w:rPr/>
        <w:t>, que é exatamente o formato desta disciplina — confirmando que se trata da variante correta, e não do modelo genérico do Átomo 3.0, cuja avaliação tem 30 objetivas mais 10 discursivas.</w:t>
      </w:r>
    </w:p>
    <w:p>
      <w:pPr>
        <w:pStyle w:val="BodyText"/>
        <w:bidi w:val="0"/>
        <w:jc w:val="left"/>
        <w:rPr/>
      </w:pPr>
      <w:r>
        <w:rPr/>
        <w:t xml:space="preserve">Os dez modelos foram copiados para </w:t>
      </w:r>
      <w:r>
        <w:rPr>
          <w:rStyle w:val="Cdigo-fonte"/>
        </w:rPr>
        <w:t>tools/_templates_pristine/</w:t>
      </w:r>
      <w:r>
        <w:rPr/>
        <w:t>, renomeados para esta disciplina, e são a base de toda a entrega. Os scripts sempre partem dessas cópias pristinas, de modo que a geração é repetível e não acumula resíduo.</w:t>
      </w:r>
    </w:p>
    <w:p>
      <w:pPr>
        <w:pStyle w:val="BodyText"/>
        <w:bidi w:val="0"/>
        <w:jc w:val="left"/>
        <w:rPr/>
      </w:pPr>
      <w:r>
        <w:rPr/>
        <w:t xml:space="preserve">Uma observação sobre a numeração das caixas: os modelos usam a </w:t>
      </w:r>
      <w:r>
        <w:rPr>
          <w:rStyle w:val="Strong"/>
        </w:rPr>
        <w:t>numeração contínua da disciplina</w:t>
      </w:r>
      <w:r>
        <w:rPr/>
        <w:t>. O modelo da Unidade 3, por exemplo, traz "TEXTO BASE AULA 9" a "AULA 12" e "ROTEIRO VIDEOAULA 9" a "12", não 1 a 4. As caixas de relação profissional e de AAI existem apenas em algumas unidades — o que é coerente com o contrato desta disciplina, que concentra a AAI na Unidade 1.</w:t>
      </w:r>
    </w:p>
    <w:p>
      <w:pPr>
        <w:pStyle w:val="BodyText"/>
        <w:bidi w:val="0"/>
        <w:jc w:val="left"/>
        <w:rPr/>
      </w:pPr>
      <w:r>
        <w:rPr>
          <w:rStyle w:val="Strong"/>
        </w:rPr>
        <w:t>Pendência de coordenação remanescente:</w:t>
      </w:r>
      <w:r>
        <w:rPr/>
        <w:t xml:space="preserve"> confirmar que o reaproveitamento dos modelos da disciplina irmã é aceito, ou fornecer o pacote específico desta disciplina, caso exista.</w:t>
      </w:r>
    </w:p>
    <w:p>
      <w:pPr>
        <w:pStyle w:val="BodyText"/>
        <w:bidi w:val="0"/>
        <w:jc w:val="left"/>
        <w:rPr/>
      </w:pPr>
      <w:r>
        <w:rPr>
          <w:rStyle w:val="Strong"/>
        </w:rPr>
        <w:t>Ponto que exige ratificação formal:</w:t>
      </w:r>
      <w:r>
        <w:rPr/>
        <w:t xml:space="preserve"> a divisão em 4 unidades e 16 videoaulas é uma </w:t>
      </w:r>
      <w:r>
        <w:rPr>
          <w:rStyle w:val="Strong"/>
        </w:rPr>
        <w:t>inferência do conteudista</w:t>
      </w:r>
      <w:r>
        <w:rPr/>
        <w:t>, ancorada na estrutura de quatro blocos da própria ementa e na prática das demais disciplinas do Núcleo. Ela não consta de nenhum documento recebido.</w:t>
      </w:r>
    </w:p>
    <w:p>
      <w:pPr>
        <w:pStyle w:val="Heading2"/>
        <w:bidi w:val="0"/>
        <w:jc w:val="left"/>
        <w:rPr/>
      </w:pPr>
      <w:r>
        <w:rPr/>
        <w:t>4. Conflitos identificados entre os documentos</w:t>
      </w:r>
    </w:p>
    <w:p>
      <w:pPr>
        <w:pStyle w:val="Heading3"/>
        <w:bidi w:val="0"/>
        <w:jc w:val="left"/>
        <w:rPr/>
      </w:pPr>
      <w:r>
        <w:rPr/>
        <w:t>4.1 Duração das videoaulas — 12 a 18 minutos contra 20 minutos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e-mail de encaminhamento informa "tempo mínimo de cada vídeo: 12-18 min, porém caso esteja com aplicação prática pode exceder esse tempo, sem problemas".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determinação posterior do responsável pelo projeto fixa </w:t>
      </w:r>
      <w:r>
        <w:rPr>
          <w:rStyle w:val="Strong"/>
        </w:rPr>
        <w:t>20 minutos</w:t>
      </w:r>
      <w:r>
        <w:rPr/>
        <w:t xml:space="preserve"> por videoaula. </w:t>
      </w:r>
    </w:p>
    <w:p>
      <w:pPr>
        <w:pStyle w:val="BodyText"/>
        <w:bidi w:val="0"/>
        <w:jc w:val="left"/>
        <w:rPr/>
      </w:pPr>
      <w:r>
        <w:rPr>
          <w:rStyle w:val="Strong"/>
        </w:rPr>
        <w:t>Resolução adotada:</w:t>
      </w:r>
      <w:r>
        <w:rPr/>
        <w:t xml:space="preserve"> 20 minutos, com narração dimensionada em 2.200 a 2.700 palavras faladas por aula. O e-mail autoriza explicitamente exceder a faixa quando houver aplicação prática, o que é o caso de todas as 16 aulas desta disciplina. Não há conflito real, e sim uma faixa mínima ampliada por autorização expressa.</w:t>
      </w:r>
    </w:p>
    <w:p>
      <w:pPr>
        <w:pStyle w:val="Heading3"/>
        <w:bidi w:val="0"/>
        <w:jc w:val="left"/>
        <w:rPr/>
      </w:pPr>
      <w:r>
        <w:rPr/>
        <w:t>4.2 Ferramentas proprietárias da ementa contra a exigência de prática reproduzível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ementa sugere MATLAB, Simulink, Stateflow e o Simulink Support Package for Arduino — todos proprietários e sob licença acadêmica que não acompanha o egresso.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 diretrizes do Núcleo exigem que o aluno "veja tela, código, arquitetura, ferramenta, processo, configuração, análise, erro, correção e solução funcionando", em conteúdo "conectado ao mercado atual (2026)", e </w:t>
      </w:r>
      <w:r>
        <w:rPr>
          <w:rStyle w:val="Strong"/>
        </w:rPr>
        <w:t>convidam expressamente o professor a analisar criticamente a ementa e propor ajustes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Resolução adotada:</w:t>
      </w:r>
      <w:r>
        <w:rPr/>
        <w:t xml:space="preserve"> substituição da espinha dorsal ferramental por uma pilha aberta em Python, mantendo </w:t>
      </w:r>
      <w:r>
        <w:rPr>
          <w:rStyle w:val="Strong"/>
        </w:rPr>
        <w:t>integralmente</w:t>
      </w:r>
      <w:r>
        <w:rPr/>
        <w:t xml:space="preserve"> os conteúdos, objetivos, competências e habilidades da ementa. A tabela de correspondência ferramental item a item está em </w:t>
      </w:r>
      <w:r>
        <w:rPr>
          <w:rStyle w:val="Cdigo-fonte"/>
        </w:rPr>
        <w:t>PLANO_APRENDIZAGEM_PROPOSTO.md</w:t>
      </w:r>
      <w:r>
        <w:rPr/>
        <w:t>, seção "Adequações propostas à ementa oficial". OpenModelica e UPPAAL, já presentes na ementa, permanecem. Nenhum tópico foi suprimido; três acréscimos foram feitos (FMI 3.0, integração contínua e aritmética em ponto fixo), todos justificados pela exigência de atualidade de mercado.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Esta é a decisão de maior impacto do projeto e requer ratificação explícita da coordenação.</w:t>
      </w:r>
    </w:p>
    <w:p>
      <w:pPr>
        <w:pStyle w:val="Heading3"/>
        <w:bidi w:val="0"/>
        <w:jc w:val="left"/>
        <w:rPr/>
      </w:pPr>
      <w:r>
        <w:rPr/>
        <w:t>4.3 Adequação de uma referência básica</w:t>
      </w:r>
    </w:p>
    <w:p>
      <w:pPr>
        <w:pStyle w:val="BodyText"/>
        <w:bidi w:val="0"/>
        <w:jc w:val="left"/>
        <w:rPr/>
      </w:pPr>
      <w:r>
        <w:rPr/>
        <w:t xml:space="preserve">A terceira referência básica — TANENBAUM; BOS, </w:t>
      </w:r>
      <w:r>
        <w:rPr>
          <w:rStyle w:val="Emphasis"/>
        </w:rPr>
        <w:t>Sistemas operacionais modernos</w:t>
      </w:r>
      <w:r>
        <w:rPr/>
        <w:t xml:space="preserve"> — não trata de design baseado em modelos nem de controle. Ela é, porém, pertinente ao subconjunto de escalonamento, tempo real e jitter da Unidade 4.</w:t>
      </w:r>
    </w:p>
    <w:p>
      <w:pPr>
        <w:pStyle w:val="BodyText"/>
        <w:bidi w:val="0"/>
        <w:jc w:val="left"/>
        <w:rPr/>
      </w:pPr>
      <w:r>
        <w:rPr>
          <w:rStyle w:val="Strong"/>
        </w:rPr>
        <w:t>Resolução adotada:</w:t>
      </w:r>
      <w:r>
        <w:rPr/>
        <w:t xml:space="preserve"> a referência é mantida e utilizada especificamente na Aula 15 (tempo real, jitter e watchdog), que é onde ela de fato se aplica. Foram propostas quatro referências complementares adicionais, mais próximas do núcleo da disciplina, listadas no plano de aprendizagem.</w:t>
      </w:r>
    </w:p>
    <w:p>
      <w:pPr>
        <w:pStyle w:val="Heading3"/>
        <w:bidi w:val="0"/>
        <w:jc w:val="left"/>
        <w:rPr/>
      </w:pPr>
      <w:r>
        <w:rPr/>
        <w:t>4.4 Ausência de definição sobre gravação em estúdio</w:t>
      </w:r>
    </w:p>
    <w:p>
      <w:pPr>
        <w:pStyle w:val="BodyText"/>
        <w:bidi w:val="0"/>
        <w:jc w:val="left"/>
        <w:rPr/>
      </w:pPr>
      <w:r>
        <w:rPr/>
        <w:t xml:space="preserve">O e-mail veda a gravação nos estúdios da UniFECAF e determina captura por OBS Studio, Loom ou similar, com tela e câmera. Isso é consistente com o desenho hands-on adotado e não gera conflito; apenas condiciona todo o material a ter laboratório executável, o que foi atendido por </w:t>
      </w:r>
      <w:r>
        <w:rPr>
          <w:rStyle w:val="Cdigo-fonte"/>
        </w:rPr>
        <w:t>projeto_nexabot/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5. Verificação da viabilidade técnica da pilha proposta</w:t>
      </w:r>
    </w:p>
    <w:p>
      <w:pPr>
        <w:pStyle w:val="BodyText"/>
        <w:bidi w:val="0"/>
        <w:jc w:val="left"/>
        <w:rPr/>
      </w:pPr>
      <w:r>
        <w:rPr/>
        <w:t>Antes de escrever qualquer roteiro, a pilha foi instalada e exercitada, e os números do fio condutor foram conferidos por execução: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99"/>
        <w:gridCol w:w="4872"/>
      </w:tblGrid>
      <w:tr>
        <w:trPr>
          <w:tblHeader w:val="true"/>
        </w:trPr>
        <w:tc>
          <w:tcPr>
            <w:tcW w:w="4199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Verificação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Criação de ambiente com </w:t>
            </w:r>
            <w:r>
              <w:rPr>
                <w:rStyle w:val="Cdigo-fonte"/>
              </w:rPr>
              <w:t>uv</w:t>
            </w:r>
            <w:r>
              <w:rPr/>
              <w:t xml:space="preserve"> e instalação da pilha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Concluída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python-control</w:t>
            </w:r>
            <w:r>
              <w:rPr/>
              <w:t xml:space="preserve"> 0.10.2, NumPy 2.5.2, SciPy 1.18.1, Matplotlib 3.11.1, SymPy 1.14.0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Importados e exercitados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Matrizes de estado do NexaBot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 = [[-342,857, -12,857], [180,0, -0,32]]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Polos contínuos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-335,96 e -7,215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Constantes de tempo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Modais exatas: 2,9765 ms e 138,598 ms; aproximações desacopladas: L/R=2,9167 ms e JR/(KₜKₑ)=148,148 ms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Ganho estático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21,2164 rad/(s V)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Tensão de regime para 1,0 m/s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18,85 V (de 24 V disponíveis)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Controlabilidade e observabilidade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Posto 2 em ambas as matrizes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Simulação de degrau a 18,85 V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399,63 rad/s em 1 s, equivalente a 0,999 m/s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Compilador C (gcc) para geração de código e SIL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Disponível</w:t>
            </w:r>
          </w:p>
        </w:tc>
      </w:tr>
      <w:tr>
        <w:trPr/>
        <w:tc>
          <w:tcPr>
            <w:tcW w:w="41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FMUs de referência FMI 3.0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Acessíveis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Nenhum número citado no material didático é estimado: todos são reproduzíveis pelos scripts de </w:t>
      </w:r>
      <w:r>
        <w:rPr>
          <w:rStyle w:val="Cdigo-fonte"/>
        </w:rPr>
        <w:t>projeto_nexabot/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6. Pendências para a coordenação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Ratificar a divisão em 4 unidades e 16 videoaulas de 20 minutos.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Ratificar a substituição ferramental por pilha aberta em Python, mantidos os conteúdos da ementa.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Fornecer, se existirem, os modelos institucionais DOCX de unidade, questionário, avaliação final, entrega de trabalho e slides — ou confirmar que a estrutura adotada da variante TECH do Átomo 3.0 é aceita.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Confirmar que o reaproveitamento dos modelos oficiais da disciplina irmã do mesmo Núcleo é aceito (ver seção 3.1), ou fornecer o pacote específico desta disciplina.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Confirmar o formato da avaliação final (10 dissertativas).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Informar carga horária e prazo de entrega.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Confirmar o padrão de slides. </w:t>
      </w:r>
    </w:p>
    <w:p>
      <w:pPr>
        <w:pStyle w:val="Corpodetextorodape"/>
        <w:bidi w:val="0"/>
        <w:spacing w:before="360" w:after="120"/>
        <w:jc w:val="left"/>
        <w:rPr/>
      </w:pPr>
      <w:r>
        <w:rPr/>
        <w:t xml:space="preserve">Model-Based Design for Cyber-Physical Systems — Professor-conteudista: Afonso Cesar Lelis Brandão. Documento gerado automaticamente a partir de </w:t>
      </w:r>
      <w:r>
        <w:rPr>
          <w:rStyle w:val="Cdigo-fonte"/>
        </w:rPr>
        <w:t>ANALISE_MATERIAIS_RECEBIDOS.md</w:t>
      </w:r>
      <w:r>
        <w:rPr/>
        <w:t>.</w:t>
      </w:r>
    </w:p>
    <w:sectPr>
      <w:type w:val="nextPage"/>
      <w:pgSz w:w="11906" w:h="16838"/>
      <w:pgMar w:left="1701" w:right="1134" w:gutter="0" w:header="0" w:top="141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  <w:jc w:val="left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  <w:outlineLvl w:val="0"/>
    </w:pPr>
    <w:rPr>
      <w:rFonts w:ascii="Times New Roman;Times;serif" w:hAnsi="Times New Roman;Times;serif" w:eastAsia="Times New Roman;Times;serif" w:cs="Times New Roman;Times;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80" w:after="120"/>
      <w:ind w:left="280" w:right="280"/>
      <w:outlineLvl w:val="2"/>
    </w:pPr>
    <w:rPr>
      <w:rFonts w:ascii="Liberation Serif" w:hAnsi="Liberation Serif" w:eastAsia="Noto Serif CJK SC" w:cs="FreeSans"/>
      <w:b/>
      <w:bCs/>
      <w:sz w:val="24"/>
      <w:szCs w:val="24"/>
    </w:rPr>
  </w:style>
  <w:style w:type="paragraph" w:styleId="Heading4">
    <w:name w:val="Heading 4"/>
    <w:basedOn w:val="Ttulo"/>
    <w:next w:val="BodyText"/>
    <w:qFormat/>
    <w:pPr>
      <w:spacing w:before="240" w:after="120"/>
      <w:ind w:left="240" w:right="240"/>
      <w:outlineLvl w:val="3"/>
    </w:pPr>
    <w:rPr>
      <w:rFonts w:ascii="Liberation Serif" w:hAnsi="Liberation Serif" w:eastAsia="Noto Serif CJK SC" w:cs="FreeSans"/>
      <w:b/>
      <w:bCs/>
      <w:i/>
      <w:iCs/>
      <w:sz w:val="24"/>
      <w:szCs w:val="24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left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formatado">
    <w:name w:val="Texto préformatado"/>
    <w:basedOn w:val="Normal"/>
    <w:qFormat/>
    <w:pPr>
      <w:pBdr>
        <w:top w:val="single" w:sz="4" w:space="6" w:color="BBBBBB"/>
        <w:left w:val="single" w:sz="4" w:space="6" w:color="BBBBBB"/>
        <w:bottom w:val="single" w:sz="4" w:space="6" w:color="BBBBBB"/>
        <w:right w:val="single" w:sz="4" w:space="6" w:color="BBBBBB"/>
      </w:pBdr>
      <w:shd w:fill="F2F2F2" w:val="clear"/>
      <w:spacing w:lineRule="auto" w:line="252" w:before="120" w:after="160"/>
      <w:ind w:left="120" w:right="12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locodecitao">
    <w:name w:val="Bloco de citação"/>
    <w:basedOn w:val="Normal"/>
    <w:qFormat/>
    <w:pPr>
      <w:pBdr>
        <w:left w:val="single" w:sz="16" w:space="8" w:color="888888"/>
      </w:pBdr>
      <w:spacing w:before="120" w:after="160"/>
      <w:ind w:hanging="0" w:left="320" w:right="120"/>
    </w:pPr>
    <w:rPr>
      <w:sz w:val="22"/>
      <w:szCs w:val="22"/>
    </w:rPr>
  </w:style>
  <w:style w:type="paragraph" w:styleId="Contedodatabela">
    <w:name w:val="Conteúdo da tabela"/>
    <w:basedOn w:val="Normal"/>
    <w:qFormat/>
    <w:pPr>
      <w:widowControl w:val="false"/>
      <w:suppressLineNumbers/>
      <w:jc w:val="left"/>
    </w:pPr>
    <w:rPr/>
  </w:style>
  <w:style w:type="paragraph" w:styleId="Ttulodetabela">
    <w:name w:val="Título de tabela"/>
    <w:basedOn w:val="Contedodatabela"/>
    <w:qFormat/>
    <w:pPr>
      <w:suppressLineNumbers/>
      <w:shd w:fill="E8E8E8" w:val="clear"/>
      <w:jc w:val="left"/>
    </w:pPr>
    <w:rPr>
      <w:b/>
      <w:bCs/>
    </w:rPr>
  </w:style>
  <w:style w:type="paragraph" w:styleId="Corpodetextorodape">
    <w:name w:val="Corpo de texto.rodape"/>
    <w:basedOn w:val="BodyText"/>
    <w:qFormat/>
    <w:pPr>
      <w:pBdr>
        <w:top w:val="single" w:sz="4" w:space="6" w:color="AAAAAA"/>
      </w:pBdr>
      <w:spacing w:before="360" w:after="120"/>
    </w:pPr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00 - Analise dos Materiais Recebidos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