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00"/>
        <w:jc w:val="left"/>
        <w:rPr/>
      </w:pPr>
      <w:r>
        <w:rPr/>
        <w:t>Cronograma de produção e validação</w:t>
      </w:r>
    </w:p>
    <w:p>
      <w:pPr>
        <w:pStyle w:val="BodyText"/>
        <w:bidi w:val="0"/>
        <w:jc w:val="left"/>
        <w:rPr/>
      </w:pPr>
      <w:r>
        <w:rPr/>
        <w:t xml:space="preserve">Disciplina: </w:t>
      </w:r>
      <w:r>
        <w:rPr>
          <w:rStyle w:val="Emphasis"/>
        </w:rPr>
        <w:t>Model-Based Design for Cyber-Physical Systems</w:t>
      </w:r>
      <w:r>
        <w:rPr/>
        <w:t xml:space="preserve"> Professor-conteudista: Afonso Cesar Lelis Brandão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Prazo institucional:</w:t>
      </w:r>
      <w:r>
        <w:rPr/>
        <w:t xml:space="preserve"> não informado em nenhum dos três documentos recebidos. A coordenação precisa informá-lo. O cronograma abaixo organiza a produção por dependência técnica, não por data.</w:t>
      </w:r>
    </w:p>
    <w:p>
      <w:pPr>
        <w:pStyle w:val="Heading2"/>
        <w:bidi w:val="0"/>
        <w:jc w:val="left"/>
        <w:rPr/>
      </w:pPr>
      <w:r>
        <w:rPr/>
        <w:t>Bloqueios comuns a todas as entregas</w:t>
      </w:r>
    </w:p>
    <w:p>
      <w:pPr>
        <w:pStyle w:val="BodyText"/>
        <w:bidi w:val="0"/>
        <w:jc w:val="left"/>
        <w:rPr/>
      </w:pPr>
      <w:r>
        <w:rPr/>
        <w:t xml:space="preserve">Estes itens dependem da coordenação e </w:t>
      </w:r>
      <w:r>
        <w:rPr>
          <w:rStyle w:val="Strong"/>
        </w:rPr>
        <w:t>não podem ser resolvidos pelo conteudista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Ratificação da divisão em 4 unidades e 16 videoaulas de 20 minutos — inferida dos quatro blocos da ementa, não informada em documento.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Ratificação da substituição ferramental por pilha aberta em Python, mantidos integralmente os conteúdos da ementa (ver </w:t>
      </w:r>
      <w:r>
        <w:rPr>
          <w:rStyle w:val="Cdigo-fonte"/>
        </w:rPr>
        <w:t>ANALISE_MATERIAIS_RECEBIDOS.md</w:t>
      </w:r>
      <w:r>
        <w:rPr/>
        <w:t xml:space="preserve">, seção 4.2).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Fornecimento dos modelos institucionais DOCX (unidade, questionário, avaliação final, entrega de trabalho, slides), se existirem, ou confirmação de que a estrutura da variante TECH do Átomo 3.0 é aceita.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Confirmação da quantidade e da tipologia das questões (40 por unidade: 20 asserção-razão + 20 interpretação).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Confirmação do formato da avaliação final (10 dissertativas).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Informação da carga horária e do prazo de entrega.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Definição do padrão de slides. </w:t>
      </w:r>
    </w:p>
    <w:p>
      <w:pPr>
        <w:pStyle w:val="BodyText"/>
        <w:bidi w:val="0"/>
        <w:jc w:val="left"/>
        <w:rPr/>
      </w:pPr>
      <w:r>
        <w:rPr/>
        <w:t xml:space="preserve">Enquanto esses pontos não forem ratificados, todo o material produzido permanece identificado como </w:t>
      </w:r>
      <w:r>
        <w:rPr>
          <w:rStyle w:val="Strong"/>
        </w:rPr>
        <w:t>proposta do conteudista</w:t>
      </w:r>
      <w:r>
        <w:rPr/>
        <w:t>, sem declaração de conformidade institucional.</w:t>
      </w:r>
    </w:p>
    <w:p>
      <w:pPr>
        <w:pStyle w:val="Heading2"/>
        <w:bidi w:val="0"/>
        <w:jc w:val="left"/>
        <w:rPr/>
      </w:pPr>
      <w:r>
        <w:rPr/>
        <w:t>Fase 1 — Fundação documental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82"/>
        <w:gridCol w:w="3889"/>
      </w:tblGrid>
      <w:tr>
        <w:trPr>
          <w:tblHeader w:val="true"/>
        </w:trPr>
        <w:tc>
          <w:tcPr>
            <w:tcW w:w="5182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5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Verificação de integridade dos três documentos recebidos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</w:t>
            </w:r>
          </w:p>
        </w:tc>
      </w:tr>
      <w:tr>
        <w:trPr/>
        <w:tc>
          <w:tcPr>
            <w:tcW w:w="5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Análise crítica da ementa e registro dos conflitos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Concluído — </w:t>
            </w:r>
            <w:r>
              <w:rPr>
                <w:rStyle w:val="Cdigo-fonte"/>
              </w:rPr>
              <w:t>ANALISE_MATERIAIS_RECEBIDOS.md</w:t>
            </w:r>
          </w:p>
        </w:tc>
      </w:tr>
      <w:tr>
        <w:trPr/>
        <w:tc>
          <w:tcPr>
            <w:tcW w:w="5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Plano de aprendizagem com 4 unidades e 16 aulas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Concluído — </w:t>
            </w:r>
            <w:r>
              <w:rPr>
                <w:rStyle w:val="Cdigo-fonte"/>
              </w:rPr>
              <w:t>PLANO_APRENDIZAGEM_PROPOSTO.md</w:t>
            </w:r>
          </w:p>
        </w:tc>
      </w:tr>
      <w:tr>
        <w:trPr/>
        <w:tc>
          <w:tcPr>
            <w:tcW w:w="5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Diretrizes de produção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Concluído — </w:t>
            </w:r>
            <w:r>
              <w:rPr>
                <w:rStyle w:val="Cdigo-fonte"/>
              </w:rPr>
              <w:t>DIRETRIZES_PRODUCAO.md</w:t>
            </w:r>
          </w:p>
        </w:tc>
      </w:tr>
      <w:tr>
        <w:trPr/>
        <w:tc>
          <w:tcPr>
            <w:tcW w:w="5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Definição e verificação da pilha tecnológica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Concluído — </w:t>
            </w:r>
            <w:r>
              <w:rPr>
                <w:rStyle w:val="Cdigo-fonte"/>
              </w:rPr>
              <w:t>AMBIENTE_E_STACK.md</w:t>
            </w:r>
          </w:p>
        </w:tc>
      </w:tr>
      <w:tr>
        <w:trPr/>
        <w:tc>
          <w:tcPr>
            <w:tcW w:w="51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Definição do fio condutor (NexaBot) e conferência numérica em código</w:t>
            </w:r>
          </w:p>
        </w:tc>
        <w:tc>
          <w:tcPr>
            <w:tcW w:w="38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</w:t>
            </w:r>
          </w:p>
        </w:tc>
      </w:tr>
    </w:tbl>
    <w:p>
      <w:pPr>
        <w:pStyle w:val="Heading2"/>
        <w:bidi w:val="0"/>
        <w:jc w:val="left"/>
        <w:rPr/>
      </w:pPr>
      <w:r>
        <w:rPr/>
        <w:t>Fase 2 — Laboratório executável</w:t>
      </w:r>
    </w:p>
    <w:p>
      <w:pPr>
        <w:pStyle w:val="BodyText"/>
        <w:bidi w:val="0"/>
        <w:jc w:val="left"/>
        <w:rPr/>
      </w:pPr>
      <w:r>
        <w:rPr/>
        <w:t>O laboratório precede o roteiro: nenhum comando entra em roteiro sem ter sido executado antes.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19"/>
        <w:gridCol w:w="3552"/>
      </w:tblGrid>
      <w:tr>
        <w:trPr>
          <w:tblHeader w:val="true"/>
        </w:trPr>
        <w:tc>
          <w:tcPr>
            <w:tcW w:w="5519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Pacote base (</w:t>
            </w:r>
            <w:r>
              <w:rPr>
                <w:rStyle w:val="Cdigo-fonte"/>
              </w:rPr>
              <w:t>params</w:t>
            </w:r>
            <w:r>
              <w:rPr/>
              <w:t xml:space="preserve">, </w:t>
            </w:r>
            <w:r>
              <w:rPr>
                <w:rStyle w:val="Cdigo-fonte"/>
              </w:rPr>
              <w:t>plant</w:t>
            </w:r>
            <w:r>
              <w:rPr/>
              <w:t xml:space="preserve">, </w:t>
            </w:r>
            <w:r>
              <w:rPr>
                <w:rStyle w:val="Cdigo-fonte"/>
              </w:rPr>
              <w:t>controllers</w:t>
            </w:r>
            <w:r>
              <w:rPr/>
              <w:t>) com números conferidos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Laboratórios das Aulas 1 a 7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 </w:t>
            </w:r>
            <w:r>
              <w:rPr>
                <w:rStyle w:val="Cdigo-fonte"/>
              </w:rPr>
              <w:t>projeto_nexabot/aula_01</w:t>
            </w:r>
            <w:r>
              <w:rPr/>
              <w:t>…</w:t>
            </w:r>
            <w:r>
              <w:rPr>
                <w:rStyle w:val="Cdigo-fonte"/>
              </w:rPr>
              <w:t>aula_07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FMU FMI 3.0 e co-simulação (Aula 8)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 </w:t>
            </w:r>
            <w:r>
              <w:rPr>
                <w:rStyle w:val="Cdigo-fonte"/>
              </w:rPr>
              <w:t>projeto_nexabot/aula_08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Supervisor, verificação formal e testes gerados (Aulas 9 a 12)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 </w:t>
            </w:r>
            <w:r>
              <w:rPr>
                <w:rStyle w:val="Cdigo-fonte"/>
              </w:rPr>
              <w:t>projeto_nexabot/aula_09</w:t>
            </w:r>
            <w:r>
              <w:rPr/>
              <w:t>…</w:t>
            </w:r>
            <w:r>
              <w:rPr>
                <w:rStyle w:val="Cdigo-fonte"/>
              </w:rPr>
              <w:t>aula_12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Geração de código, SIL, HIL e rastreabilidade (Aulas 13 a 16)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 </w:t>
            </w:r>
            <w:r>
              <w:rPr>
                <w:rStyle w:val="Cdigo-fonte"/>
              </w:rPr>
              <w:t>projeto_nexabot/aula_13</w:t>
            </w:r>
            <w:r>
              <w:rPr/>
              <w:t>…</w:t>
            </w:r>
            <w:r>
              <w:rPr>
                <w:rStyle w:val="Cdigo-fonte"/>
              </w:rPr>
              <w:t>aula_16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Suíte </w:t>
            </w:r>
            <w:r>
              <w:rPr>
                <w:rStyle w:val="Cdigo-fonte"/>
              </w:rPr>
              <w:t>pytest</w:t>
            </w:r>
            <w:r>
              <w:rPr/>
              <w:t xml:space="preserve"> completa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projeto_nexabot/tests/</w:t>
            </w:r>
          </w:p>
        </w:tc>
      </w:tr>
      <w:tr>
        <w:trPr/>
        <w:tc>
          <w:tcPr>
            <w:tcW w:w="551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Integração contínua</w:t>
            </w:r>
          </w:p>
        </w:tc>
        <w:tc>
          <w:tcPr>
            <w:tcW w:w="355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projeto_nexabot/.github/workflows/</w:t>
            </w:r>
          </w:p>
        </w:tc>
      </w:tr>
    </w:tbl>
    <w:p>
      <w:pPr>
        <w:pStyle w:val="Heading2"/>
        <w:bidi w:val="0"/>
        <w:jc w:val="left"/>
        <w:rPr/>
      </w:pPr>
      <w:r>
        <w:rPr/>
        <w:t>Fase 3 — Material escrito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6"/>
        <w:gridCol w:w="2075"/>
      </w:tblGrid>
      <w:tr>
        <w:trPr>
          <w:tblHeader w:val="true"/>
        </w:trPr>
        <w:tc>
          <w:tcPr>
            <w:tcW w:w="699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69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unidade_1/unidade_1.md</w:t>
            </w:r>
            <w:r>
              <w:rPr/>
              <w:t xml:space="preserve"> (Aulas 1 a 4 + quiz + AAI + material complementar)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e validado</w:t>
            </w:r>
          </w:p>
        </w:tc>
      </w:tr>
      <w:tr>
        <w:trPr/>
        <w:tc>
          <w:tcPr>
            <w:tcW w:w="69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unidade_2/unidade_2.md</w:t>
            </w:r>
            <w:r>
              <w:rPr/>
              <w:t xml:space="preserve"> (Aulas 5 a 8 + quiz + material complementar)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e validado</w:t>
            </w:r>
          </w:p>
        </w:tc>
      </w:tr>
      <w:tr>
        <w:trPr/>
        <w:tc>
          <w:tcPr>
            <w:tcW w:w="69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unidade_3/unidade_3.md</w:t>
            </w:r>
            <w:r>
              <w:rPr/>
              <w:t xml:space="preserve"> (Aulas 9 a 12 + quiz + material complementar)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e validado</w:t>
            </w:r>
          </w:p>
        </w:tc>
      </w:tr>
      <w:tr>
        <w:trPr/>
        <w:tc>
          <w:tcPr>
            <w:tcW w:w="699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unidade_4/unidade_4.md</w:t>
            </w:r>
            <w:r>
              <w:rPr/>
              <w:t xml:space="preserve"> (Aulas 13 a 16 + quiz + material complementar)</w:t>
            </w:r>
          </w:p>
        </w:tc>
        <w:tc>
          <w:tcPr>
            <w:tcW w:w="207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e validado</w:t>
            </w:r>
          </w:p>
        </w:tc>
      </w:tr>
    </w:tbl>
    <w:p>
      <w:pPr>
        <w:pStyle w:val="Heading2"/>
        <w:bidi w:val="0"/>
        <w:jc w:val="left"/>
        <w:rPr/>
      </w:pPr>
      <w:r>
        <w:rPr/>
        <w:t>Fase 4 — Roteiros de gravação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82"/>
        <w:gridCol w:w="5189"/>
      </w:tblGrid>
      <w:tr>
        <w:trPr>
          <w:tblHeader w:val="true"/>
        </w:trPr>
        <w:tc>
          <w:tcPr>
            <w:tcW w:w="3882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5189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38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roteiro_video_introdutorio.md</w:t>
            </w:r>
            <w:r>
              <w:rPr/>
              <w:t xml:space="preserve"> (até 2 min)</w:t>
            </w:r>
          </w:p>
        </w:tc>
        <w:tc>
          <w:tcPr>
            <w:tcW w:w="51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apenas apresentação; campos pessoais em branco para o professor</w:t>
            </w:r>
          </w:p>
        </w:tc>
      </w:tr>
      <w:tr>
        <w:trPr/>
        <w:tc>
          <w:tcPr>
            <w:tcW w:w="38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unidade_1/roteiros_20min.md</w:t>
            </w:r>
            <w:r>
              <w:rPr/>
              <w:t xml:space="preserve"> (Videoaulas 1 a 4)</w:t>
            </w:r>
          </w:p>
        </w:tc>
        <w:tc>
          <w:tcPr>
            <w:tcW w:w="51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2.321 a 2.496 palavras faladas</w:t>
            </w:r>
          </w:p>
        </w:tc>
      </w:tr>
      <w:tr>
        <w:trPr/>
        <w:tc>
          <w:tcPr>
            <w:tcW w:w="38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unidade_2/roteiros_20min.md</w:t>
            </w:r>
            <w:r>
              <w:rPr/>
              <w:t xml:space="preserve"> (Videoaulas 5 a 8)</w:t>
            </w:r>
          </w:p>
        </w:tc>
        <w:tc>
          <w:tcPr>
            <w:tcW w:w="51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2.435 a 2.697 palavras faladas</w:t>
            </w:r>
          </w:p>
        </w:tc>
      </w:tr>
      <w:tr>
        <w:trPr/>
        <w:tc>
          <w:tcPr>
            <w:tcW w:w="38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unidade_3/roteiros_20min.md</w:t>
            </w:r>
            <w:r>
              <w:rPr/>
              <w:t xml:space="preserve"> (Videoaulas 9 a 12)</w:t>
            </w:r>
          </w:p>
        </w:tc>
        <w:tc>
          <w:tcPr>
            <w:tcW w:w="51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2.425 a 2.529 palavras faladas</w:t>
            </w:r>
          </w:p>
        </w:tc>
      </w:tr>
      <w:tr>
        <w:trPr/>
        <w:tc>
          <w:tcPr>
            <w:tcW w:w="3882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unidade_4/roteiros_20min.md</w:t>
            </w:r>
            <w:r>
              <w:rPr/>
              <w:t xml:space="preserve"> (Videoaulas 13 a 16)</w:t>
            </w:r>
          </w:p>
        </w:tc>
        <w:tc>
          <w:tcPr>
            <w:tcW w:w="5189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2.202 a 2.409 palavras faladas</w:t>
            </w:r>
          </w:p>
        </w:tc>
      </w:tr>
    </w:tbl>
    <w:p>
      <w:pPr>
        <w:pStyle w:val="Heading2"/>
        <w:bidi w:val="0"/>
        <w:jc w:val="left"/>
        <w:rPr/>
      </w:pPr>
      <w:r>
        <w:rPr/>
        <w:t>Fase 5 — Avaliação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97"/>
        <w:gridCol w:w="3974"/>
      </w:tblGrid>
      <w:tr>
        <w:trPr>
          <w:tblHeader w:val="true"/>
        </w:trPr>
        <w:tc>
          <w:tcPr>
            <w:tcW w:w="5097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97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50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unidade_N/questoes_uniN.md</w:t>
            </w:r>
            <w:r>
              <w:rPr/>
              <w:t xml:space="preserve"> — 40 questões por unidade, 160 no total</w:t>
            </w:r>
          </w:p>
        </w:tc>
        <w:tc>
          <w:tcPr>
            <w:tcW w:w="39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8 respostas corretas por letra e 800 devolutivas</w:t>
            </w:r>
          </w:p>
        </w:tc>
      </w:tr>
      <w:tr>
        <w:trPr/>
        <w:tc>
          <w:tcPr>
            <w:tcW w:w="50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instrumentos_avaliativos/avaliacao_dissertativa.md</w:t>
            </w:r>
            <w:r>
              <w:rPr/>
              <w:t xml:space="preserve"> — 10 dissertativas</w:t>
            </w:r>
          </w:p>
        </w:tc>
        <w:tc>
          <w:tcPr>
            <w:tcW w:w="39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rubricas de 10 pontos por questão</w:t>
            </w:r>
          </w:p>
        </w:tc>
      </w:tr>
      <w:tr>
        <w:trPr/>
        <w:tc>
          <w:tcPr>
            <w:tcW w:w="50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instrumentos_avaliativos/entrega_trabalho.md</w:t>
            </w:r>
            <w:r>
              <w:rPr/>
              <w:t xml:space="preserve"> — PBL</w:t>
            </w:r>
          </w:p>
        </w:tc>
        <w:tc>
          <w:tcPr>
            <w:tcW w:w="397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versões estudante e tutor separadas na exportação</w:t>
            </w:r>
          </w:p>
        </w:tc>
      </w:tr>
    </w:tbl>
    <w:p>
      <w:pPr>
        <w:pStyle w:val="Heading2"/>
        <w:bidi w:val="0"/>
        <w:jc w:val="left"/>
        <w:rPr/>
      </w:pPr>
      <w:r>
        <w:rPr/>
        <w:t>Fase 6 — Exportação no modelo institucional</w:t>
      </w:r>
    </w:p>
    <w:p>
      <w:pPr>
        <w:pStyle w:val="BodyText"/>
        <w:bidi w:val="0"/>
        <w:jc w:val="left"/>
        <w:rPr/>
      </w:pPr>
      <w:r>
        <w:rPr/>
        <w:t xml:space="preserve">A entrega sai </w:t>
      </w:r>
      <w:r>
        <w:rPr>
          <w:rStyle w:val="Strong"/>
        </w:rPr>
        <w:t>dentro dos modelos Word oficiais da UniFECAF</w:t>
      </w:r>
      <w:r>
        <w:rPr/>
        <w:t xml:space="preserve"> (Núcleo das Engenharias e Tecnologia), preservados em </w:t>
      </w:r>
      <w:r>
        <w:rPr>
          <w:rStyle w:val="Cdigo-fonte"/>
        </w:rPr>
        <w:t>tools/_templates_pristine/</w:t>
      </w:r>
      <w:r>
        <w:rPr/>
        <w:t xml:space="preserve">. Os modelos são reaproveitados da disciplina irmã </w:t>
      </w:r>
      <w:r>
        <w:rPr>
          <w:rStyle w:val="Cdigo-fonte"/>
        </w:rPr>
        <w:t>data_engineering_and_pipelines</w:t>
      </w:r>
      <w:r>
        <w:rPr/>
        <w:t>, do mesmo Núcleo e da mesma variante — inclusive a avaliação final de 10 discursivas, que coincide com o formato desta disciplina. Cada execução parte da cópia pristina, de modo que os scripts são reexecutáveis sem acumular resíduo.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03"/>
        <w:gridCol w:w="5068"/>
      </w:tblGrid>
      <w:tr>
        <w:trPr>
          <w:tblHeader w:val="true"/>
        </w:trPr>
        <w:tc>
          <w:tcPr>
            <w:tcW w:w="4003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40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tools/preencher_unidades.py</w:t>
            </w:r>
            <w:r>
              <w:rPr/>
              <w:t xml:space="preserve"> — 4 unidades no modelo oficial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caixas TEXTO BASE, ROTEIRO VIDEOAULA, QUIZ, AAI e material complementar preenchidas</w:t>
            </w:r>
          </w:p>
        </w:tc>
      </w:tr>
      <w:tr>
        <w:trPr/>
        <w:tc>
          <w:tcPr>
            <w:tcW w:w="40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tools/preencher_questoes.py</w:t>
            </w:r>
            <w:r>
              <w:rPr/>
              <w:t xml:space="preserve"> — 4 questionários no modelo oficial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40 questões e 200 devolutivas por unidade</w:t>
            </w:r>
          </w:p>
        </w:tc>
      </w:tr>
      <w:tr>
        <w:trPr/>
        <w:tc>
          <w:tcPr>
            <w:tcW w:w="40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tools/preencher_instrumentos.py</w:t>
            </w:r>
            <w:r>
              <w:rPr/>
              <w:t xml:space="preserve"> — avaliação final e trabalho PBL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versões mestre e estudante</w:t>
            </w:r>
          </w:p>
        </w:tc>
      </w:tr>
      <w:tr>
        <w:trPr/>
        <w:tc>
          <w:tcPr>
            <w:tcW w:w="40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tools/formulas.py</w:t>
            </w:r>
            <w:r>
              <w:rPr/>
              <w:t xml:space="preserve"> + </w:t>
            </w:r>
            <w:r>
              <w:rPr>
                <w:rStyle w:val="Cdigo-fonte"/>
              </w:rPr>
              <w:t>tools/render_formulas.js</w:t>
            </w:r>
            <w:r>
              <w:rPr/>
              <w:t xml:space="preserve"> — fórmulas como imagem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458 fórmulas renderizadas, nenhuma em branco</w:t>
            </w:r>
          </w:p>
        </w:tc>
      </w:tr>
      <w:tr>
        <w:trPr/>
        <w:tc>
          <w:tcPr>
            <w:tcW w:w="400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tools/build_docx.py</w:t>
            </w:r>
            <w:r>
              <w:rPr/>
              <w:t xml:space="preserve"> — apenas documentos sem modelo institucional</w:t>
            </w:r>
          </w:p>
        </w:tc>
        <w:tc>
          <w:tcPr>
            <w:tcW w:w="50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Reduzido de escopo; saída isolada em </w:t>
            </w:r>
            <w:r>
              <w:rPr>
                <w:rStyle w:val="Cdigo-fonte"/>
              </w:rPr>
              <w:t>entrega_docx/_apoio_producao/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Pacote institucional em </w:t>
      </w:r>
      <w:r>
        <w:rPr>
          <w:rStyle w:val="Cdigo-fonte"/>
        </w:rPr>
        <w:t>entrega_docx/</w:t>
      </w:r>
      <w:r>
        <w:rPr>
          <w:rStyle w:val="Strong"/>
        </w:rPr>
        <w:t xml:space="preserve"> — 12 arquivos:</w:t>
      </w:r>
      <w:r>
        <w:rPr/>
        <w:t xml:space="preserve"> 4 unidades, 4 questionários, avaliação final (mestre e estudante) e entrega de trabalho (mestre e estudante).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Apoio de produção em </w:t>
      </w:r>
      <w:r>
        <w:rPr>
          <w:rStyle w:val="Cdigo-fonte"/>
        </w:rPr>
        <w:t>entrega_docx/_apoio_producao/</w:t>
      </w:r>
      <w:r>
        <w:rPr>
          <w:rStyle w:val="Strong"/>
        </w:rPr>
        <w:t xml:space="preserve"> — 10 arquivos:</w:t>
      </w:r>
      <w:r>
        <w:rPr/>
        <w:t xml:space="preserve"> plano de aprendizagem, diretrizes, análise dos materiais, ambiente, cronograma, roteiro do vídeo introdutório e os quatro cadernos de roteiros para leitura durante a gravação. Não possuem modelo institucional e por isso ficam separados, para não serem confundidos com a entrega.</w:t>
      </w:r>
    </w:p>
    <w:p>
      <w:pPr>
        <w:pStyle w:val="Heading3"/>
        <w:bidi w:val="0"/>
        <w:jc w:val="left"/>
        <w:rPr/>
      </w:pPr>
      <w:r>
        <w:rPr/>
        <w:t>Escopo do vídeo introdutório</w:t>
      </w:r>
    </w:p>
    <w:p>
      <w:pPr>
        <w:pStyle w:val="BodyText"/>
        <w:bidi w:val="0"/>
        <w:jc w:val="left"/>
        <w:rPr/>
      </w:pPr>
      <w:r>
        <w:rPr/>
        <w:t xml:space="preserve">O vídeo introdutório e o deck </w:t>
      </w:r>
      <w:r>
        <w:rPr>
          <w:rStyle w:val="Cdigo-fonte"/>
        </w:rPr>
        <w:t>aula0</w:t>
      </w:r>
      <w:r>
        <w:rPr/>
        <w:t xml:space="preserve"> são </w:t>
      </w:r>
      <w:r>
        <w:rPr>
          <w:rStyle w:val="Strong"/>
        </w:rPr>
        <w:t>apenas apresentação</w:t>
      </w:r>
      <w:r>
        <w:rPr/>
        <w:t>: quem é o professor e o que é a disciplina. Não há demonstração técnica, terminal, código nem simulação — a prática começa na Aula 1, que abre já com o ambiente na tela.</w:t>
      </w:r>
    </w:p>
    <w:p>
      <w:pPr>
        <w:pStyle w:val="BodyText"/>
        <w:bidi w:val="0"/>
        <w:jc w:val="left"/>
        <w:rPr/>
      </w:pPr>
      <w:r>
        <w:rPr/>
        <w:t>A gravação é integralmente em câmera cheia, sem captura de tela. O deck tem seis slides: capa, audiodescrição, "Sobre o professor", "O que é esta disciplina", o percurso das quatro unidades e o encerramento. A narração soma 225 palavras faladas, o que dá de 1 min 44 s a 1 min 57 s no ritmo de referência, deixando folga para as frases pessoais que o professor acrescentar nos campos em branco.</w:t>
      </w:r>
    </w:p>
    <w:p>
      <w:pPr>
        <w:pStyle w:val="Heading2"/>
        <w:bidi w:val="0"/>
        <w:jc w:val="left"/>
        <w:rPr/>
      </w:pPr>
      <w:r>
        <w:rPr/>
        <w:t>Fase 7 — Decks de slides</w:t>
      </w:r>
    </w:p>
    <w:p>
      <w:pPr>
        <w:pStyle w:val="BodyText"/>
        <w:bidi w:val="0"/>
        <w:jc w:val="left"/>
        <w:rPr/>
      </w:pPr>
      <w:r>
        <w:rPr/>
        <w:t xml:space="preserve">Dezessete decks HTML autocontidos: </w:t>
      </w:r>
      <w:r>
        <w:rPr>
          <w:rStyle w:val="Cdigo-fonte"/>
        </w:rPr>
        <w:t>aula0</w:t>
      </w:r>
      <w:r>
        <w:rPr/>
        <w:t xml:space="preserve"> (vídeo introdutório) e </w:t>
      </w:r>
      <w:r>
        <w:rPr>
          <w:rStyle w:val="Cdigo-fonte"/>
        </w:rPr>
        <w:t>aula1</w:t>
      </w:r>
      <w:r>
        <w:rPr/>
        <w:t xml:space="preserve"> a </w:t>
      </w:r>
      <w:r>
        <w:rPr>
          <w:rStyle w:val="Cdigo-fonte"/>
        </w:rPr>
        <w:t>aula16</w:t>
      </w:r>
      <w:r>
        <w:rPr/>
        <w:t>, com numeração contínua entre unidades, conforme a convenção do repositório.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151"/>
        <w:gridCol w:w="3920"/>
      </w:tblGrid>
      <w:tr>
        <w:trPr>
          <w:tblHeader w:val="true"/>
        </w:trPr>
        <w:tc>
          <w:tcPr>
            <w:tcW w:w="515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Item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51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unidade_N/slides/aulaN.html</w:t>
            </w:r>
            <w:r>
              <w:rPr/>
              <w:t xml:space="preserve"> — 17 decks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</w:t>
            </w:r>
          </w:p>
        </w:tc>
      </w:tr>
      <w:tr>
        <w:trPr/>
        <w:tc>
          <w:tcPr>
            <w:tcW w:w="51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Padrão visual UniFECAF preservado (variáveis de </w:t>
            </w:r>
            <w:r>
              <w:rPr>
                <w:rStyle w:val="Cdigo-fonte"/>
              </w:rPr>
              <w:t>:root</w:t>
            </w:r>
            <w:r>
              <w:rPr/>
              <w:t xml:space="preserve"> intactas)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Conferido por comparação de hash entre os decks</w:t>
            </w:r>
          </w:p>
        </w:tc>
      </w:tr>
      <w:tr>
        <w:trPr/>
        <w:tc>
          <w:tcPr>
            <w:tcW w:w="51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Autocontenção (sem CDN, sem MathJax, sem recurso externo)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Conferido</w:t>
            </w:r>
          </w:p>
        </w:tc>
      </w:tr>
      <w:tr>
        <w:trPr/>
        <w:tc>
          <w:tcPr>
            <w:tcW w:w="51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Referências relativas resolvem no disco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Conferido arquivo a arquivo</w:t>
            </w:r>
          </w:p>
        </w:tc>
      </w:tr>
      <w:tr>
        <w:trPr/>
        <w:tc>
          <w:tcPr>
            <w:tcW w:w="51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tools/validar_slides.py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Concluído — 17 aprovados, 0 falhas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Correções aplicadas na revisão final: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Onze decks apontavam para </w:t>
      </w:r>
      <w:r>
        <w:rPr>
          <w:rStyle w:val="Cdigo-fonte"/>
        </w:rPr>
        <w:t>../../../assets/</w:t>
      </w:r>
      <w:r>
        <w:rPr/>
        <w:t xml:space="preserve">, três níveis acima, quando a pasta </w:t>
      </w:r>
      <w:r>
        <w:rPr>
          <w:rStyle w:val="Cdigo-fonte"/>
        </w:rPr>
        <w:t>assets/</w:t>
      </w:r>
      <w:r>
        <w:rPr/>
        <w:t xml:space="preserve"> da raiz exige quatro. Todos os caminhos foram padronizados e verificados por resolução no sistema de arquivos.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Dez arquivos intermediários de montagem (</w:t>
      </w:r>
      <w:r>
        <w:rPr>
          <w:rStyle w:val="Cdigo-fonte"/>
        </w:rPr>
        <w:t>_head13.html</w:t>
      </w:r>
      <w:r>
        <w:rPr/>
        <w:t xml:space="preserve">, </w:t>
      </w:r>
      <w:r>
        <w:rPr>
          <w:rStyle w:val="Cdigo-fonte"/>
        </w:rPr>
        <w:t>_body14.html</w:t>
      </w:r>
      <w:r>
        <w:rPr/>
        <w:t xml:space="preserve"> e semelhantes) ficaram na pasta da Unidade 4 e foram removidos.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decks das Unidades 1 e 2 tinham 10 slides e não traziam Sumário nem Objetivos de aprendizagem, ao contrário dos das Unidades 3 e 4. Foram nivelados para 15 a 18 slides.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deck </w:t>
      </w:r>
      <w:r>
        <w:rPr>
          <w:rStyle w:val="Cdigo-fonte"/>
        </w:rPr>
        <w:t>aula0</w:t>
      </w:r>
      <w:r>
        <w:rPr/>
        <w:t xml:space="preserve">, do vídeo introdutório, não existia e foi criado.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O deck </w:t>
      </w:r>
      <w:r>
        <w:rPr>
          <w:rStyle w:val="Cdigo-fonte"/>
        </w:rPr>
        <w:t>aula5</w:t>
      </w:r>
      <w:r>
        <w:rPr>
          <w:rStyle w:val="Strong"/>
        </w:rPr>
        <w:t xml:space="preserve"> continha o conteúdo do </w:t>
      </w:r>
      <w:r>
        <w:rPr>
          <w:rStyle w:val="Cdigo-fonte"/>
        </w:rPr>
        <w:t>aula9</w:t>
      </w:r>
      <w:r>
        <w:rPr/>
        <w:t xml:space="preserve"> — título, tema de verificação formal e rodapé de outra unidade —, com apenas a tag </w:t>
      </w:r>
      <w:r>
        <w:rPr>
          <w:rStyle w:val="Cdigo-fonte"/>
        </w:rPr>
        <w:t>&lt;title&gt;</w:t>
      </w:r>
      <w:r>
        <w:rPr/>
        <w:t xml:space="preserve"> correta. Foi reescrito a partir do roteiro da Aula 5. Nenhuma checagem estrutural pegaria esse erro, então </w:t>
      </w:r>
      <w:r>
        <w:rPr>
          <w:rStyle w:val="Cdigo-fonte"/>
        </w:rPr>
        <w:t>validar_slides.py</w:t>
      </w:r>
      <w:r>
        <w:rPr/>
        <w:t xml:space="preserve"> passou a conferir se cada deck contém o título da própria videoaula e se o rodapé aponta para a unidade e a aula certas.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 slide "Sobre o professor" aparecia em sete decks, em cinco deles sem os marcadores </w:t>
      </w:r>
      <w:r>
        <w:rPr>
          <w:rStyle w:val="Cdigo-fonte"/>
        </w:rPr>
        <w:t>[preencher: …]</w:t>
      </w:r>
      <w:r>
        <w:rPr/>
        <w:t xml:space="preserve">. A convenção do repositório, conferida nas três disciplinas já migradas, é de um deck em dezessete: apenas o </w:t>
      </w:r>
      <w:r>
        <w:rPr>
          <w:rStyle w:val="Cdigo-fonte"/>
        </w:rPr>
        <w:t>aula0</w:t>
      </w:r>
      <w:r>
        <w:rPr/>
        <w:t xml:space="preserve">. O slide foi concentrado ali, e é o único ponto de todo o material que contém informação pessoal — deixada em branco, para o professor preencher. </w:t>
      </w:r>
    </w:p>
    <w:p>
      <w:pPr>
        <w:pStyle w:val="Heading3"/>
        <w:bidi w:val="0"/>
        <w:jc w:val="left"/>
        <w:rPr/>
      </w:pPr>
      <w:r>
        <w:rPr/>
        <w:t>Conferência executada sobre os 12 documentos institucionais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Pacote ZIP íntegro e abertura sem erro em todos.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Tabelas de uso exclusivo do coordenador idênticas às dos modelos pristinos.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Caixa "Plano de Ensino" preservada com a instrução dirigida ao coordenador.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Nenhum texto de orientação ao conteudista remanescente; nenhum campo </w:t>
      </w:r>
      <w:r>
        <w:rPr>
          <w:rStyle w:val="Cdigo-fonte"/>
        </w:rPr>
        <w:t>XXXX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Nas versões do estudante, nenhuma resposta esperada, rubrica ou critério de correção; a caixa SOLUÇÃO do trabalho PBL é removida por inteiro, não apenas esvaziada.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Sem asterisco de gabarito nas alternativas dos questionários; a resposta correta consta somente da seção de devolutivas.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Paginação conferida por conversão a PDF, sem quebra indevida de caixa. </w:t>
      </w:r>
    </w:p>
    <w:p>
      <w:pPr>
        <w:pStyle w:val="Heading3"/>
        <w:bidi w:val="0"/>
        <w:jc w:val="left"/>
        <w:rPr/>
      </w:pPr>
      <w:r>
        <w:rPr/>
        <w:t>Defeito no modelo da Unidade 2 e correção aplicada</w:t>
      </w:r>
    </w:p>
    <w:p>
      <w:pPr>
        <w:pStyle w:val="BodyText"/>
        <w:bidi w:val="0"/>
        <w:jc w:val="left"/>
        <w:rPr/>
      </w:pPr>
      <w:r>
        <w:rPr/>
        <w:t xml:space="preserve">O modelo </w:t>
      </w:r>
      <w:r>
        <w:rPr>
          <w:rStyle w:val="Cdigo-fonte"/>
        </w:rPr>
        <w:t>TEMPLATE - Unidade 2</w:t>
      </w:r>
      <w:r>
        <w:rPr/>
        <w:t xml:space="preserve"> recebido é uma </w:t>
      </w:r>
      <w:r>
        <w:rPr>
          <w:rStyle w:val="Strong"/>
        </w:rPr>
        <w:t>cópia do modelo da Unidade 1</w:t>
      </w:r>
      <w:r>
        <w:rPr/>
        <w:t>, não um modelo próprio. Ele traz: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cabeçalho "Plano de Ensino - </w:t>
      </w:r>
      <w:r>
        <w:rPr>
          <w:rStyle w:val="Strong"/>
        </w:rPr>
        <w:t>Unidade 1</w:t>
      </w:r>
      <w:r>
        <w:rPr/>
        <w:t xml:space="preserve">";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 caixas rotuladas "TEXTO BASE AULA </w:t>
      </w:r>
      <w:r>
        <w:rPr>
          <w:rStyle w:val="Strong"/>
        </w:rPr>
        <w:t>1</w:t>
      </w:r>
      <w:r>
        <w:rPr/>
        <w:t xml:space="preserve"> a </w:t>
      </w:r>
      <w:r>
        <w:rPr>
          <w:rStyle w:val="Strong"/>
        </w:rPr>
        <w:t>4</w:t>
      </w:r>
      <w:r>
        <w:rPr/>
        <w:t xml:space="preserve">" e "ROTEIRO VIDEOAULA </w:t>
      </w:r>
      <w:r>
        <w:rPr>
          <w:rStyle w:val="Strong"/>
        </w:rPr>
        <w:t>1</w:t>
      </w:r>
      <w:r>
        <w:rPr/>
        <w:t xml:space="preserve"> a </w:t>
      </w:r>
      <w:r>
        <w:rPr>
          <w:rStyle w:val="Strong"/>
        </w:rPr>
        <w:t>4</w:t>
      </w:r>
      <w:r>
        <w:rPr/>
        <w:t xml:space="preserve">", quando a Unidade 2 cobre as Aulas 5 a 8;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caixa "Relação da disciplina com atuação profissional </w:t>
      </w:r>
      <w:r>
        <w:rPr>
          <w:rStyle w:val="Strong"/>
        </w:rPr>
        <w:t>+ Roteiro do vídeo introdutório</w:t>
      </w:r>
      <w:r>
        <w:rPr/>
        <w:t xml:space="preserve">", sendo que o vídeo introdutório é único e pertence à Unidade 1. </w:t>
      </w:r>
    </w:p>
    <w:p>
      <w:pPr>
        <w:pStyle w:val="BodyText"/>
        <w:bidi w:val="0"/>
        <w:jc w:val="left"/>
        <w:rPr/>
      </w:pPr>
      <w:r>
        <w:rPr/>
        <w:t>Que a numeração contínua é a convenção pretendida fica provado pelos próprios modelos das Unidades 3 e 4, que trazem "AULA 9" a "AULA 12" e "AULA 13" a "AULA 16".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Correção aplicada, apenas na cópia gerada:</w:t>
      </w:r>
      <w:r>
        <w:rPr/>
        <w:t xml:space="preserve"> os rótulos foram renumerados para AULA 5 a 8 e VIDEOAULA 5 a 8, o cabeçalho passou a "Plano de Ensino - Unidade 2", e a caixa de abertura passou a "Relação da unidade com atuação profissional". O modelo pristino permanece intacto em </w:t>
      </w:r>
      <w:r>
        <w:rPr>
          <w:rStyle w:val="Cdigo-fonte"/>
        </w:rPr>
        <w:t>tools/_templates_pristine/</w:t>
      </w:r>
      <w:r>
        <w:rPr/>
        <w:t>. Sem essa correção, a Aula 5 sairia sob o rótulo "AULA 1", induzindo a coordenação e a equipe de edição ao erro.</w:t>
      </w:r>
    </w:p>
    <w:p>
      <w:pPr>
        <w:pStyle w:val="BodyText"/>
        <w:bidi w:val="0"/>
        <w:jc w:val="left"/>
        <w:rPr/>
      </w:pPr>
      <w:r>
        <w:rPr/>
        <w:t xml:space="preserve">A renumeração é </w:t>
      </w:r>
      <w:r>
        <w:rPr>
          <w:rStyle w:val="Strong"/>
        </w:rPr>
        <w:t>posicional</w:t>
      </w:r>
      <w:r>
        <w:rPr/>
        <w:t>, e não textual: a k-ésima caixa de aula recebe o número correto. Substituição por texto corromperia as Unidades 3 e 4, porque "AULA 1" é prefixo de "AULA 10", "AULA 11" e "AULA 12".</w:t>
      </w:r>
    </w:p>
    <w:p>
      <w:pPr>
        <w:pStyle w:val="BodyText"/>
        <w:bidi w:val="0"/>
        <w:jc w:val="left"/>
        <w:rPr/>
      </w:pPr>
      <w:r>
        <w:rPr>
          <w:rStyle w:val="Strong"/>
        </w:rPr>
        <w:t>Pendência:</w:t>
      </w:r>
      <w:r>
        <w:rPr/>
        <w:t xml:space="preserve"> ratificar a correção dos rótulos, ou fornecer o modelo correto da Unidade 2.</w:t>
      </w:r>
    </w:p>
    <w:p>
      <w:pPr>
        <w:pStyle w:val="Heading3"/>
        <w:bidi w:val="0"/>
        <w:jc w:val="left"/>
        <w:rPr/>
      </w:pPr>
      <w:r>
        <w:rPr/>
        <w:t>Inconsistência interna do modelo de questionário, sem impacto na entrega</w:t>
      </w:r>
    </w:p>
    <w:p>
      <w:pPr>
        <w:pStyle w:val="BodyText"/>
        <w:bidi w:val="0"/>
        <w:jc w:val="left"/>
        <w:rPr/>
      </w:pPr>
      <w:r>
        <w:rPr/>
        <w:t xml:space="preserve">O modelo de questionário determina, em seu texto de abertura, que "a pessoa conteudista deve elaborar </w:t>
      </w:r>
      <w:r>
        <w:rPr>
          <w:rStyle w:val="Strong"/>
        </w:rPr>
        <w:t>40 questões</w:t>
      </w:r>
      <w:r>
        <w:rPr/>
        <w:t>". Logo abaixo, ao detalhar a distribuição, ele lista "10 questões do tipo asserção-razão" e "10 de interpretação", que somam 20 — inconsistência do próprio modelo, herdada de uma versão anterior.</w:t>
      </w:r>
    </w:p>
    <w:p>
      <w:pPr>
        <w:pStyle w:val="BodyText"/>
        <w:bidi w:val="0"/>
        <w:jc w:val="left"/>
        <w:rPr/>
      </w:pPr>
      <w:r>
        <w:rPr/>
        <w:t xml:space="preserve">A entrega segue o número principal do modelo, que coincide com o contrato desta disciplina: </w:t>
      </w:r>
      <w:r>
        <w:rPr>
          <w:rStyle w:val="Strong"/>
        </w:rPr>
        <w:t>40 questões por unidade, 20 de asserção-razão e 20 de interpretação</w:t>
      </w:r>
      <w:r>
        <w:rPr/>
        <w:t>. As duas linhas inconsistentes foram removidas junto com o restante das orientações, como o próprio modelo determina, de modo que nenhum texto do documento final contradiz o conteúdo entregue. Não há decisão pendente de coordenação neste ponto.</w:t>
      </w:r>
    </w:p>
    <w:p>
      <w:pPr>
        <w:pStyle w:val="Heading2"/>
        <w:bidi w:val="0"/>
        <w:jc w:val="left"/>
        <w:rPr/>
      </w:pPr>
      <w:r>
        <w:rPr/>
        <w:t>Checklist operacional antes de cada gravação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Executar o ensaio cronometrado de cada um dos 16 roteiros e ajustar o que exceder 20 minutos.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Executar uma vez todos os scripts da disciplina, conferindo a saída (realizado na revisão final; repetir apenas os da aula antes da tomada).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Executar o CopySpider e arquivar o relatório de similaridade (limite institucional de 3%).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[x] Decks sem fotografia pessoal; não há autorização de imagem pendente. </w:t>
      </w:r>
    </w:p>
    <w:p>
      <w:pPr>
        <w:pStyle w:val="Heading2"/>
        <w:bidi w:val="0"/>
        <w:jc w:val="left"/>
        <w:rPr/>
      </w:pPr>
      <w:r>
        <w:rPr/>
        <w:t>Critério de conclusão</w:t>
      </w:r>
    </w:p>
    <w:p>
      <w:pPr>
        <w:pStyle w:val="BodyText"/>
        <w:bidi w:val="0"/>
        <w:jc w:val="left"/>
        <w:rPr/>
      </w:pPr>
      <w:r>
        <w:rPr/>
        <w:t xml:space="preserve">O pacote de conteúdo está concluído quando as Fases 1 a 6 passam em </w:t>
      </w:r>
      <w:r>
        <w:rPr>
          <w:rStyle w:val="Cdigo-fonte"/>
        </w:rPr>
        <w:t>tools/validar.py</w:t>
      </w:r>
      <w:r>
        <w:rPr/>
        <w:t xml:space="preserve">, a suíte de código passa e os 22 DOCX passam em </w:t>
      </w:r>
      <w:r>
        <w:rPr>
          <w:rStyle w:val="Cdigo-fonte"/>
        </w:rPr>
        <w:t>tools/validar_docx.py</w:t>
      </w:r>
      <w:r>
        <w:rPr/>
        <w:t>. Ensaio com a voz real, CopySpider e ratificação institucional continuam sendo controles externos à autoria do material e devem ser registrados antes da publicação definitiva.</w:t>
      </w:r>
    </w:p>
    <w:p>
      <w:pPr>
        <w:pStyle w:val="Corpodetextorodape"/>
        <w:bidi w:val="0"/>
        <w:spacing w:before="360" w:after="120"/>
        <w:jc w:val="left"/>
        <w:rPr/>
      </w:pPr>
      <w:r>
        <w:rPr/>
        <w:t xml:space="preserve">Model-Based Design for Cyber-Physical Systems — Professor-conteudista: Afonso Cesar Lelis Brandão. Documento gerado automaticamente a partir de </w:t>
      </w:r>
      <w:r>
        <w:rPr>
          <w:rStyle w:val="Cdigo-fonte"/>
        </w:rPr>
        <w:t>CRONOGRAMA.md</w:t>
      </w:r>
      <w:r>
        <w:rPr/>
        <w:t>.</w:t>
      </w:r>
    </w:p>
    <w:sectPr>
      <w:type w:val="nextPage"/>
      <w:pgSz w:w="11906" w:h="16838"/>
      <w:pgMar w:left="1701" w:right="1134" w:gutter="0" w:header="0" w:top="141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left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  <w:outlineLvl w:val="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240" w:after="120"/>
      <w:ind w:left="240" w:right="240"/>
      <w:outlineLvl w:val="3"/>
    </w:pPr>
    <w:rPr>
      <w:rFonts w:ascii="Liberation Serif" w:hAnsi="Liberation Serif" w:eastAsia="Noto Serif CJK SC" w:cs="FreeSans"/>
      <w:b/>
      <w:bCs/>
      <w:i/>
      <w:iCs/>
      <w:sz w:val="24"/>
      <w:szCs w:val="24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left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formatado">
    <w:name w:val="Texto préformatado"/>
    <w:basedOn w:val="Normal"/>
    <w:qFormat/>
    <w:pPr>
      <w:pBdr>
        <w:top w:val="single" w:sz="4" w:space="6" w:color="BBBBBB"/>
        <w:left w:val="single" w:sz="4" w:space="6" w:color="BBBBBB"/>
        <w:bottom w:val="single" w:sz="4" w:space="6" w:color="BBBBBB"/>
        <w:right w:val="single" w:sz="4" w:space="6" w:color="BBBBBB"/>
      </w:pBdr>
      <w:shd w:fill="F2F2F2" w:val="clear"/>
      <w:spacing w:lineRule="auto" w:line="252" w:before="120" w:after="160"/>
      <w:ind w:left="120" w:right="12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odecitao">
    <w:name w:val="Bloco de citação"/>
    <w:basedOn w:val="Normal"/>
    <w:qFormat/>
    <w:pPr>
      <w:pBdr>
        <w:left w:val="single" w:sz="16" w:space="8" w:color="888888"/>
      </w:pBdr>
      <w:spacing w:before="120" w:after="160"/>
      <w:ind w:hanging="0" w:left="320" w:right="120"/>
    </w:pPr>
    <w:rPr>
      <w:sz w:val="22"/>
      <w:szCs w:val="22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  <w:style w:type="paragraph" w:styleId="Corpodetextorodape">
    <w:name w:val="Corpo de texto.rodape"/>
    <w:basedOn w:val="BodyText"/>
    <w:qFormat/>
    <w:pPr>
      <w:pBdr>
        <w:top w:val="single" w:sz="4" w:space="6" w:color="AAAAAA"/>
      </w:pBdr>
      <w:spacing w:before="360" w:after="12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00 - Cronograma de Producao e Validacao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