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360" w:after="200"/>
        <w:jc w:val="left"/>
        <w:rPr/>
      </w:pPr>
      <w:r>
        <w:rPr/>
        <w:t>Diretrizes de produção — Model-Based Design for Cyber-Physical Systems</w:t>
      </w:r>
    </w:p>
    <w:p>
      <w:pPr>
        <w:pStyle w:val="Blocodecitao"/>
        <w:bidi w:val="0"/>
        <w:jc w:val="left"/>
        <w:rPr/>
      </w:pPr>
      <w:r>
        <w:rPr>
          <w:rStyle w:val="Strong"/>
        </w:rPr>
        <w:t>Fonte de verdade desta disciplina.</w:t>
      </w:r>
      <w:r>
        <w:rPr/>
        <w:t xml:space="preserve"> Este arquivo, junto com </w:t>
      </w:r>
      <w:r>
        <w:rPr>
          <w:rStyle w:val="Cdigo-fonte"/>
        </w:rPr>
        <w:t>PLANO_APRENDIZAGEM_PROPOSTO.md</w:t>
      </w:r>
      <w:r>
        <w:rPr/>
        <w:t xml:space="preserve">, precede o </w:t>
      </w:r>
      <w:r>
        <w:rPr>
          <w:rStyle w:val="Cdigo-fonte"/>
        </w:rPr>
        <w:t>CLAUDE.md</w:t>
      </w:r>
      <w:r>
        <w:rPr/>
        <w:t xml:space="preserve"> da raiz do repositório em qualquer divergência de layout. Os requisitos aqui consolidados vêm de dois documentos recebidos: a ementa oficial (</w:t>
      </w:r>
      <w:r>
        <w:rPr>
          <w:rStyle w:val="Cdigo-fonte"/>
        </w:rPr>
        <w:t>MODEL_BASED_DESIGN_FOR_CYBER_PHYSICAL_SYSTEMS.docx</w:t>
      </w:r>
      <w:r>
        <w:rPr/>
        <w:t>) e as diretrizes de gravação do Núcleo das Engenharias e Tecnologia (</w:t>
      </w:r>
      <w:r>
        <w:rPr>
          <w:rStyle w:val="Cdigo-fonte"/>
        </w:rPr>
        <w:t>orientacoes_gravacao_EAD.pdf</w:t>
      </w:r>
      <w:r>
        <w:rPr/>
        <w:t>), complementadas pelo e-mail de encaminhamento (</w:t>
      </w:r>
      <w:r>
        <w:rPr>
          <w:rStyle w:val="Cdigo-fonte"/>
        </w:rPr>
        <w:t>direcionamentos.md</w:t>
      </w:r>
      <w:r>
        <w:rPr/>
        <w:t>).</w:t>
      </w:r>
    </w:p>
    <w:p>
      <w:pPr>
        <w:pStyle w:val="Heading2"/>
        <w:bidi w:val="0"/>
        <w:jc w:val="left"/>
        <w:rPr/>
      </w:pPr>
      <w:r>
        <w:rPr/>
        <w:t>1. Requisitos recebidos e como foram atendidos</w:t>
      </w:r>
    </w:p>
    <w:p>
      <w:pPr>
        <w:pStyle w:val="Heading3"/>
        <w:bidi w:val="0"/>
        <w:jc w:val="left"/>
        <w:rPr/>
      </w:pPr>
      <w:r>
        <w:rPr/>
        <w:t>Do e-mail de encaminhamento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3333"/>
        <w:gridCol w:w="5497"/>
      </w:tblGrid>
      <w:tr>
        <w:trPr>
          <w:tblHeader w:val="true"/>
        </w:trPr>
        <w:tc>
          <w:tcPr>
            <w:tcW w:w="241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Requisito informado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Decisão de produção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Tempo mínimo de vídeo: 12 a 18 minutos, podendo exceder com aplicação prática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Adotados </w:t>
            </w:r>
            <w:r>
              <w:rPr>
                <w:rStyle w:val="Strong"/>
              </w:rPr>
              <w:t>20 minutos</w:t>
            </w:r>
            <w:r>
              <w:rPr/>
              <w:t xml:space="preserve"> por videoaula, conforme determinação posterior do responsável, com narração dimensionada em 2.200 a 2.700 palavras faladas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Não gravar em estúdio; usar OBS Studio, Loom ou similar com captura de tela e câmera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Todo o material foi desenhado para captura de tela: cada aula tem um laboratório executável em </w:t>
            </w:r>
            <w:r>
              <w:rPr>
                <w:rStyle w:val="Cdigo-fonte"/>
              </w:rPr>
              <w:t>projeto_nexabot/aula_NN/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Conteúdo 100% conectado ao mercado de 2026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Pilha aberta atual: Python 3.12, </w:t>
            </w:r>
            <w:r>
              <w:rPr>
                <w:rStyle w:val="Cdigo-fonte"/>
              </w:rPr>
              <w:t>uv</w:t>
            </w:r>
            <w:r>
              <w:rPr/>
              <w:t xml:space="preserve">, </w:t>
            </w:r>
            <w:r>
              <w:rPr>
                <w:rStyle w:val="Cdigo-fonte"/>
              </w:rPr>
              <w:t>python-control</w:t>
            </w:r>
            <w:r>
              <w:rPr/>
              <w:t xml:space="preserve"> 0.10, FMI 3.0, Hypothesis, PlatformIO/ESP32, GitHub Actions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Modelo hands-on real: menos teoria solta, mais prática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Toda aula abre com a ferramenta em execução; a teoria entra como explicação do que está na tela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Aula prática desde os primeiros minutos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Bloco 00:00–02:00 sempre com terminal ou editor ativo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Construção do básico ao avançado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Progressão em quatro camadas: modelar (U1), controlar (U2), provar (U3), embarcar (U4)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Ritmo dinâmico e metodologia ativa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Situação-problema por aula, erro real demonstrado e corrigido, desafio ao final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Padrão visual limpo e profissional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Saída de terminal em tabela ASCII, fonte ampliada, sem janelas gráficas obrigatórias</w:t>
            </w:r>
          </w:p>
        </w:tc>
      </w:tr>
      <w:tr>
        <w:trPr/>
        <w:tc>
          <w:tcPr>
            <w:tcW w:w="241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333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Uso de ferramentas, cases, desafios e aplicações reais</w:t>
            </w:r>
          </w:p>
        </w:tc>
        <w:tc>
          <w:tcPr>
            <w:tcW w:w="5497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Fio condutor único (NexaBot) e casos automotivo, aeroespacial e de robótica na Aula 16</w:t>
            </w:r>
          </w:p>
        </w:tc>
      </w:tr>
    </w:tbl>
    <w:p>
      <w:pPr>
        <w:pStyle w:val="Heading3"/>
        <w:bidi w:val="0"/>
        <w:jc w:val="left"/>
        <w:rPr/>
      </w:pPr>
      <w:r>
        <w:rPr/>
        <w:t>Das diretrizes de gravação do Núcleo</w:t>
      </w:r>
    </w:p>
    <w:tbl>
      <w:tblPr>
        <w:tblW w:w="907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28"/>
        <w:gridCol w:w="6543"/>
      </w:tblGrid>
      <w:tr>
        <w:trPr>
          <w:tblHeader w:val="true"/>
        </w:trPr>
        <w:tc>
          <w:tcPr>
            <w:tcW w:w="2528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Diretriz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Ttulodetabela"/>
              <w:suppressLineNumbers/>
              <w:shd w:fill="E8E8E8" w:val="clear"/>
              <w:bidi w:val="0"/>
              <w:jc w:val="left"/>
              <w:rPr/>
            </w:pPr>
            <w:r>
              <w:rPr/>
              <w:t>Como o material a cumpre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Analisar criticamente a ementa e propor ajustes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Seção "Adequações propostas à ementa oficial" em </w:t>
            </w:r>
            <w:r>
              <w:rPr>
                <w:rStyle w:val="Cdigo-fonte"/>
              </w:rPr>
              <w:t>PLANO_APRENDIZAGEM_PROPOSTO.md</w:t>
            </w:r>
            <w:r>
              <w:rPr/>
              <w:t>, com tabela de correspondência ferramental. Nenhum tópico da ementa foi removido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Roteiro claro, objetivo e dinâmico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Roteiros com mapa de tempo por bloco, marcações de troca de tela e narração pronta para leitura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Metodologia ativa e foco em atenção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Situação-problema, erro deliberado e correção, pausa para reflexão, desafio final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Prática desde o início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Nenhuma aula abre por definição conceitual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Progressão do básico ao avançado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Aula 1 instala o ambiente; Aula 16 monta matriz de rastreabilidade e discute certificação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Tela limpa, legível, com fonte e contraste ajustados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Checklist de gravação na seção 6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Conteúdo atualizado para 2026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Versões fixadas e verificadas em </w:t>
            </w:r>
            <w:r>
              <w:rPr>
                <w:rStyle w:val="Cdigo-fonte"/>
              </w:rPr>
              <w:t>AMBIENTE_E_STACK.md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Prática guiada e desafio final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Todo laboratório termina em </w:t>
            </w:r>
            <w:r>
              <w:rPr>
                <w:rStyle w:val="Cdigo-fonte"/>
              </w:rPr>
              <w:t>NN_desafio.py</w:t>
            </w:r>
            <w:r>
              <w:rPr/>
              <w:t>, com enunciado e critério de aceitação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Comunicação profissional, direta e segura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Registro de exposição técnica contínua, sem oralidade informal e sem floreio</w:t>
            </w:r>
          </w:p>
        </w:tc>
      </w:tr>
      <w:tr>
        <w:trPr/>
        <w:tc>
          <w:tcPr>
            <w:tcW w:w="2528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Apresentação pessoal em no máximo 2 minutos</w:t>
            </w:r>
          </w:p>
        </w:tc>
        <w:tc>
          <w:tcPr>
            <w:tcW w:w="6543" w:type="dxa"/>
            <w:tcBorders/>
            <w:vAlign w:val="center"/>
          </w:tcPr>
          <w:p>
            <w:pPr>
              <w:pStyle w:val="Contedodatabela"/>
              <w:widowControl w:val="false"/>
              <w:suppressLineNumbers/>
              <w:bidi w:val="0"/>
              <w:jc w:val="left"/>
              <w:rPr/>
            </w:pPr>
            <w:r>
              <w:rPr/>
              <w:t>Vídeo introdutório roteirizado separadamente, com limite de 2 minutos</w:t>
            </w:r>
          </w:p>
        </w:tc>
      </w:tr>
    </w:tbl>
    <w:p>
      <w:pPr>
        <w:pStyle w:val="Heading2"/>
        <w:bidi w:val="0"/>
        <w:jc w:val="left"/>
        <w:rPr/>
      </w:pPr>
      <w:r>
        <w:rPr/>
        <w:t>2. Estrutura de arquivos da disciplina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disciplinas/model_based_design/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MODEL_BASED_DESIGN_FOR_CYBER_PHYSICAL_SYSTEMS.docx   (recebido, não editar)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orientacoes_gravacao_EAD.pdf                          (recebido, não editar)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direcionamentos.md                                    (recebido, não editar)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PLANO_APRENDIZAGEM_PROPOSTO.md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DIRETRIZES_PRODUCAO.md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ANALISE_MATERIAIS_RECEBIDOS.md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AMBIENTE_E_STACK.md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CRONOGRAMA.md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roteiro_video_introdutorio.md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unidade_1/  unidade_1.md · roteiros_20min.md · questoes_uni1.md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unidade_2/  unidade_2.md · roteiros_20min.md · questoes_uni2.md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unidade_3/  unidade_3.md · roteiros_20min.md · questoes_uni3.md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unidade_4/  unidade_4.md · roteiros_20min.md · questoes_uni4.md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instrumentos_avaliativos/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├── </w:t>
      </w:r>
      <w:r>
        <w:rPr>
          <w:rStyle w:val="Cdigo-fonte"/>
        </w:rPr>
        <w:t>avaliacao_dissertativa.md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│   └── </w:t>
      </w:r>
      <w:r>
        <w:rPr>
          <w:rStyle w:val="Cdigo-fonte"/>
        </w:rPr>
        <w:t>entrega_trabalho.md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├── </w:t>
      </w:r>
      <w:r>
        <w:rPr>
          <w:rStyle w:val="Cdigo-fonte"/>
        </w:rPr>
        <w:t>projeto_nexabot/            laboratório executável, um diretório por aula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 xml:space="preserve">└── </w:t>
      </w:r>
      <w:r>
        <w:rPr>
          <w:rStyle w:val="Cdigo-fonte"/>
        </w:rPr>
        <w:t>entrega_docx/               exportações institucionais geradas por tools/build_docx.py</w:t>
      </w:r>
    </w:p>
    <w:p>
      <w:pPr>
        <w:pStyle w:val="BodyText"/>
        <w:bidi w:val="0"/>
        <w:jc w:val="left"/>
        <w:rPr/>
      </w:pPr>
      <w:r>
        <w:rPr/>
        <w:t xml:space="preserve">O layout segue a </w:t>
      </w:r>
      <w:r>
        <w:rPr>
          <w:rStyle w:val="Strong"/>
        </w:rPr>
        <w:t>variante TECH do Átomo 3.0</w:t>
      </w:r>
      <w:r>
        <w:rPr/>
        <w:t xml:space="preserve">, a mesma de </w:t>
      </w:r>
      <w:r>
        <w:rPr>
          <w:rStyle w:val="Cdigo-fonte"/>
        </w:rPr>
        <w:t>disciplinas/distributed_systems_engineering/</w:t>
      </w:r>
      <w:r>
        <w:rPr/>
        <w:t>: um arquivo por unidade, roteiros em arquivo irmão, 40 questões por unidade e avaliação final exclusivamente dissertativa.</w:t>
      </w:r>
    </w:p>
    <w:p>
      <w:pPr>
        <w:pStyle w:val="Heading2"/>
        <w:bidi w:val="0"/>
        <w:jc w:val="left"/>
        <w:rPr/>
      </w:pPr>
      <w:r>
        <w:rPr/>
        <w:t xml:space="preserve">3. Estrutura de cada </w:t>
      </w:r>
      <w:r>
        <w:rPr>
          <w:rStyle w:val="Cdigo-fonte"/>
        </w:rPr>
        <w:t>unidade_N.md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Cabeçalho: disciplina, unidade, professor-conteudista.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Relação da unidade com a atuação profissional.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"O que você verá nesta unidade" (apenas na primeira aula de cada unidade, dentro do arquivo da unidade).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Quatro aulas completas, cada uma com: - situação-problema de abertura; - texto base de 700 a 1.200 palavras por aula, em seções curtas; - pelo menos um exemplo numérico completo, com os números do NexaBot; - laboratório prático correspondente em </w:t>
      </w:r>
      <w:r>
        <w:rPr>
          <w:rStyle w:val="Cdigo-fonte"/>
        </w:rPr>
        <w:t>projeto_nexabot/aula_NN/</w:t>
      </w:r>
      <w:r>
        <w:rPr/>
        <w:t xml:space="preserve">; - "Pausa para reflexão" ou desafio na terceira aula da unidade; - transição para a unidade seguinte na quarta aula (fechamento da disciplina na Aula 16); - síntese da aula com 3 a 6 pontos-chave; - referência ao roteiro da videoaula correspondente; - referências da aula.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Quiz não avaliativo com duas questões e devolutiva conceitual.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Atividade Avaliativa Individual (AAI) — </w:t>
      </w:r>
      <w:r>
        <w:rPr>
          <w:rStyle w:val="Strong"/>
        </w:rPr>
        <w:t>somente na Unidade 1</w:t>
      </w:r>
      <w:r>
        <w:rPr/>
        <w:t xml:space="preserve">, com enunciado dissertativo e resposta esperada.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Síntese da unidade.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Material complementar em quatro seções fixas: </w:t>
      </w:r>
      <w:r>
        <w:rPr>
          <w:rStyle w:val="Emphasis"/>
        </w:rPr>
        <w:t>Direto da Fonte</w:t>
      </w:r>
      <w:r>
        <w:rPr/>
        <w:t xml:space="preserve">, </w:t>
      </w:r>
      <w:r>
        <w:rPr>
          <w:rStyle w:val="Emphasis"/>
        </w:rPr>
        <w:t>Para Mergulhar no Assunto</w:t>
      </w:r>
      <w:r>
        <w:rPr/>
        <w:t xml:space="preserve">, </w:t>
      </w:r>
      <w:r>
        <w:rPr>
          <w:rStyle w:val="Emphasis"/>
        </w:rPr>
        <w:t>Podcast</w:t>
      </w:r>
      <w:r>
        <w:rPr/>
        <w:t xml:space="preserve"> (obrigatoriamente YouTube), </w:t>
      </w:r>
      <w:r>
        <w:rPr>
          <w:rStyle w:val="Emphasis"/>
        </w:rPr>
        <w:t>Artigo científico</w:t>
      </w:r>
      <w:r>
        <w:rPr/>
        <w:t xml:space="preserve"> (com DOI e referência ABNT).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Referências da unidade, em ABNT NBR 6023:2018. </w:t>
      </w:r>
    </w:p>
    <w:p>
      <w:pPr>
        <w:pStyle w:val="BodyText"/>
        <w:bidi w:val="0"/>
        <w:jc w:val="left"/>
        <w:rPr/>
      </w:pPr>
      <w:r>
        <w:rPr/>
        <w:t>Recursos visuais aparecem como blocos descritivos para a equipe de edição, no formato: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&gt; **Recurso visual N — Título.** Descrição do que deve ser produzido.</w:t>
      </w:r>
    </w:p>
    <w:p>
      <w:pPr>
        <w:pStyle w:val="Textoprformatado"/>
        <w:bidi w:val="0"/>
        <w:jc w:val="left"/>
        <w:rPr/>
      </w:pPr>
      <w:r>
        <w:rPr>
          <w:rStyle w:val="Cdigo-fonte"/>
        </w:rPr>
        <w:t>&gt; *Texto alternativo:* descrição acessível completa.</w:t>
      </w:r>
    </w:p>
    <w:p>
      <w:pPr>
        <w:pStyle w:val="BodyText"/>
        <w:bidi w:val="0"/>
        <w:jc w:val="left"/>
        <w:rPr/>
      </w:pPr>
      <w:r>
        <w:rPr/>
        <w:t>De 3 a 5 recursos visuais por aula.</w:t>
      </w:r>
    </w:p>
    <w:p>
      <w:pPr>
        <w:pStyle w:val="Heading2"/>
        <w:bidi w:val="0"/>
        <w:jc w:val="left"/>
        <w:rPr/>
      </w:pPr>
      <w:r>
        <w:rPr/>
        <w:t xml:space="preserve">4. Estrutura de cada </w:t>
      </w:r>
      <w:r>
        <w:rPr>
          <w:rStyle w:val="Cdigo-fonte"/>
        </w:rPr>
        <w:t>roteiros_20min.md</w:t>
      </w:r>
    </w:p>
    <w:p>
      <w:pPr>
        <w:pStyle w:val="BodyText"/>
        <w:bidi w:val="0"/>
        <w:jc w:val="left"/>
        <w:rPr/>
      </w:pPr>
      <w:r>
        <w:rPr/>
        <w:t>Um arquivo por unidade, contendo os quatro roteiros das videoaulas daquela unidade. Cada roteiro contém: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título da videoaula e vínculo com o plano de aprendizagem;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objetivo da videoaula;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mapa de tempo e de telas;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narração contínua, pronta para leitura, dividida em blocos com marcação </w:t>
      </w:r>
      <w:r>
        <w:rPr>
          <w:rStyle w:val="Cdigo-fonte"/>
        </w:rPr>
        <w:t>**[mm:ss–mm:ss · Tela N — Descrição]**</w:t>
      </w:r>
      <w:r>
        <w:rPr/>
        <w:t xml:space="preserve">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comandos exatos a digitar e saída esperada, quando o bloco for de demonstração;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indicações de edição e recursos visuais;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fontes e licenças de qualquer mídia externa. </w:t>
      </w:r>
    </w:p>
    <w:p>
      <w:pPr>
        <w:pStyle w:val="BodyText"/>
        <w:bidi w:val="0"/>
        <w:jc w:val="left"/>
        <w:rPr/>
      </w:pPr>
      <w:r>
        <w:rPr>
          <w:rStyle w:val="Strong"/>
        </w:rPr>
        <w:t>Dimensionamento:</w:t>
      </w:r>
      <w:r>
        <w:rPr/>
        <w:t xml:space="preserve"> 2.200 a 2.700 palavras faladas por roteiro, a um ritmo de 115 a 130 palavras por minuto. Títulos, marcações de tempo, comandos, saídas de terminal e indicações de edição não contam nesse total.</w:t>
      </w:r>
    </w:p>
    <w:p>
      <w:pPr>
        <w:pStyle w:val="BodyText"/>
        <w:bidi w:val="0"/>
        <w:jc w:val="left"/>
        <w:rPr/>
      </w:pPr>
      <w:r>
        <w:rPr>
          <w:rStyle w:val="Strong"/>
        </w:rPr>
        <w:t>Diferença em relação a uma disciplina expositiva:</w:t>
      </w:r>
      <w:r>
        <w:rPr/>
        <w:t xml:space="preserve"> esta é uma disciplina de captura de tela. Cada roteiro alterna entre blocos de </w:t>
      </w:r>
      <w:r>
        <w:rPr>
          <w:rStyle w:val="Strong"/>
        </w:rPr>
        <w:t>[SLIDE]</w:t>
      </w:r>
      <w:r>
        <w:rPr/>
        <w:t xml:space="preserve"> e blocos de </w:t>
      </w:r>
      <w:r>
        <w:rPr>
          <w:rStyle w:val="Strong"/>
        </w:rPr>
        <w:t>[TELA: terminal]</w:t>
      </w:r>
      <w:r>
        <w:rPr/>
        <w:t xml:space="preserve"> ou </w:t>
      </w:r>
      <w:r>
        <w:rPr>
          <w:rStyle w:val="Strong"/>
        </w:rPr>
        <w:t>[TELA: editor]</w:t>
      </w:r>
      <w:r>
        <w:rPr/>
        <w:t>, e todo bloco de tela traz o comando literal e um resumo da saída que aparecerá. O professor não improvisa o que digita.</w:t>
      </w:r>
    </w:p>
    <w:p>
      <w:pPr>
        <w:pStyle w:val="Heading2"/>
        <w:bidi w:val="0"/>
        <w:jc w:val="left"/>
        <w:rPr/>
      </w:pPr>
      <w:r>
        <w:rPr/>
        <w:t>5. Estrutura dos questionários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40 questões por unidade: 20 de asserção-razão (1 a 20) e 20 de interpretação (21 a 40).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Cinco alternativas por questão, de </w:t>
      </w:r>
      <w:r>
        <w:rPr>
          <w:rStyle w:val="Cdigo-fonte"/>
        </w:rPr>
        <w:t>a.</w:t>
      </w:r>
      <w:r>
        <w:rPr/>
        <w:t xml:space="preserve"> a </w:t>
      </w:r>
      <w:r>
        <w:rPr>
          <w:rStyle w:val="Cdigo-fonte"/>
        </w:rPr>
        <w:t>e.</w:t>
      </w:r>
      <w:r>
        <w:rPr/>
        <w:t xml:space="preserve">, com a correta prefixada por </w:t>
      </w:r>
      <w:r>
        <w:rPr>
          <w:rStyle w:val="Cdigo-fonte"/>
        </w:rPr>
        <w:t>*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Distribuição equilibrada da letra correta: 8 questões por letra no conjunto de 40.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Devolutiva para </w:t>
      </w:r>
      <w:r>
        <w:rPr>
          <w:rStyle w:val="Strong"/>
        </w:rPr>
        <w:t>todas</w:t>
      </w:r>
      <w:r>
        <w:rPr/>
        <w:t xml:space="preserve"> as alternativas, não apenas para a correta.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As questões de interpretação devem apresentar cenário, dado numérico ou trecho de código do NexaBot e exigir análise, não memorização. </w:t>
      </w:r>
    </w:p>
    <w:p>
      <w:pPr>
        <w:pStyle w:val="Heading2"/>
        <w:bidi w:val="0"/>
        <w:jc w:val="left"/>
        <w:rPr/>
      </w:pPr>
      <w:r>
        <w:rPr/>
        <w:t>6. Checklist de gravação (por aula)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Terminal em fonte grande, tema de alto contraste, prompt curto, diretório da aula já aberto.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Ambiente virtual ativado e verificado com </w:t>
      </w:r>
      <w:r>
        <w:rPr>
          <w:rStyle w:val="Cdigo-fonte"/>
        </w:rPr>
        <w:t>aula_01/01_ambiente.py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Scripts da aula executados uma vez antes de gravar, para conferir a saída.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Saída longa filtrada; nada de rolagem ilegível.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Nenhuma credencial, caminho pessoal ou aba particular na tela.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Câmera enquadrada, iluminação sem contraluz.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Marcação de erro deliberado ensaiada: o erro precisa aparecer e ser corrigido na mesma tomada, quando previsto no roteiro.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Duração cronometrada em ensaio antes da gravação definitiva. </w:t>
      </w:r>
    </w:p>
    <w:p>
      <w:pPr>
        <w:pStyle w:val="Heading2"/>
        <w:bidi w:val="0"/>
        <w:jc w:val="left"/>
        <w:rPr/>
      </w:pPr>
      <w:r>
        <w:rPr/>
        <w:t>7. Regras de conteúdo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Português do Brasil em todo o material, incluindo comentários e saídas dos scripts.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Estrangeirismos em itálico, exceto siglas, marcas, nomes próprios e trechos de código.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Matemática em LaTeX: </w:t>
      </w:r>
      <w:r>
        <w:rPr>
          <w:rStyle w:val="Cdigo-fonte"/>
        </w:rPr>
        <w:t>$…$</w:t>
      </w:r>
      <w:r>
        <w:rPr/>
        <w:t xml:space="preserve"> para linha e </w:t>
      </w:r>
      <w:r>
        <w:rPr>
          <w:rStyle w:val="Cdigo-fonte"/>
        </w:rPr>
        <w:t>$</w:t>
      </w:r>
      <w:r>
        <w:rPr/>
        <w:t xml:space="preserve"> isolado para bloco. Nunca dentro de cerca de código.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Referências em ABNT NBR 6023:2018.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Todo número citado no material escrito e nos roteiros deve ser reproduzível por um script de </w:t>
      </w:r>
      <w:r>
        <w:rPr>
          <w:rStyle w:val="Cdigo-fonte"/>
        </w:rPr>
        <w:t>projeto_nexabot/</w:t>
      </w:r>
      <w:r>
        <w:rPr/>
        <w:t xml:space="preserve">. Número que não roda não entra.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Honestidade técnica é requisito: o pipeline aberto </w:t>
      </w:r>
      <w:r>
        <w:rPr>
          <w:rStyle w:val="Strong"/>
        </w:rPr>
        <w:t>produz evidências</w:t>
      </w:r>
      <w:r>
        <w:rPr/>
        <w:t xml:space="preserve">, não certifica. Confiança e eventual qualificação de ferramentas dependem do uso, do impacto de erro e da capacidade de detecção posterior — não da licença aberta ou comercial. </w:t>
      </w:r>
    </w:p>
    <w:p>
      <w:pPr>
        <w:pStyle w:val="Heading2"/>
        <w:bidi w:val="0"/>
        <w:jc w:val="left"/>
        <w:rPr/>
      </w:pPr>
      <w:r>
        <w:rPr/>
        <w:t>8. Versões do estudante e do tutor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 avaliação final dissertativa e o trabalho PBL são arquivos-mestres, com Parte A (estudante) e Parte B (tutor).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Respostas esperadas, soluções e rubricas nunca podem permanecer no arquivo distribuído ao estudante.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 exportação para distribuição deve cortar o arquivo antes do início da Parte B. </w:t>
      </w:r>
    </w:p>
    <w:p>
      <w:pPr>
        <w:pStyle w:val="Heading2"/>
        <w:bidi w:val="0"/>
        <w:jc w:val="left"/>
        <w:rPr/>
      </w:pPr>
      <w:r>
        <w:rPr/>
        <w:t>9. Formatos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Fonte editável de produção: Markdown.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Entrega institucional: DOCX gerado por </w:t>
      </w:r>
      <w:r>
        <w:rPr>
          <w:rStyle w:val="Cdigo-fonte"/>
        </w:rPr>
        <w:t>tools/build_docx.py</w:t>
      </w:r>
      <w:r>
        <w:rPr/>
        <w:t xml:space="preserve">, com corpo em Times New Roman 12, espaçamento 1,15, alinhamento à esquerda.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Laboratórios: código Python e C versionado em </w:t>
      </w:r>
      <w:r>
        <w:rPr>
          <w:rStyle w:val="Cdigo-fonte"/>
        </w:rPr>
        <w:t>projeto_nexabot/</w:t>
      </w:r>
      <w:r>
        <w:rPr/>
        <w:t xml:space="preserve">. </w:t>
      </w:r>
    </w:p>
    <w:p>
      <w:pPr>
        <w:pStyle w:val="Heading2"/>
        <w:bidi w:val="0"/>
        <w:jc w:val="left"/>
        <w:rPr/>
      </w:pPr>
      <w:r>
        <w:rPr/>
        <w:t>10. Lista de verificação antes da entrega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Ementa oficial analisada criticamente e adequações registradas e justificadas.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Plano de aprendizagem com 4 unidades e 16 aulas de 20 minutos.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Fio condutor prático único, com parâmetros numéricos verificados em código.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Quatro arquivos de unidade completos.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Dezesseis roteiros de 20 minutos dimensionados e com comandos literais.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Roteiro do vídeo introdutório de até 2 minutos.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Cento e sessenta questões, com devolutiva para todas as alternativas.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Avaliação final com 10 dissertativas, respostas esperadas e critérios.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Trabalho PBL com Parte A e Parte B delimitadas.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Laboratório executável de todas as 16 aulas, com saída conferida.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[x] Exportação DOCX gerada e conferida.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Ensaio cronometrado de cada roteiro.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[ ] Relatório de similaridade (CopySpider) arquivado.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[ ] Validação da coordenação registrada. </w:t>
      </w:r>
    </w:p>
    <w:p>
      <w:pPr>
        <w:pStyle w:val="Corpodetextorodape"/>
        <w:bidi w:val="0"/>
        <w:spacing w:before="360" w:after="120"/>
        <w:jc w:val="left"/>
        <w:rPr/>
      </w:pPr>
      <w:r>
        <w:rPr/>
        <w:t xml:space="preserve">Model-Based Design for Cyber-Physical Systems — Professor-conteudista: Afonso Cesar Lelis Brandão. Documento gerado automaticamente a partir de </w:t>
      </w:r>
      <w:r>
        <w:rPr>
          <w:rStyle w:val="Cdigo-fonte"/>
        </w:rPr>
        <w:t>DIRETRIZES_PRODUCAO.md</w:t>
      </w:r>
      <w:r>
        <w:rPr/>
        <w:t>.</w:t>
      </w:r>
    </w:p>
    <w:sectPr>
      <w:type w:val="nextPage"/>
      <w:pgSz w:w="11906" w:h="16838"/>
      <w:pgMar w:left="1701" w:right="1134" w:gutter="0" w:header="0" w:top="1417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altName w:val="Times"/>
    <w:charset w:val="01"/>
    <w:family w:val="auto"/>
    <w:pitch w:val="default"/>
  </w:font>
  <w:font w:name="Courier New">
    <w:altName w:val="monospace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  <w:jc w:val="left"/>
    </w:pPr>
    <w:rPr>
      <w:rFonts w:ascii="Times New Roman;Times;serif" w:hAnsi="Times New Roman;Times;serif" w:eastAsia="Times New Roman;Times;serif" w:cs="Times New Roman;Times;serif"/>
      <w:color w:val="000000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360" w:after="200"/>
      <w:ind w:left="360" w:right="360"/>
      <w:outlineLvl w:val="0"/>
    </w:pPr>
    <w:rPr>
      <w:rFonts w:ascii="Times New Roman;Times;serif" w:hAnsi="Times New Roman;Times;serif" w:eastAsia="Times New Roman;Times;serif" w:cs="Times New Roman;Times;serif"/>
      <w:b/>
      <w:bCs/>
      <w:sz w:val="32"/>
      <w:szCs w:val="32"/>
    </w:rPr>
  </w:style>
  <w:style w:type="paragraph" w:styleId="Heading2">
    <w:name w:val="Heading 2"/>
    <w:basedOn w:val="Ttulo"/>
    <w:next w:val="BodyText"/>
    <w:qFormat/>
    <w:pPr>
      <w:spacing w:before="320" w:after="160"/>
      <w:ind w:left="320" w:right="320"/>
      <w:outlineLvl w:val="1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3">
    <w:name w:val="Heading 3"/>
    <w:basedOn w:val="Ttulo"/>
    <w:next w:val="BodyText"/>
    <w:qFormat/>
    <w:pPr>
      <w:spacing w:before="280" w:after="120"/>
      <w:ind w:left="280" w:right="280"/>
      <w:outlineLvl w:val="2"/>
    </w:pPr>
    <w:rPr>
      <w:rFonts w:ascii="Liberation Serif" w:hAnsi="Liberation Serif" w:eastAsia="Noto Serif CJK SC" w:cs="FreeSans"/>
      <w:b/>
      <w:bCs/>
      <w:sz w:val="24"/>
      <w:szCs w:val="24"/>
    </w:rPr>
  </w:style>
  <w:style w:type="paragraph" w:styleId="Heading4">
    <w:name w:val="Heading 4"/>
    <w:basedOn w:val="Ttulo"/>
    <w:next w:val="BodyText"/>
    <w:qFormat/>
    <w:pPr>
      <w:spacing w:before="240" w:after="120"/>
      <w:ind w:left="240" w:right="240"/>
      <w:outlineLvl w:val="3"/>
    </w:pPr>
    <w:rPr>
      <w:rFonts w:ascii="Liberation Serif" w:hAnsi="Liberation Serif" w:eastAsia="Noto Serif CJK SC" w:cs="FreeSans"/>
      <w:b/>
      <w:bCs/>
      <w:i/>
      <w:iCs/>
      <w:sz w:val="24"/>
      <w:szCs w:val="24"/>
    </w:rPr>
  </w:style>
  <w:style w:type="character" w:styleId="Cdigo-fonte">
    <w:name w:val="Código-fonte"/>
    <w:qFormat/>
    <w:rPr>
      <w:rFonts w:ascii="Courier New;monospace" w:hAnsi="Courier New;monospace" w:eastAsia="Courier New;monospace" w:cs="Courier New;monospace"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left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extoprformatado">
    <w:name w:val="Texto préformatado"/>
    <w:basedOn w:val="Normal"/>
    <w:qFormat/>
    <w:pPr>
      <w:pBdr>
        <w:top w:val="single" w:sz="4" w:space="6" w:color="BBBBBB"/>
        <w:left w:val="single" w:sz="4" w:space="6" w:color="BBBBBB"/>
        <w:bottom w:val="single" w:sz="4" w:space="6" w:color="BBBBBB"/>
        <w:right w:val="single" w:sz="4" w:space="6" w:color="BBBBBB"/>
      </w:pBdr>
      <w:shd w:fill="F2F2F2" w:val="clear"/>
      <w:spacing w:lineRule="auto" w:line="252" w:before="120" w:after="160"/>
      <w:ind w:left="120" w:right="120"/>
    </w:pPr>
    <w:rPr>
      <w:rFonts w:ascii="Courier New;monospace" w:hAnsi="Courier New;monospace" w:eastAsia="Courier New;monospace" w:cs="Courier New;monospace"/>
      <w:sz w:val="18"/>
      <w:szCs w:val="18"/>
    </w:rPr>
  </w:style>
  <w:style w:type="paragraph" w:styleId="Blocodecitao">
    <w:name w:val="Bloco de citação"/>
    <w:basedOn w:val="Normal"/>
    <w:qFormat/>
    <w:pPr>
      <w:pBdr>
        <w:left w:val="single" w:sz="16" w:space="8" w:color="888888"/>
      </w:pBdr>
      <w:spacing w:before="120" w:after="160"/>
      <w:ind w:hanging="0" w:left="320" w:right="120"/>
    </w:pPr>
    <w:rPr>
      <w:sz w:val="22"/>
      <w:szCs w:val="22"/>
    </w:rPr>
  </w:style>
  <w:style w:type="paragraph" w:styleId="Contedodatabela">
    <w:name w:val="Conteúdo da tabela"/>
    <w:basedOn w:val="Normal"/>
    <w:qFormat/>
    <w:pPr>
      <w:widowControl w:val="false"/>
      <w:suppressLineNumbers/>
      <w:jc w:val="left"/>
    </w:pPr>
    <w:rPr/>
  </w:style>
  <w:style w:type="paragraph" w:styleId="Ttulodetabela">
    <w:name w:val="Título de tabela"/>
    <w:basedOn w:val="Contedodatabela"/>
    <w:qFormat/>
    <w:pPr>
      <w:suppressLineNumbers/>
      <w:shd w:fill="E8E8E8" w:val="clear"/>
      <w:jc w:val="left"/>
    </w:pPr>
    <w:rPr>
      <w:b/>
      <w:bCs/>
    </w:rPr>
  </w:style>
  <w:style w:type="paragraph" w:styleId="Corpodetextorodape">
    <w:name w:val="Corpo de texto.rodape"/>
    <w:basedOn w:val="BodyText"/>
    <w:qFormat/>
    <w:pPr>
      <w:pBdr>
        <w:top w:val="single" w:sz="4" w:space="6" w:color="AAAAAA"/>
      </w:pBdr>
      <w:spacing w:before="360" w:after="120"/>
    </w:pPr>
    <w:rPr>
      <w:color w:val="555555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cp:revision>0</cp:revision>
  <dc:subject/>
  <dc:title>00 - Diretrizes de Producao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