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200"/>
        <w:jc w:val="left"/>
        <w:rPr/>
      </w:pPr>
      <w:r>
        <w:rPr/>
        <w:t>Plano de Aprendizagem Proposto</w:t>
      </w:r>
    </w:p>
    <w:p>
      <w:pPr>
        <w:pStyle w:val="Blocodecitao"/>
        <w:bidi w:val="0"/>
        <w:jc w:val="left"/>
        <w:rPr/>
      </w:pPr>
      <w:r>
        <w:rPr>
          <w:rStyle w:val="Strong"/>
        </w:rPr>
        <w:t>Status:</w:t>
      </w:r>
      <w:r>
        <w:rPr/>
        <w:t xml:space="preserve"> proposta do professor-conteudista, elaborada a partir da ementa oficial </w:t>
      </w:r>
      <w:r>
        <w:rPr>
          <w:rStyle w:val="Cdigo-fonte"/>
        </w:rPr>
        <w:t>MODEL_BASED_DESIGN_FOR_CYBER_PHYSICAL_SYSTEMS.docx</w:t>
      </w:r>
      <w:r>
        <w:rPr/>
        <w:t xml:space="preserve"> e das diretrizes de produção EAD do Núcleo das Engenharias e Tecnologia (</w:t>
      </w:r>
      <w:r>
        <w:rPr>
          <w:rStyle w:val="Cdigo-fonte"/>
        </w:rPr>
        <w:t>orientacoes_gravacao_EAD.pdf</w:t>
      </w:r>
      <w:r>
        <w:rPr/>
        <w:t>). As diretrizes convidam explicitamente o professor a analisar criticamente a ementa e propor ajustes; as adaptações feitas estão listadas na seção "Adequações propostas à ementa oficial" e devem ser ratificadas pela coordenação.</w:t>
      </w:r>
    </w:p>
    <w:p>
      <w:pPr>
        <w:pStyle w:val="Heading2"/>
        <w:bidi w:val="0"/>
        <w:jc w:val="left"/>
        <w:rPr/>
      </w:pPr>
      <w:r>
        <w:rPr/>
        <w:t>Identificação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Disciplina:</w:t>
      </w:r>
      <w:r>
        <w:rPr/>
        <w:t xml:space="preserve"> Model-Based Design for Cyber-Physical Systems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Núcleo:</w:t>
      </w:r>
      <w:r>
        <w:rPr/>
        <w:t xml:space="preserve"> Engenharias e Tecnologia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Modalidade:</w:t>
      </w:r>
      <w:r>
        <w:rPr/>
        <w:t xml:space="preserve"> EAD, com videoaulas gravadas por captura de tela e câmera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Professor-conteudista:</w:t>
      </w:r>
      <w:r>
        <w:rPr/>
        <w:t xml:space="preserve"> Afonso Cesar Lelis Brandão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Carga de videoaulas:</w:t>
      </w:r>
      <w:r>
        <w:rPr/>
        <w:t xml:space="preserve"> 16 videoaulas de 20 minutos, distribuídas em 4 unidades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Vídeo introdutório:</w:t>
      </w:r>
      <w:r>
        <w:rPr/>
        <w:t xml:space="preserve"> até 2 minutos, apresentação pessoal e conexão com o mercado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Idioma do material:</w:t>
      </w:r>
      <w:r>
        <w:rPr/>
        <w:t xml:space="preserve"> português do Brasil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Ano de referência do conteúdo:</w:t>
      </w:r>
      <w:r>
        <w:rPr/>
        <w:t xml:space="preserve"> 2026 </w:t>
      </w:r>
    </w:p>
    <w:p>
      <w:pPr>
        <w:pStyle w:val="Heading2"/>
        <w:bidi w:val="0"/>
        <w:jc w:val="left"/>
        <w:rPr/>
      </w:pPr>
      <w:r>
        <w:rPr/>
        <w:t>Ementa oficial (transcrição)</w:t>
      </w:r>
    </w:p>
    <w:p>
      <w:pPr>
        <w:pStyle w:val="BodyText"/>
        <w:bidi w:val="0"/>
        <w:jc w:val="left"/>
        <w:rPr/>
      </w:pPr>
      <w:r>
        <w:rPr/>
        <w:t>Metodologias de design baseado em modelos aplicadas ao desenvolvimento de sistemas ciberfísicos, integrando aspectos computacionais e físicos em um único framework de projeto. Aborda modelagem de plantas e controladores em domínio contínuo e discreto, co-simulação hardware-software, verificação formal e geração automática de código a partir de modelos. Explora ferramentas de modelagem e simulação de sistemas dinâmicos, com ênfase na rastreabilidade de requisitos e validação sistemática.</w:t>
      </w:r>
    </w:p>
    <w:p>
      <w:pPr>
        <w:pStyle w:val="Heading2"/>
        <w:bidi w:val="0"/>
        <w:jc w:val="left"/>
        <w:rPr/>
      </w:pPr>
      <w:r>
        <w:rPr/>
        <w:t>Objetivo geral</w:t>
      </w:r>
    </w:p>
    <w:p>
      <w:pPr>
        <w:pStyle w:val="BodyText"/>
        <w:bidi w:val="0"/>
        <w:jc w:val="left"/>
        <w:rPr/>
      </w:pPr>
      <w:r>
        <w:rPr/>
        <w:t>Capacitar o estudante a projetar sistemas ciberfísicos com abordagem baseada em modelos, integrando modelagem matemática, simulação, verificação formal e geração automática de código, de modo a garantir correção e rastreabilidade desde os requisitos até o binário embarcado.</w:t>
      </w:r>
    </w:p>
    <w:p>
      <w:pPr>
        <w:pStyle w:val="Heading2"/>
        <w:bidi w:val="0"/>
        <w:jc w:val="left"/>
        <w:rPr/>
      </w:pPr>
      <w:r>
        <w:rPr/>
        <w:t>Objetivos específicos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Modelar plantas físicas e controladores nos domínios contínuo e discreto, partindo de leis físicas e de dados de ensaio.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Desenvolver e simular sistemas de controle em malha aberta e fechada, quantificando desempenho por métricas objetivas.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Verificar propriedades formais de segurança e vivacidade e gerar casos de teste a partir de modelos.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Gerar código embarcado automaticamente a partir de modelos validados, preservando rastreabilidade.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Co-simular componentes de hardware e software em ambientes integrados, dimensionando o erro de acoplamento.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Produzir e sustentar evidências de correção compatíveis com os objetivos de normas de sistemas críticos. </w:t>
      </w:r>
    </w:p>
    <w:p>
      <w:pPr>
        <w:pStyle w:val="Heading2"/>
        <w:bidi w:val="0"/>
        <w:jc w:val="left"/>
        <w:rPr/>
      </w:pPr>
      <w:r>
        <w:rPr/>
        <w:t>Adequações propostas à ementa oficial</w:t>
      </w:r>
    </w:p>
    <w:p>
      <w:pPr>
        <w:pStyle w:val="BodyText"/>
        <w:bidi w:val="0"/>
        <w:jc w:val="left"/>
        <w:rPr/>
      </w:pPr>
      <w:r>
        <w:rPr/>
        <w:t xml:space="preserve">A ementa sugere MATLAB/Simulink, Stateflow, OpenModelica, UPPAAL e o Simulink Support Package para Arduino. Esta proposta </w:t>
      </w:r>
      <w:r>
        <w:rPr>
          <w:rStyle w:val="Strong"/>
        </w:rPr>
        <w:t>mantém integralmente os conteúdos e as competências da ementa</w:t>
      </w:r>
      <w:r>
        <w:rPr/>
        <w:t xml:space="preserve"> e substitui a espinha dorsal ferramental por uma pilha aberta baseada em Python. As razões são técnicas e pedagógicas, não ideológicas: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Acesso do estudante EAD.</w:t>
      </w:r>
      <w:r>
        <w:rPr/>
        <w:t xml:space="preserve"> A licença acadêmica de MATLAB/Simulink não acompanha o estudante depois da formatura e frequentemente não está instalada na máquina pessoal em que ele assiste à aula. Uma disciplina cujo laboratório o estudante não consegue reproduzir em casa contraria o requisito de "prática desde o início".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Mercado 2026.</w:t>
      </w:r>
      <w:r>
        <w:rPr/>
        <w:t xml:space="preserve"> Python é hoje a linguagem dominante em engenharia de controle aplicada, ciência de dados de processo e prototipagem de sistemas embarcados, e a pilha </w:t>
      </w:r>
      <w:r>
        <w:rPr>
          <w:rStyle w:val="Cdigo-fonte"/>
        </w:rPr>
        <w:t>python-control</w:t>
      </w:r>
      <w:r>
        <w:rPr/>
        <w:t xml:space="preserve"> + </w:t>
      </w:r>
      <w:r>
        <w:rPr>
          <w:rStyle w:val="Cdigo-fonte"/>
        </w:rPr>
        <w:t>numpy</w:t>
      </w:r>
      <w:r>
        <w:rPr/>
        <w:t>/</w:t>
      </w:r>
      <w:r>
        <w:rPr>
          <w:rStyle w:val="Cdigo-fonte"/>
        </w:rPr>
        <w:t>scipy</w:t>
      </w:r>
      <w:r>
        <w:rPr/>
        <w:t xml:space="preserve"> + </w:t>
      </w:r>
      <w:r>
        <w:rPr>
          <w:rStyle w:val="Cdigo-fonte"/>
        </w:rPr>
        <w:t>sympy</w:t>
      </w:r>
      <w:r>
        <w:rPr/>
        <w:t xml:space="preserve"> cobre exatamente o escopo da ementa. FMI/FMU é o padrão aberto de co-simulação efetivamente adotado pela indústria automotiva e aeroespacial, inclusive por quem usa Simulink.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Ver o mecanismo, não só a ferramenta.</w:t>
      </w:r>
      <w:r>
        <w:rPr/>
        <w:t xml:space="preserve"> As diretrizes pedem que o estudante veja "código, ferramenta, processo, erro, correção e solução funcionando". Um verificador de modelos escrito em 150 linhas de Python, cujo espaço de estados o estudante enxerga sendo percorrido, ensina mais do que um botão que devolve "property satisfied".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Rastreabilidade auditável.</w:t>
      </w:r>
      <w:r>
        <w:rPr/>
        <w:t xml:space="preserve"> Todo artefato desta disciplina é texto versionável em Git: modelo, propriedades, código gerado, testes e matriz de rastreabilidade. Isso é o que a ementa pede quando fala em "rastreabilidade de requisitos e validação sistemática". </w:t>
      </w:r>
    </w:p>
    <w:p>
      <w:pPr>
        <w:pStyle w:val="BodyText"/>
        <w:bidi w:val="0"/>
        <w:jc w:val="left"/>
        <w:rPr/>
      </w:pPr>
      <w:r>
        <w:rPr>
          <w:rStyle w:val="Strong"/>
        </w:rPr>
        <w:t>Correspondência ferramental proposta:</w:t>
      </w:r>
    </w:p>
    <w:tbl>
      <w:tblPr>
        <w:tblW w:w="90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38"/>
        <w:gridCol w:w="5316"/>
        <w:gridCol w:w="1217"/>
      </w:tblGrid>
      <w:tr>
        <w:trPr>
          <w:tblHeader w:val="true"/>
        </w:trPr>
        <w:tc>
          <w:tcPr>
            <w:tcW w:w="2538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Ferramenta da ementa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Substituta aberta adotada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Cobertura</w:t>
            </w:r>
          </w:p>
        </w:tc>
      </w:tr>
      <w:tr>
        <w:trPr/>
        <w:tc>
          <w:tcPr>
            <w:tcW w:w="253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MATLAB/Simulink (modelagem e simulação)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Python + </w:t>
            </w:r>
            <w:r>
              <w:rPr>
                <w:rStyle w:val="Cdigo-fonte"/>
              </w:rPr>
              <w:t>python-control</w:t>
            </w:r>
            <w:r>
              <w:rPr/>
              <w:t xml:space="preserve"> + </w:t>
            </w:r>
            <w:r>
              <w:rPr>
                <w:rStyle w:val="Cdigo-fonte"/>
              </w:rPr>
              <w:t>numpy</w:t>
            </w:r>
            <w:r>
              <w:rPr/>
              <w:t>/</w:t>
            </w:r>
            <w:r>
              <w:rPr>
                <w:rStyle w:val="Cdigo-fonte"/>
              </w:rPr>
              <w:t>scipy</w:t>
            </w:r>
            <w:r>
              <w:rPr/>
              <w:t xml:space="preserve"> + </w:t>
            </w:r>
            <w:r>
              <w:rPr>
                <w:rStyle w:val="Cdigo-fonte"/>
              </w:rPr>
              <w:t>sympy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Integral</w:t>
            </w:r>
          </w:p>
        </w:tc>
      </w:tr>
      <w:tr>
        <w:trPr/>
        <w:tc>
          <w:tcPr>
            <w:tcW w:w="253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Simulink (diagramas de blocos)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Álgebra de blocos programática em </w:t>
            </w:r>
            <w:r>
              <w:rPr>
                <w:rStyle w:val="Cdigo-fonte"/>
              </w:rPr>
              <w:t>python-control</w:t>
            </w:r>
            <w:r>
              <w:rPr/>
              <w:t xml:space="preserve"> (</w:t>
            </w:r>
            <w:r>
              <w:rPr>
                <w:rStyle w:val="Cdigo-fonte"/>
              </w:rPr>
              <w:t>series</w:t>
            </w:r>
            <w:r>
              <w:rPr/>
              <w:t xml:space="preserve">, </w:t>
            </w:r>
            <w:r>
              <w:rPr>
                <w:rStyle w:val="Cdigo-fonte"/>
              </w:rPr>
              <w:t>parallel</w:t>
            </w:r>
            <w:r>
              <w:rPr/>
              <w:t xml:space="preserve">, </w:t>
            </w:r>
            <w:r>
              <w:rPr>
                <w:rStyle w:val="Cdigo-fonte"/>
              </w:rPr>
              <w:t>feedback</w:t>
            </w:r>
            <w:r>
              <w:rPr/>
              <w:t>)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Integral</w:t>
            </w:r>
          </w:p>
        </w:tc>
      </w:tr>
      <w:tr>
        <w:trPr/>
        <w:tc>
          <w:tcPr>
            <w:tcW w:w="253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Stateflow (máquinas de estado)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Máquina de estados explícita em Python + verificador de estados alcançáveis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Integral</w:t>
            </w:r>
          </w:p>
        </w:tc>
      </w:tr>
      <w:tr>
        <w:trPr/>
        <w:tc>
          <w:tcPr>
            <w:tcW w:w="253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OpenModelica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Mantida na ementa; o caminho canônico da disciplina é o FMU FMI 3.0 construído no próprio projeto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Integral</w:t>
            </w:r>
          </w:p>
        </w:tc>
      </w:tr>
      <w:tr>
        <w:trPr/>
        <w:tc>
          <w:tcPr>
            <w:tcW w:w="253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UPPAAL (autômatos temporizados)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Autômato temporizado de tempo discreto verificado exaustivamente em Python; UPPAAL apresentado como contraparte industrial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Integral</w:t>
            </w:r>
          </w:p>
        </w:tc>
      </w:tr>
      <w:tr>
        <w:trPr/>
        <w:tc>
          <w:tcPr>
            <w:tcW w:w="253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Simulink Coder (geração de código)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SymPy + Jinja2 → C, com bloco de rastreabilidade no cabeçalho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Integral</w:t>
            </w:r>
          </w:p>
        </w:tc>
      </w:tr>
      <w:tr>
        <w:trPr/>
        <w:tc>
          <w:tcPr>
            <w:tcW w:w="253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Simulink Support Package for Arduino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PlatformIO + ESP32, com back-end de </w:t>
            </w:r>
            <w:r>
              <w:rPr>
                <w:rStyle w:val="Emphasis"/>
              </w:rPr>
              <w:t>loopback</w:t>
            </w:r>
            <w:r>
              <w:rPr/>
              <w:t xml:space="preserve"> em C para quem não tem placa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Integral</w:t>
            </w:r>
          </w:p>
        </w:tc>
      </w:tr>
      <w:tr>
        <w:trPr/>
        <w:tc>
          <w:tcPr>
            <w:tcW w:w="253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— </w:t>
            </w:r>
            <w:r>
              <w:rPr/>
              <w:t>(não previsto na ementa)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NuSMV para </w:t>
            </w:r>
            <w:r>
              <w:rPr>
                <w:rStyle w:val="Emphasis"/>
              </w:rPr>
              <w:t>model checking</w:t>
            </w:r>
            <w:r>
              <w:rPr/>
              <w:t xml:space="preserve"> LTL/CTL industrial</w:t>
            </w:r>
          </w:p>
        </w:tc>
        <w:tc>
          <w:tcPr>
            <w:tcW w:w="121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Acréscimo</w:t>
            </w:r>
          </w:p>
        </w:tc>
      </w:tr>
    </w:tbl>
    <w:p>
      <w:pPr>
        <w:pStyle w:val="BodyText"/>
        <w:bidi w:val="0"/>
        <w:jc w:val="left"/>
        <w:rPr/>
      </w:pPr>
      <w:r>
        <w:rPr/>
        <w:t>Nenhum tópico da ementa foi removido. Os acréscimos são FMI 3.0, integração contínua e ponto fixo Q16.16, todos justificados pela exigência de conteúdo conectado ao mercado de 2026.</w:t>
      </w:r>
    </w:p>
    <w:p>
      <w:pPr>
        <w:pStyle w:val="Heading2"/>
        <w:bidi w:val="0"/>
        <w:jc w:val="left"/>
        <w:rPr/>
      </w:pPr>
      <w:r>
        <w:rPr/>
        <w:t>Competências desenvolvidas</w:t>
      </w:r>
    </w:p>
    <w:p>
      <w:pPr>
        <w:pStyle w:val="Heading3"/>
        <w:bidi w:val="0"/>
        <w:jc w:val="left"/>
        <w:rPr/>
      </w:pPr>
      <w:r>
        <w:rPr/>
        <w:t>Competência central (da ementa)</w:t>
      </w:r>
    </w:p>
    <w:p>
      <w:pPr>
        <w:pStyle w:val="BodyText"/>
        <w:bidi w:val="0"/>
        <w:jc w:val="left"/>
        <w:rPr/>
      </w:pPr>
      <w:r>
        <w:rPr/>
        <w:t>Projetar sistemas ciberfísicos com abordagem MBD, integrando modelagem matemática, simulação, verificação e geração de código, garantindo rastreabilidade de requisitos e correção desde a fase de projeto.</w:t>
      </w:r>
    </w:p>
    <w:p>
      <w:pPr>
        <w:pStyle w:val="Heading3"/>
        <w:bidi w:val="0"/>
        <w:jc w:val="left"/>
        <w:rPr/>
      </w:pPr>
      <w:r>
        <w:rPr/>
        <w:t>Habilidades técnicas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Modelar sistemas dinâmicos em espaço de estados e em função de transferência, a partir de leis físicas e de dados experimentais.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Projetar controladores PID e por realimentação de estados, com critérios quantitativos de aceitação.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Discretizar controladores e escolher período de amostragem com base nas constantes de tempo da planta.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Especificar propriedades formais e verificá-las por </w:t>
      </w:r>
      <w:r>
        <w:rPr>
          <w:rStyle w:val="Emphasis"/>
        </w:rPr>
        <w:t>model checking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Gerar casos de teste a partir de modelos e medir cobertura de estados, transições e condições de guarda.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Gerar código embarcado a partir do modelo e demonstrar equivalência modelo-código.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Co-simular planta e controlador por FMI e dimensionar o erro de acoplamento.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Montar e manter uma matriz de rastreabilidade requisito → modelo → código → teste. </w:t>
      </w:r>
    </w:p>
    <w:p>
      <w:pPr>
        <w:pStyle w:val="Heading3"/>
        <w:bidi w:val="0"/>
        <w:jc w:val="left"/>
        <w:rPr/>
      </w:pPr>
      <w:r>
        <w:rPr/>
        <w:t>Atitudes profissionais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Rigor formal na modelagem e verificação de sistemas críticos.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Disciplina na manutenção da rastreabilidade entre requisitos, modelos e código.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Pensamento sistêmico para integrar subsistemas físicos e computacionais.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Responsabilidade com segurança e confiabilidade em sistemas de tempo real.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Ceticismo produtivo: nenhuma afirmação sobre o sistema vale sem evidência reproduzível. </w:t>
      </w:r>
    </w:p>
    <w:p>
      <w:pPr>
        <w:pStyle w:val="Heading2"/>
        <w:bidi w:val="0"/>
        <w:jc w:val="left"/>
        <w:rPr/>
      </w:pPr>
      <w:r>
        <w:rPr/>
        <w:t>Conhecimentos prévios recomendados</w:t>
      </w:r>
    </w:p>
    <w:p>
      <w:pPr>
        <w:pStyle w:val="BodyText"/>
        <w:bidi w:val="0"/>
        <w:jc w:val="left"/>
        <w:rPr/>
      </w:pPr>
      <w:r>
        <w:rPr/>
        <w:t>Cálculo diferencial e integral, álgebra linear (matrizes e autovalores), circuitos elétricos básicos, física mecânica e programação em Python em nível intermediário. Equações diferenciais ordinárias e transformada de Laplace são retomadas na disciplina, no nível necessário, na Unidade 1.</w:t>
      </w:r>
    </w:p>
    <w:p>
      <w:pPr>
        <w:pStyle w:val="Heading2"/>
        <w:bidi w:val="0"/>
        <w:jc w:val="left"/>
        <w:rPr/>
      </w:pPr>
      <w:r>
        <w:rPr/>
        <w:t>Fio condutor prático: o NexaBot</w:t>
      </w:r>
    </w:p>
    <w:p>
      <w:pPr>
        <w:pStyle w:val="BodyText"/>
        <w:bidi w:val="0"/>
        <w:jc w:val="left"/>
        <w:rPr/>
      </w:pPr>
      <w:r>
        <w:rPr/>
        <w:t xml:space="preserve">Toda a disciplina é atravessada por um único sistema ciberfísico: o </w:t>
      </w:r>
      <w:r>
        <w:rPr>
          <w:rStyle w:val="Strong"/>
        </w:rPr>
        <w:t>NexaBot</w:t>
      </w:r>
      <w:r>
        <w:rPr/>
        <w:t>, um veículo autoguiado (AGV) de armazém industrial. O estudante o encontra na Aula 1 como um desenho e o entrega na Aula 16 como um sistema modelado, verificado, gerado, testado e rastreado.</w:t>
      </w:r>
    </w:p>
    <w:p>
      <w:pPr>
        <w:pStyle w:val="BodyText"/>
        <w:bidi w:val="0"/>
        <w:jc w:val="left"/>
        <w:rPr/>
      </w:pPr>
      <w:r>
        <w:rPr>
          <w:rStyle w:val="Strong"/>
        </w:rPr>
        <w:t>Descrição física.</w:t>
      </w:r>
      <w:r>
        <w:rPr/>
        <w:t xml:space="preserve"> Tração por motor de corrente contínua de ímã permanente de 24 V, acoplado a um redutor de relação 20:1 e a uma roda de 50 mm de raio.</w:t>
      </w:r>
    </w:p>
    <w:p>
      <w:pPr>
        <w:pStyle w:val="BodyText"/>
        <w:bidi w:val="0"/>
        <w:jc w:val="left"/>
        <w:rPr/>
      </w:pPr>
      <w:r>
        <w:rPr>
          <w:rStyle w:val="Strong"/>
        </w:rPr>
        <w:t>Parâmetros identificados (fonte única de verdade numérica da disciplina):</w:t>
      </w:r>
    </w:p>
    <w:tbl>
      <w:tblPr>
        <w:tblW w:w="552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46"/>
        <w:gridCol w:w="946"/>
        <w:gridCol w:w="1066"/>
        <w:gridCol w:w="1066"/>
      </w:tblGrid>
      <w:tr>
        <w:trPr>
          <w:tblHeader w:val="true"/>
        </w:trPr>
        <w:tc>
          <w:tcPr>
            <w:tcW w:w="2446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Parâmetro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Símbolo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Valor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Unidade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Resistência de armadura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1,2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Ω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Indutância de armadura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L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3,5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mH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Constante de torque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Kₜ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0,045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 m/A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Constante de f.c.e.m.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Kₑ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0,045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V s/rad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Inércia refletida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J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2,5 × 10⁻⁴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kg m²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Atrito viscoso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b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8,0 × 10⁻⁵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 m s/rad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Relação de redução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Raio da roda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0,05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Tensão máxima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Vₘₐₓ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24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V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Corrente máxima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iₘₐₓ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</w:t>
            </w:r>
          </w:p>
        </w:tc>
      </w:tr>
      <w:tr>
        <w:trPr/>
        <w:tc>
          <w:tcPr>
            <w:tcW w:w="24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Período de amostragem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Tₛ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ms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Grandezas derivadas verificadas em código: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Polos contínuos da planta: -335,96 e -7,215 (rad/s).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Aproximações desacopladas: L/R ≈ 2,92 ms e JR/(KₜKₑ) ≈ 148 ms. No modelo acoplado, os polos fornecem 2,9765 ms e 138,598 ms. A separação de cerca de 46,6 vezes e a constante dominante sustentam a análise de Tₛ = 5 ms.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Ganho estático: 21,2164 rad/(s V).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Velocidade de operação de 1,0 m/s corresponde a 400 rad/s no eixo do motor e exige 18,85 V em regime permanente — sobra de apenas 5,15 V para a ação transitória do controlador, o que torna a saturação do atuador um problema real e não uma hipótese acadêmica.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Velocidade máxima em 24 V: 1,273 m/s.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 planta é controlável e observável (posto 2 nas matrizes de controlabilidade e observabilidade). </w:t>
      </w:r>
    </w:p>
    <w:p>
      <w:pPr>
        <w:pStyle w:val="BodyText"/>
        <w:bidi w:val="0"/>
        <w:jc w:val="left"/>
        <w:rPr/>
      </w:pPr>
      <w:r>
        <w:rPr>
          <w:rStyle w:val="Strong"/>
        </w:rPr>
        <w:t>Requisitos do NexaBot (formalizados ao longo da disciplina):</w:t>
      </w:r>
    </w:p>
    <w:tbl>
      <w:tblPr>
        <w:tblW w:w="90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04"/>
        <w:gridCol w:w="7267"/>
      </w:tblGrid>
      <w:tr>
        <w:trPr>
          <w:tblHeader w:val="true"/>
        </w:trPr>
        <w:tc>
          <w:tcPr>
            <w:tcW w:w="1804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ID</w:t>
            </w:r>
          </w:p>
        </w:tc>
        <w:tc>
          <w:tcPr>
            <w:tcW w:w="7267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Requisito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REQ-PLANT-001</w:t>
            </w:r>
          </w:p>
        </w:tc>
        <w:tc>
          <w:tcPr>
            <w:tcW w:w="72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O modelo da planta deve reproduzir o ensaio de degrau com erro de ajuste inferior a 5%.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REQ-PLANT-002</w:t>
            </w:r>
          </w:p>
        </w:tc>
        <w:tc>
          <w:tcPr>
            <w:tcW w:w="72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 tensão de comando não pode exceder 24 V nem a corrente exceder 12 A.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REQ-CTRL-001</w:t>
            </w:r>
          </w:p>
        </w:tc>
        <w:tc>
          <w:tcPr>
            <w:tcW w:w="72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 velocidade deve rastrear a referência com erro em regime permanente nulo para degrau.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REQ-CTRL-002</w:t>
            </w:r>
          </w:p>
        </w:tc>
        <w:tc>
          <w:tcPr>
            <w:tcW w:w="72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O comando deve respeitar a saturação do atuador sem perder estabilidade.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REQ-CTRL-003</w:t>
            </w:r>
          </w:p>
        </w:tc>
        <w:tc>
          <w:tcPr>
            <w:tcW w:w="72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O integrador não pode acumular durante a saturação (</w:t>
            </w:r>
            <w:r>
              <w:rPr>
                <w:rStyle w:val="Emphasis"/>
              </w:rPr>
              <w:t>anti-windup</w:t>
            </w:r>
            <w:r>
              <w:rPr/>
              <w:t>).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REQ-SAFE-001</w:t>
            </w:r>
          </w:p>
        </w:tc>
        <w:tc>
          <w:tcPr>
            <w:tcW w:w="72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Nunca habilitar torque enquanto houver obstáculo detectado.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REQ-SAFE-002</w:t>
            </w:r>
          </w:p>
        </w:tc>
        <w:tc>
          <w:tcPr>
            <w:tcW w:w="72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Emergência acionada implica freio acionado e torque desabilitado.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REQ-SAFE-003</w:t>
            </w:r>
          </w:p>
        </w:tc>
        <w:tc>
          <w:tcPr>
            <w:tcW w:w="72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O estado de movimento deve ser alcançável a partir do repouso.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REQ-SAFE-004</w:t>
            </w:r>
          </w:p>
        </w:tc>
        <w:tc>
          <w:tcPr>
            <w:tcW w:w="72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Do estado de falha só se sai por rearme explícito do operador.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REQ-SAFE-005</w:t>
            </w:r>
          </w:p>
        </w:tc>
        <w:tc>
          <w:tcPr>
            <w:tcW w:w="72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Removido o obstáculo, com comando de partida, o sistema retoma o movimento.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REQ-SAFE-006</w:t>
            </w:r>
          </w:p>
        </w:tc>
        <w:tc>
          <w:tcPr>
            <w:tcW w:w="72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Detectado o obstáculo, o torque deve ser zerado em no máximo 150 ms.</w:t>
            </w:r>
          </w:p>
        </w:tc>
      </w:tr>
      <w:tr>
        <w:trPr/>
        <w:tc>
          <w:tcPr>
            <w:tcW w:w="180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REQ-SAFE-007</w:t>
            </w:r>
          </w:p>
        </w:tc>
        <w:tc>
          <w:tcPr>
            <w:tcW w:w="72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 velocidade linear não pode exceder 1,20 m/s.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Repositório do projeto:</w:t>
      </w:r>
      <w:r>
        <w:rPr/>
        <w:t xml:space="preserve"> </w:t>
      </w:r>
      <w:r>
        <w:rPr>
          <w:rStyle w:val="Cdigo-fonte"/>
        </w:rPr>
        <w:t>projeto_nexabot/</w:t>
      </w:r>
      <w:r>
        <w:rPr/>
        <w:t>, com um subdiretório executável por aula (</w:t>
      </w:r>
      <w:r>
        <w:rPr>
          <w:rStyle w:val="Cdigo-fonte"/>
        </w:rPr>
        <w:t>aula_01/</w:t>
      </w:r>
      <w:r>
        <w:rPr/>
        <w:t xml:space="preserve"> a </w:t>
      </w:r>
      <w:r>
        <w:rPr>
          <w:rStyle w:val="Cdigo-fonte"/>
        </w:rPr>
        <w:t>aula_16/</w:t>
      </w:r>
      <w:r>
        <w:rPr/>
        <w:t xml:space="preserve">) e o pacote </w:t>
      </w:r>
      <w:r>
        <w:rPr>
          <w:rStyle w:val="Cdigo-fonte"/>
        </w:rPr>
        <w:t>nexabot/</w:t>
      </w:r>
      <w:r>
        <w:rPr/>
        <w:t xml:space="preserve"> com o código de biblioteca.</w:t>
      </w:r>
    </w:p>
    <w:p>
      <w:pPr>
        <w:pStyle w:val="Heading2"/>
        <w:bidi w:val="0"/>
        <w:jc w:val="left"/>
        <w:rPr/>
      </w:pPr>
      <w:r>
        <w:rPr/>
        <w:t>Pilha tecnológica adotada</w:t>
      </w:r>
    </w:p>
    <w:tbl>
      <w:tblPr>
        <w:tblW w:w="889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51"/>
        <w:gridCol w:w="4111"/>
        <w:gridCol w:w="1936"/>
      </w:tblGrid>
      <w:tr>
        <w:trPr>
          <w:tblHeader w:val="true"/>
        </w:trPr>
        <w:tc>
          <w:tcPr>
            <w:tcW w:w="2851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Camada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Ferramenta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Versão verificada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Gerenciamento de ambiente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uv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2026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Linguagem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Python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3.12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Álgebra numérica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NumPy / SciPy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2.5 / 1.18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Controle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>
                <w:rStyle w:val="Cdigo-fonte"/>
              </w:rPr>
              <w:t>python-control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0.10.2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Álgebra simbólica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SymPy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1.14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Gráficos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Matplotlib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3.11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Co-simulação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FMI 3.0 + FMPy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Modelagem física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OpenModelica (Modelica)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Verificação formal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Verificador próprio em Python + NuSMV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Autômatos temporizados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Verificador próprio + UPPAAL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Testes baseados em modelos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pytest + Hypothesis + coverage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Geração de código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SymPy + Jinja2 → C (gcc)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Alvo embarcado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PlatformIO + ESP32 (e </w:t>
            </w:r>
            <w:r>
              <w:rPr>
                <w:rStyle w:val="Emphasis"/>
              </w:rPr>
              <w:t>loopback</w:t>
            </w:r>
            <w:r>
              <w:rPr/>
              <w:t xml:space="preserve"> em C)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85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Integração contínua</w:t>
            </w:r>
          </w:p>
        </w:tc>
        <w:tc>
          <w:tcPr>
            <w:tcW w:w="411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GitHub Actions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Linhahorizont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Organização das unidades</w:t>
      </w:r>
    </w:p>
    <w:p>
      <w:pPr>
        <w:pStyle w:val="BodyText"/>
        <w:bidi w:val="0"/>
        <w:jc w:val="left"/>
        <w:rPr/>
      </w:pPr>
      <w:r>
        <w:rPr/>
        <w:t>Cada unidade tem quatro videoaulas de 20 minutos. A primeira aula de cada unidade abre a unidade com "O que você verá nesta unidade"; a terceira traz uma "Pausa para reflexão" ou um desafio; a quarta faz a transição para a unidade seguinte, e a Aula 16 encerra a disciplina.</w:t>
      </w:r>
    </w:p>
    <w:p>
      <w:pPr>
        <w:pStyle w:val="BodyText"/>
        <w:bidi w:val="0"/>
        <w:jc w:val="left"/>
        <w:rPr/>
      </w:pPr>
      <w:r>
        <w:rPr/>
        <w:t>A régua sobe unidade a unidade: a Unidade 1 constrói o modelo, a Unidade 2 fecha a malha, a Unidade 3 prova que o comportamento é correto e a Unidade 4 transforma o modelo em binário embarcado com evidências.</w:t>
      </w:r>
    </w:p>
    <w:p>
      <w:pPr>
        <w:pStyle w:val="Heading2"/>
        <w:bidi w:val="0"/>
        <w:jc w:val="left"/>
        <w:rPr/>
      </w:pPr>
      <w:r>
        <w:rPr/>
        <w:t>Unidade 1 — Fundamentos de sistemas ciberfísicos e modelagem da planta</w:t>
      </w:r>
    </w:p>
    <w:p>
      <w:pPr>
        <w:pStyle w:val="Heading3"/>
        <w:bidi w:val="0"/>
        <w:jc w:val="left"/>
        <w:rPr/>
      </w:pPr>
      <w:r>
        <w:rPr/>
        <w:t>Resultado de aprendizagem da unidade</w:t>
      </w:r>
    </w:p>
    <w:p>
      <w:pPr>
        <w:pStyle w:val="BodyText"/>
        <w:bidi w:val="0"/>
        <w:jc w:val="left"/>
        <w:rPr/>
      </w:pPr>
      <w:r>
        <w:rPr/>
        <w:t>Ao final, o estudante modela uma planta física real em espaço de estados e em função de transferência, identifica seus parâmetros a partir de dados de ensaio, valida o modelo contra dados retidos e analisa estabilidade, controlabilidade e observabilidade — tudo com ferramentas abertas, em código versionado.</w:t>
      </w:r>
    </w:p>
    <w:p>
      <w:pPr>
        <w:pStyle w:val="Heading3"/>
        <w:bidi w:val="0"/>
        <w:jc w:val="left"/>
        <w:rPr/>
      </w:pPr>
      <w:r>
        <w:rPr/>
        <w:t>Aula 1 — Sistemas ciberfísicos e o ciclo do design baseado em modelos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Prática de abertura (primeiros 4 minutos):</w:t>
      </w:r>
      <w:r>
        <w:rPr/>
        <w:t xml:space="preserve"> criar o ambiente com </w:t>
      </w:r>
      <w:r>
        <w:rPr>
          <w:rStyle w:val="Cdigo-fonte"/>
        </w:rPr>
        <w:t>uv</w:t>
      </w:r>
      <w:r>
        <w:rPr/>
        <w:t xml:space="preserve">, instalar a pilha e rodar a primeira simulação do NexaBot.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Conceitos:</w:t>
      </w:r>
      <w:r>
        <w:rPr/>
        <w:t xml:space="preserve"> o que torna um sistema ciberfísico distinto de um software comum e de um sistema puramente físico; acoplamento entre dinâmica contínua e lógica discreta; por que o erro em CPS tem consequência física; o V-Model e a posição do MBD nele; o custo relativo de um defeito descoberto em cada fase.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Demonstração:</w:t>
      </w:r>
      <w:r>
        <w:rPr/>
        <w:t xml:space="preserve"> o NexaBot em malha aberta não sustenta a velocidade quando a carga muda — motivação concreta para toda a disciplina.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Exemplo numérico:</w:t>
      </w:r>
      <w:r>
        <w:rPr/>
        <w:t xml:space="preserve"> com 18,85 V fixos, o NexaBot atinge 1,00 m/s sem carga; sob torque de carga de 0,05 N·m, a velocidade cai e o erro aparece. A conta mostra que malha aberta não é opção.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Atividade prática:</w:t>
      </w:r>
      <w:r>
        <w:rPr/>
        <w:t xml:space="preserve"> mapear as 16 aulas no V-Model e registrar em que ramo cada uma atua.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Entregável da aula:</w:t>
      </w:r>
      <w:r>
        <w:rPr/>
        <w:t xml:space="preserve"> ambiente funcionando e a primeira figura de resposta ao degrau. </w:t>
      </w:r>
    </w:p>
    <w:p>
      <w:pPr>
        <w:pStyle w:val="Heading3"/>
        <w:bidi w:val="0"/>
        <w:jc w:val="left"/>
        <w:rPr/>
      </w:pPr>
      <w:r>
        <w:rPr/>
        <w:t>Aula 2 — Da equação diferencial ao espaço de estados, com identificação por dados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Prática de abertura:</w:t>
      </w:r>
      <w:r>
        <w:rPr/>
        <w:t xml:space="preserve"> derivar simbolicamente as matrizes A, B, C, D com SymPy, na tela.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Conceitos:</w:t>
      </w:r>
      <w:r>
        <w:rPr/>
        <w:t xml:space="preserve"> modelagem por leis de conservação; escolha de variáveis de estado; forma x = Ax + Bu, y = Cx + Du; por que o estado é a memória mínima do sistema; identificação de parâmetros por mínimos quadrados; validação com dados retidos.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Demonstração:</w:t>
      </w:r>
      <w:r>
        <w:rPr/>
        <w:t xml:space="preserve"> ensaio de degrau com ruído de medição e quantização de encoder, ajuste dos parâmetros e comparação com os valores verdadeiros.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Exemplo numérico:</w:t>
      </w:r>
      <w:r>
        <w:rPr/>
        <w:t xml:space="preserve"> A = [-342,86 -12,86; 180,0 -0,32], B = [285,71; 0]; ganho estático 21,2164 rad/(s V) conferido contra o valor medido em regime.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Atividade prática:</w:t>
      </w:r>
      <w:r>
        <w:rPr/>
        <w:t xml:space="preserve"> identificar os parâmetros a partir de um segundo conjunto de dados e reportar o erro percentual de cada um. </w:t>
      </w:r>
    </w:p>
    <w:p>
      <w:pPr>
        <w:pStyle w:val="Heading3"/>
        <w:bidi w:val="0"/>
        <w:jc w:val="left"/>
        <w:rPr/>
      </w:pPr>
      <w:r>
        <w:rPr/>
        <w:t>Aula 3 — Laplace, função de transferência e resposta em frequência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Prática de abertura:</w:t>
      </w:r>
      <w:r>
        <w:rPr/>
        <w:t xml:space="preserve"> aplicar a transformada de Laplace às duas equações do motor, no SymPy, e chegar a G(s).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Conceitos:</w:t>
      </w:r>
      <w:r>
        <w:rPr/>
        <w:t xml:space="preserve"> transformada de Laplace como ferramenta de projeto; polos, zeros e constantes de tempo; separação de escalas de tempo; diagrama de Bode; margens de ganho e de fase; largura de banda.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Demonstração:</w:t>
      </w:r>
      <w:r>
        <w:rPr/>
        <w:t xml:space="preserve"> os dois polos do NexaBot e o que cada um significa fisicamente; a separação elétrica/mecânica de duas ordens de grandeza.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Exemplo numérico:</w:t>
      </w:r>
      <w:r>
        <w:rPr/>
        <w:t xml:space="preserve"> G(s) = 0,0458,75×10⁻⁷s² + 3,0028×10⁻⁴s + 2,121×10⁻³, polos em -335,96 e -7,215 rad/s, com constantes de tempo modais de 2,9765 ms e 138,598 ms; comparação com as aproximações desacopladas L/R=2,9167 ms e JR/(KₜKₑ)=148,148 ms.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Pausa para reflexão:</w:t>
      </w:r>
      <w:r>
        <w:rPr/>
        <w:t xml:space="preserve"> se o polo elétrico é 46 vezes mais rápido que o mecânico, é legítimo desprezá-lo? O que se perde ao fazer isso?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Atividade prática:</w:t>
      </w:r>
      <w:r>
        <w:rPr/>
        <w:t xml:space="preserve"> obter as margens de ganho e fase, varrer Kₚ e demonstrar por que esta malha contínua de segunda ordem permanece estável para todo Kₚ&gt;0, preparando o contraste com a malha discreta da Aula 6. </w:t>
      </w:r>
    </w:p>
    <w:p>
      <w:pPr>
        <w:pStyle w:val="Heading3"/>
        <w:bidi w:val="0"/>
        <w:jc w:val="left"/>
        <w:rPr/>
      </w:pPr>
      <w:r>
        <w:rPr/>
        <w:t>Aula 4 — Controlabilidade, observabilidade e realimentação de estados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Conceitos:</w:t>
      </w:r>
      <w:r>
        <w:rPr/>
        <w:t xml:space="preserve"> matrizes de controlabilidade e observabilidade; alocação de polos; regulador linear quadrático; observador de estados; o compromisso entre desempenho e esforço de controle.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Demonstração:</w:t>
      </w:r>
      <w:r>
        <w:rPr/>
        <w:t xml:space="preserve"> alocar polos rápidos e observar o comando exigido estourar os 24 V disponíveis — o limite físico invalidando um projeto matematicamente correto.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Exemplo numérico:</w:t>
      </w:r>
      <w:r>
        <w:rPr/>
        <w:t xml:space="preserve"> varredura de Q e R no LQR, tabulando pico de tensão exigida contra tempo de acomodação; a fronteira em que o projeto deixa de ser implementável.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Transição para a Unidade 2:</w:t>
      </w:r>
      <w:r>
        <w:rPr/>
        <w:t xml:space="preserve"> o estudante tem o modelo e um controlador em espaço de estados; falta fechar a malha com a estrutura industrialmente dominante, o PID, e levá-la para o domínio discreto em que o microcontrolador vive. 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Unidade 2 — Modelagem e simulação de sistemas de controle</w:t>
      </w:r>
    </w:p>
    <w:p>
      <w:pPr>
        <w:pStyle w:val="Heading3"/>
        <w:bidi w:val="0"/>
        <w:jc w:val="left"/>
        <w:rPr/>
      </w:pPr>
      <w:r>
        <w:rPr/>
        <w:t>Resultado de aprendizagem da unidade</w:t>
      </w:r>
    </w:p>
    <w:p>
      <w:pPr>
        <w:pStyle w:val="BodyText"/>
        <w:bidi w:val="0"/>
        <w:jc w:val="left"/>
        <w:rPr/>
      </w:pPr>
      <w:r>
        <w:rPr/>
        <w:t xml:space="preserve">Ao final, o estudante projeta, sintoniza e discretiza um controlador para uma planta real, justifica numericamente o período de amostragem escolhido, trata saturação e </w:t>
      </w:r>
      <w:r>
        <w:rPr>
          <w:rStyle w:val="Emphasis"/>
        </w:rPr>
        <w:t>windup</w:t>
      </w:r>
      <w:r>
        <w:rPr/>
        <w:t>, e acopla planta e controlador por co-simulação FMI medindo o erro de acoplamento.</w:t>
      </w:r>
    </w:p>
    <w:p>
      <w:pPr>
        <w:pStyle w:val="Heading3"/>
        <w:bidi w:val="0"/>
        <w:jc w:val="left"/>
        <w:rPr/>
      </w:pPr>
      <w:r>
        <w:rPr/>
        <w:t>Aula 5 — Malha aberta, malha fechada e álgebra de diagramas de blocos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Prática de abertura:</w:t>
      </w:r>
      <w:r>
        <w:rPr/>
        <w:t xml:space="preserve"> montar a malha fechada em </w:t>
      </w:r>
      <w:r>
        <w:rPr>
          <w:rStyle w:val="Cdigo-fonte"/>
        </w:rPr>
        <w:t>python-control</w:t>
      </w:r>
      <w:r>
        <w:rPr/>
        <w:t xml:space="preserve"> e comparar com a redução simbólica feita no SymPy.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Conceitos:</w:t>
      </w:r>
      <w:r>
        <w:rPr/>
        <w:t xml:space="preserve"> realimentação negativa; função de transferência de malha fechada; funções de sensibilidade S e complementar T e a restrição S + T = 1; rejeição de distúrbio; erro em regime permanente por tipo de sistema.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Exemplo numérico:</w:t>
      </w:r>
      <w:r>
        <w:rPr/>
        <w:t xml:space="preserve"> degrau de torque de carga de 0,05 N·m — queda de velocidade em malha aberta contra erro residual em malha fechada.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Atividade prática:</w:t>
      </w:r>
      <w:r>
        <w:rPr/>
        <w:t xml:space="preserve"> demonstrar numericamente que S + T = 1 em várias frequências e interpretar o que isso impede. </w:t>
      </w:r>
    </w:p>
    <w:p>
      <w:pPr>
        <w:pStyle w:val="Heading3"/>
        <w:bidi w:val="0"/>
        <w:jc w:val="left"/>
        <w:rPr/>
      </w:pPr>
      <w:r>
        <w:rPr/>
        <w:t>Aula 6 — PID na prática: sintonia, métricas e anti-windup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Conceitos:</w:t>
      </w:r>
      <w:r>
        <w:rPr/>
        <w:t xml:space="preserve"> ações proporcional, integral e derivativa; derivativo filtrado; sintonia de Ziegler-Nichols pelo ganho crítico; métricas de aceitação (sobressinal, tempo de subida, tempo de acomodação, ISE); saturação do atuador; </w:t>
      </w:r>
      <w:r>
        <w:rPr>
          <w:rStyle w:val="Emphasis"/>
        </w:rPr>
        <w:t>windup</w:t>
      </w:r>
      <w:r>
        <w:rPr/>
        <w:t xml:space="preserve"> do integrador e correção por </w:t>
      </w:r>
      <w:r>
        <w:rPr>
          <w:rStyle w:val="Emphasis"/>
        </w:rPr>
        <w:t>back-calculation</w:t>
      </w:r>
      <w:r>
        <w:rPr/>
        <w:t xml:space="preserve">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Demonstração obrigatória (ver o erro e a correção na tela):</w:t>
      </w:r>
      <w:r>
        <w:rPr/>
        <w:t xml:space="preserve"> referência de velocidade acima do que 24 V sustentam, integrador acumulando, resposta com sobressinal grosseiro; em seguida o anti-windup ligado e a mesma referência.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Exemplo numérico:</w:t>
      </w:r>
      <w:r>
        <w:rPr/>
        <w:t xml:space="preserve"> ganho crítico K_u e período T_u obtidos por varredura; tabela comparando Ziegler-Nichols clássico, variante sem sobressinal e ajuste manual pelas quatro métricas.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Pausa para reflexão:</w:t>
      </w:r>
      <w:r>
        <w:rPr/>
        <w:t xml:space="preserve"> por que a sintonia clássica de Ziegler-Nichols entrega sobressinal alto, e em que aplicação isso é inaceitável? </w:t>
      </w:r>
    </w:p>
    <w:p>
      <w:pPr>
        <w:pStyle w:val="Heading3"/>
        <w:bidi w:val="0"/>
        <w:jc w:val="left"/>
        <w:rPr/>
      </w:pPr>
      <w:r>
        <w:rPr/>
        <w:t>Aula 7 — Discretização e escolha do período de amostragem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Conceitos:</w:t>
      </w:r>
      <w:r>
        <w:rPr/>
        <w:t xml:space="preserve"> Euler para frente e para trás, Tustin (bilinear) e equivalente de retenção de ordem zero; distorção de frequência; escolha de Tₛ a partir das constantes de tempo; atraso computacional de um ciclo e seu custo em margem de fase; quantização de encoder e de PWM.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Demonstração:</w:t>
      </w:r>
      <w:r>
        <w:rPr/>
        <w:t xml:space="preserve"> varredura de Tₛ de 0,5 ms a 100 ms mostrando a degradação progressiva e o ponto em que a malha fechada perde estabilidade.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Exemplo numérico:</w:t>
      </w:r>
      <w:r>
        <w:rPr/>
        <w:t xml:space="preserve"> com τₘ = 148 ms, Tₛ = 5 ms dá cerca de 30 amostras por constante de tempo mecânica; a conta que sustenta a escolha e o ponto em que ela deixa de valer.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Entregável:</w:t>
      </w:r>
      <w:r>
        <w:rPr/>
        <w:t xml:space="preserve"> o </w:t>
      </w:r>
      <w:r>
        <w:rPr>
          <w:rStyle w:val="Cdigo-fonte"/>
        </w:rPr>
        <w:t>DiscretePID</w:t>
      </w:r>
      <w:r>
        <w:rPr/>
        <w:t xml:space="preserve"> que será, na Unidade 4, o modelo de referência do código C gerado. </w:t>
      </w:r>
    </w:p>
    <w:p>
      <w:pPr>
        <w:pStyle w:val="Heading3"/>
        <w:bidi w:val="0"/>
        <w:jc w:val="left"/>
        <w:rPr/>
      </w:pPr>
      <w:r>
        <w:rPr/>
        <w:t>Aula 8 — Co-simulação planta-controlador com FMI 3.0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Conceitos:</w:t>
      </w:r>
      <w:r>
        <w:rPr/>
        <w:t xml:space="preserve"> por que planta e controlador são simulados por integradores distintos; padrão FMI e o que é um FMU de co-simulação; passo de comunicação; erro de acoplamento e sua relação com o passo; interface </w:t>
      </w:r>
      <w:r>
        <w:rPr>
          <w:rStyle w:val="Cdigo-fonte"/>
        </w:rPr>
        <w:t>modelDescription.xml</w:t>
      </w:r>
      <w:r>
        <w:rPr/>
        <w:t xml:space="preserve">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Demonstração:</w:t>
      </w:r>
      <w:r>
        <w:rPr/>
        <w:t xml:space="preserve"> construir o FMU da planta do NexaBot, inspecioná-lo, acoplá-lo ao PID discreto em Python e variar o passo de comunicação.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Exemplo numérico:</w:t>
      </w:r>
      <w:r>
        <w:rPr/>
        <w:t xml:space="preserve"> varredura do passo de comunicação em 1, 5, 10, 20 e 50 ms, tabulando o erro contra a referência monolítica — o erro de acoplamento deixa de ser conceito e vira número.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Transição para a Unidade 3:</w:t>
      </w:r>
      <w:r>
        <w:rPr/>
        <w:t xml:space="preserve"> simular mostra o que o sistema faz em alguns cenários; a Unidade 3 responde ao que ele faz em </w:t>
      </w:r>
      <w:r>
        <w:rPr>
          <w:rStyle w:val="Strong"/>
        </w:rPr>
        <w:t>todos</w:t>
      </w:r>
      <w:r>
        <w:rPr/>
        <w:t xml:space="preserve"> os cenários. 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Unidade 3 — Verificação formal e testes baseados em modelos</w:t>
      </w:r>
    </w:p>
    <w:p>
      <w:pPr>
        <w:pStyle w:val="Heading3"/>
        <w:bidi w:val="0"/>
        <w:jc w:val="left"/>
        <w:rPr/>
      </w:pPr>
      <w:r>
        <w:rPr/>
        <w:t>Resultado de aprendizagem da unidade</w:t>
      </w:r>
    </w:p>
    <w:p>
      <w:pPr>
        <w:pStyle w:val="BodyText"/>
        <w:bidi w:val="0"/>
        <w:jc w:val="left"/>
        <w:rPr/>
      </w:pPr>
      <w:r>
        <w:rPr/>
        <w:t>Ao final, o estudante formaliza requisitos de segurança em propriedades verificáveis, prova exaustivamente que o supervisor do NexaBot as satisfaz, lê e interpreta contraexemplos, verifica um requisito temporizado e gera automaticamente uma suíte de testes a partir do modelo, medindo cobertura.</w:t>
      </w:r>
    </w:p>
    <w:p>
      <w:pPr>
        <w:pStyle w:val="Heading3"/>
        <w:bidi w:val="0"/>
        <w:jc w:val="left"/>
        <w:rPr/>
      </w:pPr>
      <w:r>
        <w:rPr/>
        <w:t>Aula 9 — Da especificação em texto à propriedade formal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Conceitos:</w:t>
      </w:r>
      <w:r>
        <w:rPr/>
        <w:t xml:space="preserve"> por que requisito em linguagem natural é ambíguo; invariantes, alcançabilidade, propriedades de segurança e de vivacidade; a diferença prática entre "algo ruim nunca acontece" e "algo bom acaba acontecendo"; rastreabilidade de requisitos.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Demonstração:</w:t>
      </w:r>
      <w:r>
        <w:rPr/>
        <w:t xml:space="preserve"> pegar um requisito real e mal escrito do NexaBot ("o robô deve parar rapidamente se houver obstáculo") e mostrar as três interpretações incompatíveis que ele admite, até chegar a REQ-SAFE-006 com prazo numérico.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Atividade prática:</w:t>
      </w:r>
      <w:r>
        <w:rPr/>
        <w:t xml:space="preserve"> formalizar dois requisitos adicionais e classificá-los por tipo. </w:t>
      </w:r>
    </w:p>
    <w:p>
      <w:pPr>
        <w:pStyle w:val="Heading3"/>
        <w:bidi w:val="0"/>
        <w:jc w:val="left"/>
        <w:rPr/>
      </w:pPr>
      <w:r>
        <w:rPr/>
        <w:t>Aula 10 — Model checking: espaço de estados, LTL, CTL e contraexemplos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Conceitos:</w:t>
      </w:r>
      <w:r>
        <w:rPr/>
        <w:t xml:space="preserve"> modelo como sistema de transições; exploração exaustiva do espaço alcançável; explosão de estados; LTL e CTL; o que um contraexemplo é e por que ele é a saída mais valiosa da verificação.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Demonstração obrigatória (ver o erro e a correção na tela):</w:t>
      </w:r>
      <w:r>
        <w:rPr/>
        <w:t xml:space="preserve"> um bug é deliberadamente introduzido no supervisor; o verificador acusa a violação de REQ-SAFE-001 e devolve a sequência exata de entradas que leva à falha; o bug é corrigido e a verificação passa.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Exemplo numérico:</w:t>
      </w:r>
      <w:r>
        <w:rPr/>
        <w:t xml:space="preserve"> número de estados alcançáveis e de transições exploradas, e o tamanho do contraexemplo.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Pausa para reflexão:</w:t>
      </w:r>
      <w:r>
        <w:rPr/>
        <w:t xml:space="preserve"> um teste que passa mil vezes prova ausência de falha? O que exatamente o </w:t>
      </w:r>
      <w:r>
        <w:rPr>
          <w:rStyle w:val="Emphasis"/>
        </w:rPr>
        <w:t>model checking</w:t>
      </w:r>
      <w:r>
        <w:rPr/>
        <w:t xml:space="preserve"> acrescenta? </w:t>
      </w:r>
    </w:p>
    <w:p>
      <w:pPr>
        <w:pStyle w:val="Heading3"/>
        <w:bidi w:val="0"/>
        <w:jc w:val="left"/>
        <w:rPr/>
      </w:pPr>
      <w:r>
        <w:rPr/>
        <w:t>Aula 11 — Autômatos temporizados e o requisito de prazo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Conceitos:</w:t>
      </w:r>
      <w:r>
        <w:rPr/>
        <w:t xml:space="preserve"> relógios em autômatos temporizados; invariantes de localização e guardas temporais; verificação de prazo de pior caso; por que o pior caso não aparece em simulação típica.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Demonstração:</w:t>
      </w:r>
      <w:r>
        <w:rPr/>
        <w:t xml:space="preserve"> o watchdog de parada de emergência do NexaBot, com atraso de detecção e um ciclo perdido, verificado exaustivamente contra o prazo de 150 ms.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Exemplo numérico:</w:t>
      </w:r>
      <w:r>
        <w:rPr/>
        <w:t xml:space="preserve"> varredura de atrasos identificando a combinação exata em que o prazo é violado.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Contraparte industrial:</w:t>
      </w:r>
      <w:r>
        <w:rPr/>
        <w:t xml:space="preserve"> UPPAAL, com o mesmo autômato. </w:t>
      </w:r>
    </w:p>
    <w:p>
      <w:pPr>
        <w:pStyle w:val="Heading3"/>
        <w:bidi w:val="0"/>
        <w:jc w:val="left"/>
        <w:rPr/>
      </w:pPr>
      <w:r>
        <w:rPr/>
        <w:t>Aula 12 — Testes gerados a partir do modelo e cobertura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Conceitos:</w:t>
      </w:r>
      <w:r>
        <w:rPr/>
        <w:t xml:space="preserve"> teste baseado em modelo; critérios de cobertura de estados, de transições e de condições de guarda; teste baseado em propriedades; redução (</w:t>
      </w:r>
      <w:r>
        <w:rPr>
          <w:rStyle w:val="Emphasis"/>
        </w:rPr>
        <w:t>shrinking</w:t>
      </w:r>
      <w:r>
        <w:rPr/>
        <w:t xml:space="preserve">) de contraexemplos; o que cobertura de linha não diz.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Demonstração:</w:t>
      </w:r>
      <w:r>
        <w:rPr/>
        <w:t xml:space="preserve"> gerar a suíte de testes por percurso do grafo do supervisor, executá-la, medir cobertura de transições e de linhas, e depois soltar o Hypothesis para procurar o que a suíte gerada não cobriu.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Transição para a Unidade 4:</w:t>
      </w:r>
      <w:r>
        <w:rPr/>
        <w:t xml:space="preserve"> o modelo está correto; falta transformá-lo em código embarcado sem perder essa correção no caminho. 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Unidade 4 — Geração de código, integração hardware-software e evidências</w:t>
      </w:r>
    </w:p>
    <w:p>
      <w:pPr>
        <w:pStyle w:val="Heading3"/>
        <w:bidi w:val="0"/>
        <w:jc w:val="left"/>
        <w:rPr/>
      </w:pPr>
      <w:r>
        <w:rPr/>
        <w:t>Resultado de aprendizagem da unidade</w:t>
      </w:r>
    </w:p>
    <w:p>
      <w:pPr>
        <w:pStyle w:val="BodyText"/>
        <w:bidi w:val="0"/>
        <w:jc w:val="left"/>
        <w:rPr/>
      </w:pPr>
      <w:r>
        <w:rPr/>
        <w:t>Ao final, o estudante gera código C a partir do modelo validado, demonstra equivalência numérica entre modelo e código, executa o controlador em configuração SIL e HIL medindo jitter, monta a matriz de rastreabilidade requisito → modelo → código → teste e discute com propriedade o que um pipeline aberto pode e não pode sustentar diante da DO-178C e da ISO 26262.</w:t>
      </w:r>
    </w:p>
    <w:p>
      <w:pPr>
        <w:pStyle w:val="Heading3"/>
        <w:bidi w:val="0"/>
        <w:jc w:val="left"/>
        <w:rPr/>
      </w:pPr>
      <w:r>
        <w:rPr/>
        <w:t>Aula 13 — Geração automática de código a partir do modelo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Conceitos:</w:t>
      </w:r>
      <w:r>
        <w:rPr/>
        <w:t xml:space="preserve"> por que gerar em vez de digitar; templates e mapeamento modelo-código; código gerado como artefato derivado, nunca editado à mão; representação em ponto flutuante contra ponto fixo Q16.16; bloco de rastreabilidade no cabeçalho do arquivo gerado.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Demonstração:</w:t>
      </w:r>
      <w:r>
        <w:rPr/>
        <w:t xml:space="preserve"> derivar a equação de diferenças do PID no SymPy e vê-la aparecer no C gerado.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Exemplo numérico:</w:t>
      </w:r>
      <w:r>
        <w:rPr/>
        <w:t xml:space="preserve"> erro de quantização introduzido pelo Q16.16 em relação à referência em </w:t>
      </w:r>
      <w:r>
        <w:rPr>
          <w:rStyle w:val="Cdigo-fonte"/>
        </w:rPr>
        <w:t>double</w:t>
      </w:r>
      <w:r>
        <w:rPr/>
        <w:t xml:space="preserve">.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Desafio:</w:t>
      </w:r>
      <w:r>
        <w:rPr/>
        <w:t xml:space="preserve"> alterar um ganho no modelo, regerar e observar o que muda no C e no hash de rastreabilidade. </w:t>
      </w:r>
    </w:p>
    <w:p>
      <w:pPr>
        <w:pStyle w:val="Heading3"/>
        <w:bidi w:val="0"/>
        <w:jc w:val="left"/>
        <w:rPr/>
      </w:pPr>
      <w:r>
        <w:rPr/>
        <w:t>Aula 14 — Software-in-the-loop e equivalência modelo-código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Conceitos:</w:t>
      </w:r>
      <w:r>
        <w:rPr/>
        <w:t xml:space="preserve"> SIL; equivalência numérica amostra a amostra; tolerância de aceitação; testes de regressão; integração contínua como guardiã da equivalência.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Demonstração:</w:t>
      </w:r>
      <w:r>
        <w:rPr/>
        <w:t xml:space="preserve"> compilar o C gerado, carregá-lo por </w:t>
      </w:r>
      <w:r>
        <w:rPr>
          <w:rStyle w:val="Cdigo-fonte"/>
        </w:rPr>
        <w:t>ctypes</w:t>
      </w:r>
      <w:r>
        <w:rPr/>
        <w:t xml:space="preserve"> e rodar as duas implementações lado a lado sobre a mesma sequência de entradas.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Exemplo numérico:</w:t>
      </w:r>
      <w:r>
        <w:rPr/>
        <w:t xml:space="preserve"> erro máximo absoluto entre modelo e código, esperado na ordem do épsilon de máquina para a variante em </w:t>
      </w:r>
      <w:r>
        <w:rPr>
          <w:rStyle w:val="Cdigo-fonte"/>
        </w:rPr>
        <w:t>double</w:t>
      </w:r>
      <w:r>
        <w:rPr/>
        <w:t xml:space="preserve">.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Entregável:</w:t>
      </w:r>
      <w:r>
        <w:rPr/>
        <w:t xml:space="preserve"> um fluxo de CI que quebra se a equivalência se perder. </w:t>
      </w:r>
    </w:p>
    <w:p>
      <w:pPr>
        <w:pStyle w:val="Heading3"/>
        <w:bidi w:val="0"/>
        <w:jc w:val="left"/>
        <w:rPr/>
      </w:pPr>
      <w:r>
        <w:rPr/>
        <w:t>Aula 15 — Hardware-in-the-loop, tempo real e jitter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Conceitos:</w:t>
      </w:r>
      <w:r>
        <w:rPr/>
        <w:t xml:space="preserve"> HIL; planta simulada em tempo real contra controlador no alvo; protocolo de comunicação; jitter e latência de laço; watchdog; o que muda quando o tempo deixa de ser uma variável do gráfico e passa a ser um prazo.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Demonstração:</w:t>
      </w:r>
      <w:r>
        <w:rPr/>
        <w:t xml:space="preserve"> o controlador C rodando como processo separado, trocando mensagens com a planta em Python, com medição de jitter; e o caminho para o ESP32 com PlatformIO.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Exemplo numérico:</w:t>
      </w:r>
      <w:r>
        <w:rPr/>
        <w:t xml:space="preserve"> distribuição do jitter medido e a fração do período de 5 ms que ele consome. </w:t>
      </w:r>
    </w:p>
    <w:p>
      <w:pPr>
        <w:pStyle w:val="Heading3"/>
        <w:bidi w:val="0"/>
        <w:jc w:val="left"/>
        <w:rPr/>
      </w:pPr>
      <w:r>
        <w:rPr/>
        <w:t>Aula 16 — Rastreabilidade, certificação e fechamento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Conceitos:</w:t>
      </w:r>
      <w:r>
        <w:rPr/>
        <w:t xml:space="preserve"> objetivos de DO-178C e de ISO 26262; níveis de criticidade; qualificação de ferramenta e por que ela é a questão central ao usar ferramentas abertas; que evidências o pipeline da disciplina efetivamente produz e quais ele não produz; casos de uso automotivo, aeroespacial e de robótica industrial.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Demonstração:</w:t>
      </w:r>
      <w:r>
        <w:rPr/>
        <w:t xml:space="preserve"> gerar a matriz de rastreabilidade completa do NexaBot e percorrer uma linha inteira, de REQ-SAFE-006 até o teste que a sustenta.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Honestidade técnica exigida:</w:t>
      </w:r>
      <w:r>
        <w:rPr/>
        <w:t xml:space="preserve"> o pipeline produz evidências; ele não certifica. Certificação é processo, envolve independência de verificação e qualificação de ferramentas.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Fechamento da disciplina:</w:t>
      </w:r>
      <w:r>
        <w:rPr/>
        <w:t xml:space="preserve"> retomada do percurso e conexão com o trabalho PBL. 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Metodologia</w:t>
      </w:r>
    </w:p>
    <w:p>
      <w:pPr>
        <w:pStyle w:val="BodyText"/>
        <w:bidi w:val="0"/>
        <w:jc w:val="left"/>
        <w:rPr/>
      </w:pPr>
      <w:r>
        <w:rPr/>
        <w:t>Cada videoaula segue a mesma arquitetura de 20 minutos, alinhada às diretrizes do Núcleo: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00:00–02:00 — Abertura com a ferramenta já aberta.</w:t>
      </w:r>
      <w:r>
        <w:rPr/>
        <w:t xml:space="preserve"> Nenhuma aula começa por definição; toda aula começa por algo acontecendo na tela.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02:00–05:00 — Situação-problema.</w:t>
      </w:r>
      <w:r>
        <w:rPr/>
        <w:t xml:space="preserve"> Um comportamento indesejado do NexaBot que o conteúdo da aula resolve.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05:00–13:00 — Desenvolvimento conceitual ancorado em código.</w:t>
      </w:r>
      <w:r>
        <w:rPr/>
        <w:t xml:space="preserve"> A teoria entra como explicação do que está sendo executado.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13:00–17:00 — Demonstração prática guiada</w:t>
      </w:r>
      <w:r>
        <w:rPr/>
        <w:t xml:space="preserve">, incluindo, sempre que possível, um erro real e sua correção.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17:00–19:00 — Aplicação profissional.</w:t>
      </w:r>
      <w:r>
        <w:rPr/>
        <w:t xml:space="preserve"> Onde isso aparece na indústria automotiva, aeroespacial e de robótica.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19:00–20:00 — Pontos-chave, desafio prático e transição.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 xml:space="preserve">A gravação é feita por captura de tela e câmera, com terminal e editor em fonte ampliada. O laboratório da aula está sempre em </w:t>
      </w:r>
      <w:r>
        <w:rPr>
          <w:rStyle w:val="Cdigo-fonte"/>
        </w:rPr>
        <w:t>projeto_nexabot/aula_NN/</w:t>
      </w:r>
      <w:r>
        <w:rPr/>
        <w:t>, com scripts numerados na ordem de execução.</w:t>
      </w:r>
    </w:p>
    <w:p>
      <w:pPr>
        <w:pStyle w:val="Heading2"/>
        <w:bidi w:val="0"/>
        <w:jc w:val="left"/>
        <w:rPr/>
      </w:pPr>
      <w:r>
        <w:rPr/>
        <w:t>Estratégia de avaliação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Formativa:</w:t>
      </w:r>
      <w:r>
        <w:rPr/>
        <w:t xml:space="preserve"> quiz não avaliativo de duas questões por unidade, com devolutiva conceitual; desafio prático ao final de cada aula.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Questionários:</w:t>
      </w:r>
      <w:r>
        <w:rPr/>
        <w:t xml:space="preserve"> 40 questões por unidade — 20 de asserção-razão e 20 de interpretação, cinco alternativas cada, devolutiva para todas as alternativas.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Atividade Avaliativa Individual (AAI):</w:t>
      </w:r>
      <w:r>
        <w:rPr/>
        <w:t xml:space="preserve"> uma questão dissertativa na Unidade 1, com resposta esperada.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Avaliação final:</w:t>
      </w:r>
      <w:r>
        <w:rPr/>
        <w:t xml:space="preserve"> 10 questões dissertativas cobrindo as quatro unidades, com respostas esperadas e critérios de correção.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Trabalho PBL:</w:t>
      </w:r>
      <w:r>
        <w:rPr/>
        <w:t xml:space="preserve"> projeto integrador aplicado a um sistema ciberfísico novo, com parte teórica, parte prática e vídeo de apresentação. </w:t>
      </w:r>
    </w:p>
    <w:p>
      <w:pPr>
        <w:pStyle w:val="Heading2"/>
        <w:bidi w:val="0"/>
        <w:jc w:val="left"/>
        <w:rPr/>
      </w:pPr>
      <w:r>
        <w:rPr/>
        <w:t>Bibliografia</w:t>
      </w:r>
    </w:p>
    <w:p>
      <w:pPr>
        <w:pStyle w:val="Heading3"/>
        <w:bidi w:val="0"/>
        <w:jc w:val="left"/>
        <w:rPr/>
      </w:pPr>
      <w:r>
        <w:rPr/>
        <w:t>Básica (da ementa)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OGATA, Katsuhiko. </w:t>
      </w:r>
      <w:r>
        <w:rPr>
          <w:rStyle w:val="Emphasis"/>
        </w:rPr>
        <w:t>Engenharia de controle moderno</w:t>
      </w:r>
      <w:r>
        <w:rPr/>
        <w:t xml:space="preserve">. 5. ed. São Paulo: Pearson, 2011.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NISE, Norman S. </w:t>
      </w:r>
      <w:r>
        <w:rPr>
          <w:rStyle w:val="Emphasis"/>
        </w:rPr>
        <w:t>Engenharia de sistemas de controle</w:t>
      </w:r>
      <w:r>
        <w:rPr/>
        <w:t xml:space="preserve">. 6. ed. Rio de Janeiro: LTC, 2013.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TANENBAUM, Andrew S.; BOS, Herbert. </w:t>
      </w:r>
      <w:r>
        <w:rPr>
          <w:rStyle w:val="Emphasis"/>
        </w:rPr>
        <w:t>Sistemas operacionais modernos</w:t>
      </w:r>
      <w:r>
        <w:rPr/>
        <w:t xml:space="preserve">. 4. ed. São Paulo: Pearson, 2016. </w:t>
      </w:r>
    </w:p>
    <w:p>
      <w:pPr>
        <w:pStyle w:val="Heading3"/>
        <w:bidi w:val="0"/>
        <w:jc w:val="left"/>
        <w:rPr/>
      </w:pPr>
      <w:r>
        <w:rPr/>
        <w:t>Complementar (da ementa)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FRANKLIN, Gene F.; POWELL, J. David; EMAMI-NAEINI, Abbas. </w:t>
      </w:r>
      <w:r>
        <w:rPr>
          <w:rStyle w:val="Emphasis"/>
        </w:rPr>
        <w:t>Sistemas de controle para engenharia</w:t>
      </w:r>
      <w:r>
        <w:rPr/>
        <w:t xml:space="preserve">. 6. ed. Porto Alegre: Bookman, 2013.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HALLIDAY, David; RESNICK, Robert; WALKER, Jearl. </w:t>
      </w:r>
      <w:r>
        <w:rPr>
          <w:rStyle w:val="Emphasis"/>
        </w:rPr>
        <w:t>Fundamentos de física</w:t>
      </w:r>
      <w:r>
        <w:rPr/>
        <w:t xml:space="preserve">. 10. ed. Rio de Janeiro: LTC, 2016. v. 3.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NILSSON, James W.; RIEDEL, Susan A. </w:t>
      </w:r>
      <w:r>
        <w:rPr>
          <w:rStyle w:val="Emphasis"/>
        </w:rPr>
        <w:t>Circuitos elétricos</w:t>
      </w:r>
      <w:r>
        <w:rPr/>
        <w:t xml:space="preserve">. 10. ed. São Paulo: Pearson, 2016.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SOMMERVILLE, Ian. </w:t>
      </w:r>
      <w:r>
        <w:rPr>
          <w:rStyle w:val="Emphasis"/>
        </w:rPr>
        <w:t>Engenharia de software</w:t>
      </w:r>
      <w:r>
        <w:rPr/>
        <w:t xml:space="preserve">. 10. ed. São Paulo: Pearson, 2019.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PATTERSON, David A.; HENNESSY, John L. </w:t>
      </w:r>
      <w:r>
        <w:rPr>
          <w:rStyle w:val="Emphasis"/>
        </w:rPr>
        <w:t>Organização e projeto de computadores</w:t>
      </w:r>
      <w:r>
        <w:rPr/>
        <w:t xml:space="preserve">. 6. ed. Rio de Janeiro: Elsevier, 2017. </w:t>
      </w:r>
    </w:p>
    <w:p>
      <w:pPr>
        <w:pStyle w:val="Heading3"/>
        <w:bidi w:val="0"/>
        <w:jc w:val="left"/>
        <w:rPr/>
      </w:pPr>
      <w:r>
        <w:rPr/>
        <w:t>Complementar proposta pelo conteudista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LEE, Edward Ashford; SESHIA, Sanjit A. </w:t>
      </w:r>
      <w:r>
        <w:rPr>
          <w:rStyle w:val="Emphasis"/>
        </w:rPr>
        <w:t>Introduction to Embedded Systems: A Cyber-Physical Systems Approach</w:t>
      </w:r>
      <w:r>
        <w:rPr/>
        <w:t xml:space="preserve">. 2. ed. Cambridge: MIT Press, 2017.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ÅSTRÖM, Karl Johan; MURRAY, Richard M. </w:t>
      </w:r>
      <w:r>
        <w:rPr>
          <w:rStyle w:val="Emphasis"/>
        </w:rPr>
        <w:t>Feedback Systems: An Introduction for Scientists and Engineers</w:t>
      </w:r>
      <w:r>
        <w:rPr/>
        <w:t xml:space="preserve">. 2. ed. Princeton: Princeton University Press, 2021.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BAIER, Christel; KATOEN, Joost-Pieter. </w:t>
      </w:r>
      <w:r>
        <w:rPr>
          <w:rStyle w:val="Emphasis"/>
        </w:rPr>
        <w:t>Principles of Model Checking</w:t>
      </w:r>
      <w:r>
        <w:rPr/>
        <w:t xml:space="preserve">. Cambridge: MIT Press, 2008.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MODELICA ASSOCIATION. </w:t>
      </w:r>
      <w:r>
        <w:rPr>
          <w:rStyle w:val="Emphasis"/>
        </w:rPr>
        <w:t>Functional Mock-up Interface Specification</w:t>
      </w:r>
      <w:r>
        <w:rPr/>
        <w:t xml:space="preserve">, version 3.0, 2022. </w:t>
      </w:r>
    </w:p>
    <w:p>
      <w:pPr>
        <w:pStyle w:val="Corpodetextorodape"/>
        <w:bidi w:val="0"/>
        <w:spacing w:before="360" w:after="120"/>
        <w:jc w:val="left"/>
        <w:rPr/>
      </w:pPr>
      <w:r>
        <w:rPr/>
        <w:t xml:space="preserve">Model-Based Design for Cyber-Physical Systems — Professor-conteudista: Afonso Cesar Lelis Brandão. Documento gerado automaticamente a partir de </w:t>
      </w:r>
      <w:r>
        <w:rPr>
          <w:rStyle w:val="Cdigo-fonte"/>
        </w:rPr>
        <w:t>PLANO_APRENDIZAGEM_PROPOSTO.md</w:t>
      </w:r>
      <w:r>
        <w:rPr/>
        <w:t>.</w:t>
      </w:r>
    </w:p>
    <w:sectPr>
      <w:type w:val="nextPage"/>
      <w:pgSz w:w="11906" w:h="16838"/>
      <w:pgMar w:left="1701" w:right="1134" w:gutter="0" w:header="0" w:top="1417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Times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3"/>
      <w:jc w:val="left"/>
    </w:pPr>
    <w:rPr>
      <w:rFonts w:ascii="Times New Roman;Times;serif" w:hAnsi="Times New Roman;Times;serif" w:eastAsia="Times New Roman;Times;serif" w:cs="Times New Roman;Times;serif"/>
      <w:color w:val="000000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360" w:after="200"/>
      <w:ind w:left="360" w:right="360"/>
      <w:outlineLvl w:val="0"/>
    </w:pPr>
    <w:rPr>
      <w:rFonts w:ascii="Times New Roman;Times;serif" w:hAnsi="Times New Roman;Times;serif" w:eastAsia="Times New Roman;Times;serif" w:cs="Times New Roman;Times;serif"/>
      <w:b/>
      <w:bCs/>
      <w:sz w:val="32"/>
      <w:szCs w:val="32"/>
    </w:rPr>
  </w:style>
  <w:style w:type="paragraph" w:styleId="Heading2">
    <w:name w:val="Heading 2"/>
    <w:basedOn w:val="Ttulo"/>
    <w:next w:val="BodyText"/>
    <w:qFormat/>
    <w:pPr>
      <w:spacing w:before="320" w:after="160"/>
      <w:ind w:left="320" w:right="320"/>
      <w:outlineLvl w:val="1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280" w:after="120"/>
      <w:ind w:left="280" w:right="280"/>
      <w:outlineLvl w:val="2"/>
    </w:pPr>
    <w:rPr>
      <w:rFonts w:ascii="Liberation Serif" w:hAnsi="Liberation Serif" w:eastAsia="Noto Serif CJK SC" w:cs="FreeSans"/>
      <w:b/>
      <w:bCs/>
      <w:sz w:val="24"/>
      <w:szCs w:val="24"/>
    </w:rPr>
  </w:style>
  <w:style w:type="paragraph" w:styleId="Heading4">
    <w:name w:val="Heading 4"/>
    <w:basedOn w:val="Ttulo"/>
    <w:next w:val="BodyText"/>
    <w:qFormat/>
    <w:pPr>
      <w:spacing w:before="240" w:after="120"/>
      <w:ind w:left="240" w:right="240"/>
      <w:outlineLvl w:val="3"/>
    </w:pPr>
    <w:rPr>
      <w:rFonts w:ascii="Liberation Serif" w:hAnsi="Liberation Serif" w:eastAsia="Noto Serif CJK SC" w:cs="FreeSans"/>
      <w:b/>
      <w:bCs/>
      <w:i/>
      <w:iCs/>
      <w:sz w:val="24"/>
      <w:szCs w:val="24"/>
    </w:rPr>
  </w:style>
  <w:style w:type="character" w:styleId="Cdigo-fonte">
    <w:name w:val="Código-fonte"/>
    <w:qFormat/>
    <w:rPr>
      <w:rFonts w:ascii="Courier New;monospace" w:hAnsi="Courier New;monospace" w:eastAsia="Courier New;monospace" w:cs="Courier New;monospace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left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extoprformatado">
    <w:name w:val="Texto préformatado"/>
    <w:basedOn w:val="Normal"/>
    <w:qFormat/>
    <w:pPr>
      <w:pBdr>
        <w:top w:val="single" w:sz="4" w:space="6" w:color="BBBBBB"/>
        <w:left w:val="single" w:sz="4" w:space="6" w:color="BBBBBB"/>
        <w:bottom w:val="single" w:sz="4" w:space="6" w:color="BBBBBB"/>
        <w:right w:val="single" w:sz="4" w:space="6" w:color="BBBBBB"/>
      </w:pBdr>
      <w:shd w:fill="F2F2F2" w:val="clear"/>
      <w:spacing w:lineRule="auto" w:line="252" w:before="120" w:after="160"/>
      <w:ind w:left="120" w:right="120"/>
    </w:pPr>
    <w:rPr>
      <w:rFonts w:ascii="Courier New;monospace" w:hAnsi="Courier New;monospace" w:eastAsia="Courier New;monospace" w:cs="Courier New;monospace"/>
      <w:sz w:val="18"/>
      <w:szCs w:val="18"/>
    </w:rPr>
  </w:style>
  <w:style w:type="paragraph" w:styleId="Blocodecitao">
    <w:name w:val="Bloco de citação"/>
    <w:basedOn w:val="Normal"/>
    <w:qFormat/>
    <w:pPr>
      <w:pBdr>
        <w:left w:val="single" w:sz="16" w:space="8" w:color="888888"/>
      </w:pBdr>
      <w:spacing w:before="120" w:after="160"/>
      <w:ind w:hanging="0" w:left="320" w:right="120"/>
    </w:pPr>
    <w:rPr>
      <w:sz w:val="22"/>
      <w:szCs w:val="22"/>
    </w:rPr>
  </w:style>
  <w:style w:type="paragraph" w:styleId="Contedodatabela">
    <w:name w:val="Conteúdo da tabela"/>
    <w:basedOn w:val="Normal"/>
    <w:qFormat/>
    <w:pPr>
      <w:widowControl w:val="false"/>
      <w:suppressLineNumbers/>
      <w:jc w:val="left"/>
    </w:pPr>
    <w:rPr/>
  </w:style>
  <w:style w:type="paragraph" w:styleId="Ttulodetabela">
    <w:name w:val="Título de tabela"/>
    <w:basedOn w:val="Contedodatabela"/>
    <w:qFormat/>
    <w:pPr>
      <w:suppressLineNumbers/>
      <w:shd w:fill="E8E8E8" w:val="clear"/>
      <w:jc w:val="left"/>
    </w:pPr>
    <w:rPr>
      <w:b/>
      <w:bCs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rpodetextorodape">
    <w:name w:val="Corpo de texto.rodape"/>
    <w:basedOn w:val="BodyText"/>
    <w:qFormat/>
    <w:pPr>
      <w:pBdr>
        <w:top w:val="single" w:sz="4" w:space="6" w:color="AAAAAA"/>
      </w:pBdr>
      <w:spacing w:before="360" w:after="120"/>
    </w:pPr>
    <w:rPr>
      <w:color w:val="555555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00 - Plano de Aprendizagem Proposto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