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Benchmark de mercado</w:t>
      </w:r>
    </w:p>
    <w:bookmarkStart w:id="20" w:name="Xa8ec8ce7748da83163c43a9b40275c6ff48505e"/>
    <w:p>
      <w:pPr>
        <w:pStyle w:val="Heading1"/>
      </w:pPr>
      <w:r>
        <w:t xml:space="preserve">Benchmark de mercado: uso de IA em distribuidoras de energia</w:t>
      </w:r>
    </w:p>
    <w:p>
      <w:pPr>
        <w:pStyle w:val="BlockText"/>
      </w:pPr>
      <w:r>
        <w:rPr>
          <w:b/>
          <w:bCs/>
          <w:i/>
          <w:iCs/>
        </w:rPr>
        <w:t xml:space="preserve">Documento fictício, preparado para exercício em sala.</w:t>
      </w:r>
      <w:r>
        <w:rPr>
          <w:i/>
          <w:iCs/>
        </w:rPr>
        <w:t xml:space="preserve"> </w:t>
      </w:r>
      <w:r>
        <w:rPr>
          <w:i/>
          <w:iCs/>
        </w:rPr>
        <w:t xml:space="preserve">As cinco distribuidoras, os indicadores e os resultados abaixo foram inventados para o treinamento e não descrevem nenhuma empresa real. Os conceitos (DEC, FEC, perdas não técnicas, IASC) seguem a terminologia regulatória brasileira, mas os números não vêm de fonte oficial.</w:t>
      </w:r>
    </w:p>
    <w:bookmarkStart w:id="9" w:name="escopo"/>
    <w:p>
      <w:pPr>
        <w:pStyle w:val="Heading2"/>
      </w:pPr>
      <w:r>
        <w:t xml:space="preserve">1. Escopo</w:t>
      </w:r>
    </w:p>
    <w:p>
      <w:pPr>
        <w:pStyle w:val="FirstParagraph"/>
      </w:pPr>
      <w:r>
        <w:t xml:space="preserve">Este relatório compara cinco distribuidoras de porte médio e grande quanto a indicadores de continuidade, perdas e atendimento, e registra os casos de uso de inteligência artificial que cada uma tornou públicos. Os indicadores estão na planilha</w:t>
      </w:r>
      <w:r>
        <w:t xml:space="preserve"> </w:t>
      </w:r>
      <w:r>
        <w:rPr>
          <w:rStyle w:val="VerbatimChar"/>
        </w:rPr>
        <w:t xml:space="preserve">indicadores-distribuidoras.csv</w:t>
      </w:r>
      <w:r>
        <w:t xml:space="preserve">, que acompanha este documento. Os casos de uso foram levantados em relatórios anuais, artigos técnicos e comunicados à imprensa, e a fonte de cada um está indicada ao final da seção.</w:t>
      </w:r>
    </w:p>
    <w:bookmarkEnd w:id="9"/>
    <w:bookmarkStart w:id="10" w:name="indicadores-de-desempenho"/>
    <w:p>
      <w:pPr>
        <w:pStyle w:val="Heading2"/>
      </w:pPr>
      <w:r>
        <w:t xml:space="preserve">2. Indicadores de desempenho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Ano</w:t>
            </w:r>
          </w:p>
        </w:tc>
        <w:tc>
          <w:tcPr/>
          <w:p>
            <w:pPr>
              <w:pStyle w:val="Compact"/>
            </w:pPr>
            <w:r>
              <w:t xml:space="preserve">DEC (h)</w:t>
            </w:r>
          </w:p>
        </w:tc>
        <w:tc>
          <w:tcPr/>
          <w:p>
            <w:pPr>
              <w:pStyle w:val="Compact"/>
            </w:pPr>
            <w:r>
              <w:t xml:space="preserve">FEC (int.)</w:t>
            </w:r>
          </w:p>
        </w:tc>
        <w:tc>
          <w:tcPr/>
          <w:p>
            <w:pPr>
              <w:pStyle w:val="Compact"/>
            </w:pPr>
            <w:r>
              <w:t xml:space="preserve">Perdas NT (%)</w:t>
            </w:r>
          </w:p>
        </w:tc>
        <w:tc>
          <w:tcPr/>
          <w:p>
            <w:pPr>
              <w:pStyle w:val="Compact"/>
            </w:pPr>
            <w:r>
              <w:t xml:space="preserve">TMA emergencial (min)</w:t>
            </w:r>
          </w:p>
        </w:tc>
        <w:tc>
          <w:tcPr/>
          <w:p>
            <w:pPr>
              <w:pStyle w:val="Compact"/>
            </w:pPr>
            <w:r>
              <w:t xml:space="preserve">IASC</w:t>
            </w:r>
          </w:p>
        </w:tc>
        <w:tc>
          <w:tcPr/>
          <w:p>
            <w:pPr>
              <w:pStyle w:val="Compact"/>
            </w:pPr>
            <w:r>
              <w:t xml:space="preserve">Atendimento digital (% do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Distribuidora Alfa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8,9</w:t>
            </w:r>
          </w:p>
        </w:tc>
        <w:tc>
          <w:tcPr/>
          <w:p>
            <w:pPr>
              <w:pStyle w:val="Compact"/>
            </w:pPr>
            <w:r>
              <w:t xml:space="preserve">5,1</w:t>
            </w:r>
          </w:p>
        </w:tc>
        <w:tc>
          <w:tcPr/>
          <w:p>
            <w:pPr>
              <w:pStyle w:val="Compact"/>
            </w:pPr>
            <w:r>
              <w:t xml:space="preserve">2,4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70,6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Distribuidora Beta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7,2</w:t>
            </w:r>
          </w:p>
        </w:tc>
        <w:tc>
          <w:tcPr/>
          <w:p>
            <w:pPr>
              <w:pStyle w:val="Compact"/>
            </w:pPr>
            <w:r>
              <w:t xml:space="preserve">4,3</w:t>
            </w:r>
          </w:p>
        </w:tc>
        <w:tc>
          <w:tcPr/>
          <w:p>
            <w:pPr>
              <w:pStyle w:val="Compact"/>
            </w:pPr>
            <w:r>
              <w:t xml:space="preserve">6,8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71,5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Distribuidora Gama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12,6</w:t>
            </w:r>
          </w:p>
        </w:tc>
        <w:tc>
          <w:tcPr/>
          <w:p>
            <w:pPr>
              <w:pStyle w:val="Compact"/>
            </w:pPr>
            <w:r>
              <w:t xml:space="preserve">6,9</w:t>
            </w:r>
          </w:p>
        </w:tc>
        <w:tc>
          <w:tcPr/>
          <w:p>
            <w:pPr>
              <w:pStyle w:val="Compact"/>
            </w:pPr>
            <w:r>
              <w:t xml:space="preserve">4,1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68,9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Distribuidora Delta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14,1</w:t>
            </w:r>
          </w:p>
        </w:tc>
        <w:tc>
          <w:tcPr/>
          <w:p>
            <w:pPr>
              <w:pStyle w:val="Compact"/>
            </w:pPr>
            <w:r>
              <w:t xml:space="preserve">7,8</w:t>
            </w:r>
          </w:p>
        </w:tc>
        <w:tc>
          <w:tcPr/>
          <w:p>
            <w:pPr>
              <w:pStyle w:val="Compact"/>
            </w:pPr>
            <w:r>
              <w:t xml:space="preserve">9,3</w:t>
            </w:r>
          </w:p>
        </w:tc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66,0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Distribuidora Épsilon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9,8</w:t>
            </w:r>
          </w:p>
        </w:tc>
        <w:tc>
          <w:tcPr/>
          <w:p>
            <w:pPr>
              <w:pStyle w:val="Compact"/>
            </w:pPr>
            <w:r>
              <w:t xml:space="preserve">5,6</w:t>
            </w:r>
          </w:p>
        </w:tc>
        <w:tc>
          <w:tcPr/>
          <w:p>
            <w:pPr>
              <w:pStyle w:val="Compac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n/d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</w:tbl>
    <w:p>
      <w:pPr>
        <w:pStyle w:val="BodyText"/>
      </w:pPr>
      <w:r>
        <w:t xml:space="preserve">Legenda. DEC é a duração equivalente de interrupção por unidade consumidora, em horas por ano. FEC é a frequência equivalente de interrupção, em número de interrupções por ano. Perdas NT são as perdas não técnicas; salvo indicação em contrário na planilha, calculadas sobre o mercado de baixa tensão. TMA emergencial é o tempo médio de atendimento a ocorrências emergenciais. IASC é o Índice ANEEL de Satisfação do Consumidor. Atendimento digital é a participação dos canais digitais (aplicativo, site e chat) no total de atendimentos do ano, em percentual.</w:t>
      </w:r>
    </w:p>
    <w:p>
      <w:pPr>
        <w:pStyle w:val="BodyText"/>
      </w:pPr>
      <w:r>
        <w:t xml:space="preserve">A Distribuidora Beta apresenta o melhor desempenho em continuidade do grupo, com o menor DEC e o menor FEC. A Distribuidora Épsilon apresenta as menores perdas não técnicas, o que a coloca como referência no tema.</w:t>
      </w:r>
    </w:p>
    <w:bookmarkEnd w:id="10"/>
    <w:bookmarkStart w:id="18" w:name="casos-de-uso-de-ia-reportados"/>
    <w:p>
      <w:pPr>
        <w:pStyle w:val="Heading2"/>
      </w:pPr>
      <w:r>
        <w:t xml:space="preserve">3. Casos de uso de IA reportados</w:t>
      </w:r>
    </w:p>
    <w:bookmarkStart w:id="11" w:name="Xa490466d1c3235d33e7d7a7926c0b10f7068771"/>
    <w:p>
      <w:pPr>
        <w:pStyle w:val="Heading3"/>
      </w:pPr>
      <w:r>
        <w:t xml:space="preserve">3.1 Distribuidora Alfa: assistente de atendimento no aplicativo e no chat do site</w:t>
      </w:r>
    </w:p>
    <w:p>
      <w:pPr>
        <w:pStyle w:val="FirstParagraph"/>
      </w:pPr>
      <w:r>
        <w:t xml:space="preserve">Assistente conversacional, disponível no aplicativo e no chat do site, que recebe pedidos de segunda via, informação de falta de energia e consulta de protocolo. Segundo o relatório anual de 2025, o assistente resolveu 70% dos contatos recebidos nesses canais. O mesmo relatório define contato resolvido como aquele encerrado sem transferência para atendente humano.</w:t>
      </w:r>
    </w:p>
    <w:bookmarkEnd w:id="11"/>
    <w:bookmarkStart w:id="12" w:name="X2f0b20a04812ab70034c35647f1f024125a5a8c"/>
    <w:p>
      <w:pPr>
        <w:pStyle w:val="Heading3"/>
      </w:pPr>
      <w:r>
        <w:t xml:space="preserve">3.2 Distribuidora Beta: detecção de irregularidades de medição</w:t>
      </w:r>
    </w:p>
    <w:p>
      <w:pPr>
        <w:pStyle w:val="FirstParagraph"/>
      </w:pPr>
      <w:r>
        <w:t xml:space="preserve">Modelo de classificação que prioriza unidades consumidoras para inspeção a partir do histórico de consumo. Segundo comunicado à imprensa, a iniciativa reduziu as perdas em 38%.</w:t>
      </w:r>
    </w:p>
    <w:bookmarkEnd w:id="12"/>
    <w:bookmarkStart w:id="13" w:name="X09eec5aac24dffccab1d8764b975f1bf3f8a7f5"/>
    <w:p>
      <w:pPr>
        <w:pStyle w:val="Heading3"/>
      </w:pPr>
      <w:r>
        <w:t xml:space="preserve">3.3 Distribuidora Gama: inspeção de linhas por imagem de drone</w:t>
      </w:r>
    </w:p>
    <w:p>
      <w:pPr>
        <w:pStyle w:val="FirstParagraph"/>
      </w:pPr>
      <w:r>
        <w:t xml:space="preserve">Visão computacional aplicada a imagens de drone para identificar isoladores danificados e vegetação próxima à rede. Em piloto com 40 circuitos, conduzido entre março e agosto de 2025, o tempo médio entre a abertura e a conclusão da ordem de inspeção de cada circuito caiu de 21 para 9 dias, em comparação com a inspeção terrestre dos mesmos circuitos em 2024. O resultado foi publicado em artigo técnico apresentado em congresso do setor.</w:t>
      </w:r>
    </w:p>
    <w:bookmarkEnd w:id="13"/>
    <w:bookmarkStart w:id="14" w:name="X79061d6daa2e0841aafea206dbdc7c08b9aaced"/>
    <w:p>
      <w:pPr>
        <w:pStyle w:val="Heading3"/>
      </w:pPr>
      <w:r>
        <w:t xml:space="preserve">3.4 Distribuidora Delta: previsão de carga horária</w:t>
      </w:r>
    </w:p>
    <w:p>
      <w:pPr>
        <w:pStyle w:val="FirstParagraph"/>
      </w:pPr>
      <w:r>
        <w:t xml:space="preserve">Modelo de previsão de carga por subestação, com horizonte de 48 horas. O erro médio absoluto percentual passou de 4,7% no método anterior para 3,1%, medido ao longo de 2024, segundo artigo técnico publicado em periódico do setor.</w:t>
      </w:r>
    </w:p>
    <w:bookmarkEnd w:id="14"/>
    <w:bookmarkStart w:id="15" w:name="Xd17bb9dd090ebecaa9cbb946823ca3ccb383937"/>
    <w:p>
      <w:pPr>
        <w:pStyle w:val="Heading3"/>
      </w:pPr>
      <w:r>
        <w:t xml:space="preserve">3.5 Distribuidora Épsilon: consulta a normas para equipes de campo</w:t>
      </w:r>
    </w:p>
    <w:p>
      <w:pPr>
        <w:pStyle w:val="FirstParagraph"/>
      </w:pPr>
      <w:r>
        <w:t xml:space="preserve">Assistente interno que responde a perguntas das equipes de campo sobre procedimentos de segurança, normas técnicas internas e módulos do PRODIST, citando o trecho do documento de origem. A empresa não publicou indicador de resultado.</w:t>
      </w:r>
    </w:p>
    <w:bookmarkEnd w:id="15"/>
    <w:bookmarkStart w:id="16" w:name="panorama-do-setor"/>
    <w:p>
      <w:pPr>
        <w:pStyle w:val="Heading3"/>
      </w:pPr>
      <w:r>
        <w:t xml:space="preserve">3.6 Panorama do setor</w:t>
      </w:r>
    </w:p>
    <w:p>
      <w:pPr>
        <w:pStyle w:val="FirstParagraph"/>
      </w:pPr>
      <w:r>
        <w:t xml:space="preserve">Levantamento de uma consultoria afirma que 60% das distribuidoras brasileiras já usam IA em alguma operação.</w:t>
      </w:r>
    </w:p>
    <w:bookmarkEnd w:id="16"/>
    <w:bookmarkStart w:id="17" w:name="fontes-declaradas"/>
    <w:p>
      <w:pPr>
        <w:pStyle w:val="Heading3"/>
      </w:pPr>
      <w:r>
        <w:t xml:space="preserve">Fontes declaradas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 Alfa</w:t>
            </w:r>
          </w:p>
        </w:tc>
        <w:tc>
          <w:tcPr/>
          <w:p>
            <w:pPr>
              <w:pStyle w:val="Compact"/>
            </w:pPr>
            <w:r>
              <w:t xml:space="preserve">Relatório anual 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 Beta</w:t>
            </w:r>
          </w:p>
        </w:tc>
        <w:tc>
          <w:tcPr/>
          <w:p>
            <w:pPr>
              <w:pStyle w:val="Compact"/>
            </w:pPr>
            <w:r>
              <w:t xml:space="preserve">Comunicado à imprensa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 Gama</w:t>
            </w:r>
          </w:p>
        </w:tc>
        <w:tc>
          <w:tcPr/>
          <w:p>
            <w:pPr>
              <w:pStyle w:val="Compact"/>
            </w:pPr>
            <w:r>
              <w:t xml:space="preserve">Artigo técnico em congresso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 Delta</w:t>
            </w:r>
          </w:p>
        </w:tc>
        <w:tc>
          <w:tcPr/>
          <w:p>
            <w:pPr>
              <w:pStyle w:val="Compact"/>
            </w:pPr>
            <w:r>
              <w:t xml:space="preserve">Artigo técnico em periódico do setor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 Épsilon</w:t>
            </w:r>
          </w:p>
        </w:tc>
        <w:tc>
          <w:tcPr/>
          <w:p>
            <w:pPr>
              <w:pStyle w:val="Compact"/>
            </w:pPr>
            <w:r>
              <w:t xml:space="preserve">Apresentação institucional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 Setor</w:t>
            </w:r>
          </w:p>
        </w:tc>
        <w:tc>
          <w:tcPr/>
          <w:p>
            <w:pPr>
              <w:pStyle w:val="Compact"/>
            </w:pPr>
            <w:r>
              <w:t xml:space="preserve">Pesquisa de consultoria</w:t>
            </w:r>
          </w:p>
        </w:tc>
      </w:tr>
    </w:tbl>
    <w:bookmarkEnd w:id="17"/>
    <w:bookmarkEnd w:id="18"/>
    <w:bookmarkStart w:id="19" w:name="conclusão-do-relatório"/>
    <w:p>
      <w:pPr>
        <w:pStyle w:val="Heading2"/>
      </w:pPr>
      <w:r>
        <w:t xml:space="preserve">4. Conclusão do relatório</w:t>
      </w:r>
    </w:p>
    <w:p>
      <w:pPr>
        <w:pStyle w:val="FirstParagraph"/>
      </w:pPr>
      <w:r>
        <w:t xml:space="preserve">As empresas que mais investiram em IA apresentam os melhores indicadores, e a recomendação é priorizar a detecção de irregularidades, que teve o maior retorno reportado.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Benchmark de mercado</dc:title>
  <dc:creator/>
  <dc:language>pt-BR</dc:language>
  <cp:keywords/>
  <dcterms:created xsi:type="dcterms:W3CDTF">2026-10-08T12:25:13Z</dcterms:created>
  <dcterms:modified xsi:type="dcterms:W3CDTF">2026-10-08T12:25:13Z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