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26"/>
          <w:szCs w:val="26"/>
        </w:rPr>
        <w:t xml:space="preserve">CONTRATO DE FORNECIMENTO DE MADEIRA SERRADA E DE PRESTAÇÃO DE SERVIÇOS DE BENEFICIAMENTO</w:t>
      </w:r>
    </w:p>
    <w:p>
      <w:pPr>
        <w:spacing w:after="160" w:line="276"/>
        <w:jc w:val="both"/>
      </w:pPr>
      <w:r>
        <w:rPr>
          <w:rFonts w:ascii="Calibri" w:cs="Calibri" w:eastAsia="Calibri" w:hAnsi="Calibri"/>
          <w:b w:val="false"/>
          <w:bCs w:val="false"/>
          <w:i w:val="false"/>
          <w:iCs w:val="false"/>
          <w:sz w:val="21"/>
          <w:szCs w:val="21"/>
        </w:rPr>
        <w:t xml:space="preserve">Pelo presente instrumento particular, de um lado:</w:t>
      </w:r>
    </w:p>
    <w:p>
      <w:pPr>
        <w:spacing w:after="120" w:line="276"/>
        <w:jc w:val="both"/>
      </w:pPr>
      <w:r>
        <w:rPr>
          <w:rFonts w:ascii="Calibri" w:cs="Calibri" w:eastAsia="Calibri" w:hAnsi="Calibri"/>
          <w:b w:val="false"/>
          <w:bCs w:val="false"/>
          <w:i w:val="false"/>
          <w:iCs w:val="false"/>
          <w:sz w:val="21"/>
          <w:szCs w:val="21"/>
        </w:rPr>
        <w:t xml:space="preserve">OFICINA CAXI LIBERDADE LTDA., sociedade empresária limitada inscrita no CNPJ sob o nº 41.702.885/0001-63, com sede na Rua do Curuzu, nº 218, galpão 3, bairro da Liberdade, Salvador, Estado da Bahia, CEP 40325-000, neste ato representada por seu sócio-administrador VALDEMIR SAMPAIO DOS ANJOS, brasileiro, solteiro, artesão, portador da cédula de identidade nº 09.884.213-77 SSP/BA e inscrito no CPF sob o nº 044.913.775-08, doravante denominada CONTRATANTE;</w:t>
      </w:r>
    </w:p>
    <w:p>
      <w:pPr>
        <w:spacing w:after="120" w:line="276"/>
        <w:jc w:val="both"/>
      </w:pPr>
      <w:r>
        <w:rPr>
          <w:rFonts w:ascii="Calibri" w:cs="Calibri" w:eastAsia="Calibri" w:hAnsi="Calibri"/>
          <w:b w:val="false"/>
          <w:bCs w:val="false"/>
          <w:i w:val="false"/>
          <w:iCs w:val="false"/>
          <w:sz w:val="21"/>
          <w:szCs w:val="21"/>
        </w:rPr>
        <w:t xml:space="preserve">e, de outro lado:</w:t>
      </w:r>
    </w:p>
    <w:p>
      <w:pPr>
        <w:spacing w:after="120" w:line="276"/>
        <w:jc w:val="both"/>
      </w:pPr>
      <w:r>
        <w:rPr>
          <w:rFonts w:ascii="Calibri" w:cs="Calibri" w:eastAsia="Calibri" w:hAnsi="Calibri"/>
          <w:b w:val="false"/>
          <w:bCs w:val="false"/>
          <w:i w:val="false"/>
          <w:iCs w:val="false"/>
          <w:sz w:val="21"/>
          <w:szCs w:val="21"/>
        </w:rPr>
        <w:t xml:space="preserve">MADEFLORA INDÚSTRIA E COMÉRCIO DE MADEIRAS S.A., sociedade anônima de capital fechado inscrita no CNPJ sob o nº 09.436.271/0001-08, com sede na Rodovia BR-163, km 812, s/nº, Distrito Industrial, Sinop, Estado de Mato Grosso, CEP 78557-267, e filial na Rodovia BR-324, km 517, Feira de Santana, Estado da Bahia, neste ato representada na forma de seu estatuto social por RENATO PEIXOTO ALMEIDA, brasileiro, casado, engenheiro florestal, inscrito no CPF sob o nº 610.229.481-34, doravante denominada FORNECEDORA;</w:t>
      </w:r>
    </w:p>
    <w:p>
      <w:pPr>
        <w:spacing w:after="200" w:line="276"/>
        <w:jc w:val="both"/>
      </w:pPr>
      <w:r>
        <w:rPr>
          <w:rFonts w:ascii="Calibri" w:cs="Calibri" w:eastAsia="Calibri" w:hAnsi="Calibri"/>
          <w:b w:val="false"/>
          <w:bCs w:val="false"/>
          <w:i w:val="false"/>
          <w:iCs w:val="false"/>
          <w:sz w:val="21"/>
          <w:szCs w:val="21"/>
        </w:rPr>
        <w:t xml:space="preserve">sendo ambas conjuntamente denominadas PARTES, têm entre si justo e contratado o quanto segue.</w:t>
      </w:r>
    </w:p>
    <w:p>
      <w:pPr>
        <w:spacing w:after="140" w:before="260"/>
      </w:pPr>
      <w:r>
        <w:rPr>
          <w:rFonts w:ascii="Calibri" w:cs="Calibri" w:eastAsia="Calibri" w:hAnsi="Calibri"/>
          <w:b/>
          <w:bCs/>
          <w:sz w:val="22"/>
          <w:szCs w:val="22"/>
        </w:rPr>
        <w:t xml:space="preserve">CLÁUSULA PRIMEIRA — DO OBJETO</w:t>
      </w:r>
    </w:p>
    <w:p>
      <w:pPr>
        <w:spacing w:after="120" w:line="276"/>
        <w:jc w:val="both"/>
      </w:pPr>
      <w:r>
        <w:rPr>
          <w:rFonts w:ascii="Calibri" w:cs="Calibri" w:eastAsia="Calibri" w:hAnsi="Calibri"/>
          <w:b w:val="false"/>
          <w:bCs w:val="false"/>
          <w:i w:val="false"/>
          <w:iCs w:val="false"/>
          <w:sz w:val="21"/>
          <w:szCs w:val="21"/>
        </w:rPr>
        <w:t xml:space="preserve">1.1. Constitui objeto do presente contrato o fornecimento, pela FORNECEDORA à CONTRATANTE, de madeira serrada e de peças semiacabadas destinadas à fabricação de instrumentos de percussão, bem como a prestação dos serviços de beneficiamento descritos no Anexo I.</w:t>
      </w:r>
    </w:p>
    <w:p>
      <w:pPr>
        <w:spacing w:after="120" w:line="276"/>
        <w:jc w:val="both"/>
      </w:pPr>
      <w:r>
        <w:rPr>
          <w:rFonts w:ascii="Calibri" w:cs="Calibri" w:eastAsia="Calibri" w:hAnsi="Calibri"/>
          <w:b w:val="false"/>
          <w:bCs w:val="false"/>
          <w:i w:val="false"/>
          <w:iCs w:val="false"/>
          <w:sz w:val="21"/>
          <w:szCs w:val="21"/>
        </w:rPr>
        <w:t xml:space="preserve">1.2. O fornecimento compreende espécies tropicais diversas, conforme relação constante do Anexo I, observada a disponibilidade de estoque da FORNECEDORA no momento de cada pedido.</w:t>
      </w:r>
    </w:p>
    <w:p>
      <w:pPr>
        <w:spacing w:after="120" w:line="276"/>
        <w:jc w:val="both"/>
      </w:pPr>
      <w:r>
        <w:rPr>
          <w:rFonts w:ascii="Calibri" w:cs="Calibri" w:eastAsia="Calibri" w:hAnsi="Calibri"/>
          <w:b w:val="false"/>
          <w:bCs w:val="false"/>
          <w:i w:val="false"/>
          <w:iCs w:val="false"/>
          <w:sz w:val="21"/>
          <w:szCs w:val="21"/>
        </w:rPr>
        <w:t xml:space="preserve">1.3. Na hipótese de indisponibilidade da espécie indicada no pedido, fica a FORNECEDORA autorizada a substituí-la por espécie de características técnicas equivalentes, segundo critério técnico próprio, independentemente de comunicação prévia.</w:t>
      </w:r>
    </w:p>
    <w:p>
      <w:pPr>
        <w:spacing w:after="120" w:line="276"/>
        <w:jc w:val="both"/>
      </w:pPr>
      <w:r>
        <w:rPr>
          <w:rFonts w:ascii="Calibri" w:cs="Calibri" w:eastAsia="Calibri" w:hAnsi="Calibri"/>
          <w:b w:val="false"/>
          <w:bCs w:val="false"/>
          <w:i w:val="false"/>
          <w:iCs w:val="false"/>
          <w:sz w:val="21"/>
          <w:szCs w:val="21"/>
        </w:rPr>
        <w:t xml:space="preserve">1.4. A origem legal da matéria-prima é atestada por declaração firmada pela FORNECEDORA, emitida a cada exercício social, ficando dispensada a apresentação de documentação complementar a cada remessa.</w:t>
      </w:r>
    </w:p>
    <w:p>
      <w:pPr>
        <w:spacing w:after="140" w:before="260"/>
      </w:pPr>
      <w:r>
        <w:rPr>
          <w:rFonts w:ascii="Calibri" w:cs="Calibri" w:eastAsia="Calibri" w:hAnsi="Calibri"/>
          <w:b/>
          <w:bCs/>
          <w:sz w:val="22"/>
          <w:szCs w:val="22"/>
        </w:rPr>
        <w:t xml:space="preserve">CLÁUSULA SEGUNDA — DA VIGÊNCIA E DA RENOVAÇÃO</w:t>
      </w:r>
    </w:p>
    <w:p>
      <w:pPr>
        <w:spacing w:after="120" w:line="276"/>
        <w:jc w:val="both"/>
      </w:pPr>
      <w:r>
        <w:rPr>
          <w:rFonts w:ascii="Calibri" w:cs="Calibri" w:eastAsia="Calibri" w:hAnsi="Calibri"/>
          <w:b w:val="false"/>
          <w:bCs w:val="false"/>
          <w:i w:val="false"/>
          <w:iCs w:val="false"/>
          <w:sz w:val="21"/>
          <w:szCs w:val="21"/>
        </w:rPr>
        <w:t xml:space="preserve">2.1. O presente contrato vigorará pelo prazo de 36 (trinta e seis) meses, contados da data de sua assinatura.</w:t>
      </w:r>
    </w:p>
    <w:p>
      <w:pPr>
        <w:spacing w:after="120" w:line="276"/>
        <w:jc w:val="both"/>
      </w:pPr>
      <w:r>
        <w:rPr>
          <w:rFonts w:ascii="Calibri" w:cs="Calibri" w:eastAsia="Calibri" w:hAnsi="Calibri"/>
          <w:b w:val="false"/>
          <w:bCs w:val="false"/>
          <w:i w:val="false"/>
          <w:iCs w:val="false"/>
          <w:sz w:val="21"/>
          <w:szCs w:val="21"/>
        </w:rPr>
        <w:t xml:space="preserve">2.2. Findo o prazo previsto no item 2.1, o contrato será automática e sucessivamente renovado por períodos iguais e consecutivos, salvo manifestação expressa em sentido contrário de qualquer das PARTES, formalizada por carta registrada com aviso de recebimento endereçada à sede matriz da outra parte, com antecedência mínima de 180 (cento e oitenta) dias do respectivo termo final.</w:t>
      </w:r>
    </w:p>
    <w:p>
      <w:pPr>
        <w:spacing w:after="120" w:line="276"/>
        <w:jc w:val="both"/>
      </w:pPr>
      <w:r>
        <w:rPr>
          <w:rFonts w:ascii="Calibri" w:cs="Calibri" w:eastAsia="Calibri" w:hAnsi="Calibri"/>
          <w:b w:val="false"/>
          <w:bCs w:val="false"/>
          <w:i w:val="false"/>
          <w:iCs w:val="false"/>
          <w:sz w:val="21"/>
          <w:szCs w:val="21"/>
        </w:rPr>
        <w:t xml:space="preserve">2.3. A manifestação que não observe a forma ou o prazo estabelecidos no item 2.2 será considerada ineficaz, operando-se a renovação automática, sem que caiba questionamento posterior a qualquer título.</w:t>
      </w:r>
    </w:p>
    <w:p>
      <w:pPr>
        <w:spacing w:after="140" w:before="260"/>
      </w:pPr>
      <w:r>
        <w:rPr>
          <w:rFonts w:ascii="Calibri" w:cs="Calibri" w:eastAsia="Calibri" w:hAnsi="Calibri"/>
          <w:b/>
          <w:bCs/>
          <w:sz w:val="22"/>
          <w:szCs w:val="22"/>
        </w:rPr>
        <w:t xml:space="preserve">CLÁUSULA TERCEIRA — DO VOLUME E DA PREFERÊNCIA DE FORNECIMENTO</w:t>
      </w:r>
    </w:p>
    <w:p>
      <w:pPr>
        <w:spacing w:after="120" w:line="276"/>
        <w:jc w:val="both"/>
      </w:pPr>
      <w:r>
        <w:rPr>
          <w:rFonts w:ascii="Calibri" w:cs="Calibri" w:eastAsia="Calibri" w:hAnsi="Calibri"/>
          <w:b w:val="false"/>
          <w:bCs w:val="false"/>
          <w:i w:val="false"/>
          <w:iCs w:val="false"/>
          <w:sz w:val="21"/>
          <w:szCs w:val="21"/>
        </w:rPr>
        <w:t xml:space="preserve">3.1. Em contrapartida às condições comerciais diferenciadas ora ajustadas, a CONTRATANTE obriga-se a adquirir da FORNECEDORA a totalidade da madeira empregada em sua produção, durante toda a vigência deste contrato e de suas renovações.</w:t>
      </w:r>
    </w:p>
    <w:p>
      <w:pPr>
        <w:spacing w:after="120" w:line="276"/>
        <w:jc w:val="both"/>
      </w:pPr>
      <w:r>
        <w:rPr>
          <w:rFonts w:ascii="Calibri" w:cs="Calibri" w:eastAsia="Calibri" w:hAnsi="Calibri"/>
          <w:b w:val="false"/>
          <w:bCs w:val="false"/>
          <w:i w:val="false"/>
          <w:iCs w:val="false"/>
          <w:sz w:val="21"/>
          <w:szCs w:val="21"/>
        </w:rPr>
        <w:t xml:space="preserve">3.2. Para fins de planejamento de produção e reserva de estoque, as PARTES estabelecem volume mínimo mensal de 18 m³ (dezoito metros cúbicos), cujo valor correspondente será faturado integralmente ao final de cada mês, ainda que a retirada não tenha sido efetuada pela CONTRATANTE.</w:t>
      </w:r>
    </w:p>
    <w:p>
      <w:pPr>
        <w:spacing w:after="120" w:line="276"/>
        <w:jc w:val="both"/>
      </w:pPr>
      <w:r>
        <w:rPr>
          <w:rFonts w:ascii="Calibri" w:cs="Calibri" w:eastAsia="Calibri" w:hAnsi="Calibri"/>
          <w:b w:val="false"/>
          <w:bCs w:val="false"/>
          <w:i w:val="false"/>
          <w:iCs w:val="false"/>
          <w:sz w:val="21"/>
          <w:szCs w:val="21"/>
        </w:rPr>
        <w:t xml:space="preserve">3.3. A FORNECEDORA não assume compromisso de volume máximo, de prazo de reposição ou de manutenção de estoque mínimo, ficando o atendimento dos pedidos condicionado à sua capacidade produtiva no período.</w:t>
      </w:r>
    </w:p>
    <w:p>
      <w:pPr>
        <w:spacing w:after="140" w:before="260"/>
      </w:pPr>
      <w:r>
        <w:rPr>
          <w:rFonts w:ascii="Calibri" w:cs="Calibri" w:eastAsia="Calibri" w:hAnsi="Calibri"/>
          <w:b/>
          <w:bCs/>
          <w:sz w:val="22"/>
          <w:szCs w:val="22"/>
        </w:rPr>
        <w:t xml:space="preserve">CLÁUSULA QUARTA — DO PREÇO, DO REAJUSTE E DO PAGAMENTO</w:t>
      </w:r>
    </w:p>
    <w:p>
      <w:pPr>
        <w:spacing w:after="120" w:line="276"/>
        <w:jc w:val="both"/>
      </w:pPr>
      <w:r>
        <w:rPr>
          <w:rFonts w:ascii="Calibri" w:cs="Calibri" w:eastAsia="Calibri" w:hAnsi="Calibri"/>
          <w:b w:val="false"/>
          <w:bCs w:val="false"/>
          <w:i w:val="false"/>
          <w:iCs w:val="false"/>
          <w:sz w:val="21"/>
          <w:szCs w:val="21"/>
        </w:rPr>
        <w:t xml:space="preserve">4.1. Os preços unitários por metro cúbico são os constantes da tabela do Anexo II, totalizando, considerado o volume mínimo do item 3.2, o valor mensal estimado de R$ 24.300,00 (vinte e quatro mil e trezentos reais).</w:t>
      </w:r>
    </w:p>
    <w:p>
      <w:pPr>
        <w:spacing w:after="120" w:line="276"/>
        <w:jc w:val="both"/>
      </w:pPr>
      <w:r>
        <w:rPr>
          <w:rFonts w:ascii="Calibri" w:cs="Calibri" w:eastAsia="Calibri" w:hAnsi="Calibri"/>
          <w:b w:val="false"/>
          <w:bCs w:val="false"/>
          <w:i w:val="false"/>
          <w:iCs w:val="false"/>
          <w:sz w:val="21"/>
          <w:szCs w:val="21"/>
        </w:rPr>
        <w:t xml:space="preserve">4.2. Os preços serão reajustados anualmente, na data de aniversário do contrato, pela variação acumulada do IGP-M/FGV no período, ou por índice que venha a substituí-lo.</w:t>
      </w:r>
    </w:p>
    <w:p>
      <w:pPr>
        <w:spacing w:after="120" w:line="276"/>
        <w:jc w:val="both"/>
      </w:pPr>
      <w:r>
        <w:rPr>
          <w:rFonts w:ascii="Calibri" w:cs="Calibri" w:eastAsia="Calibri" w:hAnsi="Calibri"/>
          <w:b w:val="false"/>
          <w:bCs w:val="false"/>
          <w:i w:val="false"/>
          <w:iCs w:val="false"/>
          <w:sz w:val="21"/>
          <w:szCs w:val="21"/>
        </w:rPr>
        <w:t xml:space="preserve">4.3. Independentemente do reajuste previsto no item 4.2, a FORNECEDORA poderá promover revisão extraordinária dos preços, a qualquer tempo, mediante comunicação escrita com antecedência de 15 (quinze) dias, sempre que verificada variação superior a 7% (sete por cento) nos custos de insumos, de combustível ou de frete, apurada segundo critério próprio da FORNECEDORA.</w:t>
      </w:r>
    </w:p>
    <w:p>
      <w:pPr>
        <w:spacing w:after="120" w:line="276"/>
        <w:jc w:val="both"/>
      </w:pPr>
      <w:r>
        <w:rPr>
          <w:rFonts w:ascii="Calibri" w:cs="Calibri" w:eastAsia="Calibri" w:hAnsi="Calibri"/>
          <w:b w:val="false"/>
          <w:bCs w:val="false"/>
          <w:i w:val="false"/>
          <w:iCs w:val="false"/>
          <w:sz w:val="21"/>
          <w:szCs w:val="21"/>
        </w:rPr>
        <w:t xml:space="preserve">4.4. O pagamento será efetuado mediante antecipação de 50% (cinquenta por cento) do valor do pedido no ato de sua confirmação, e o saldo remanescente em 14 (quatorze) dias contados da emissão da nota fiscal.</w:t>
      </w:r>
    </w:p>
    <w:p>
      <w:pPr>
        <w:spacing w:after="120" w:line="276"/>
        <w:jc w:val="both"/>
      </w:pPr>
      <w:r>
        <w:rPr>
          <w:rFonts w:ascii="Calibri" w:cs="Calibri" w:eastAsia="Calibri" w:hAnsi="Calibri"/>
          <w:b w:val="false"/>
          <w:bCs w:val="false"/>
          <w:i w:val="false"/>
          <w:iCs w:val="false"/>
          <w:sz w:val="21"/>
          <w:szCs w:val="21"/>
        </w:rPr>
        <w:t xml:space="preserve">4.5. O atraso no pagamento sujeitará a CONTRATANTE à multa de 10% (dez por cento) sobre o valor em aberto, acrescida de juros de mora de 1% (um por cento) ao mês e de correção monetária, facultada à FORNECEDORA a suspensão imediata dos fornecimentos em curso.</w:t>
      </w:r>
    </w:p>
    <w:p>
      <w:pPr>
        <w:spacing w:after="140" w:before="260"/>
      </w:pPr>
      <w:r>
        <w:rPr>
          <w:rFonts w:ascii="Calibri" w:cs="Calibri" w:eastAsia="Calibri" w:hAnsi="Calibri"/>
          <w:b/>
          <w:bCs/>
          <w:sz w:val="22"/>
          <w:szCs w:val="22"/>
        </w:rPr>
        <w:t xml:space="preserve">CLÁUSULA QUINTA — DA ENTREGA, DO ACEITE E DA GARANTIA</w:t>
      </w:r>
    </w:p>
    <w:p>
      <w:pPr>
        <w:spacing w:after="120" w:line="276"/>
        <w:jc w:val="both"/>
      </w:pPr>
      <w:r>
        <w:rPr>
          <w:rFonts w:ascii="Calibri" w:cs="Calibri" w:eastAsia="Calibri" w:hAnsi="Calibri"/>
          <w:b w:val="false"/>
          <w:bCs w:val="false"/>
          <w:i w:val="false"/>
          <w:iCs w:val="false"/>
          <w:sz w:val="21"/>
          <w:szCs w:val="21"/>
        </w:rPr>
        <w:t xml:space="preserve">5.1. O prazo de entrega será de até 90 (noventa) dias contados da confirmação do pedido, prorrogável por até 45 (quarenta e cinco) dias adicionais mediante simples comunicação da FORNECEDORA.</w:t>
      </w:r>
    </w:p>
    <w:p>
      <w:pPr>
        <w:spacing w:after="120" w:line="276"/>
        <w:jc w:val="both"/>
      </w:pPr>
      <w:r>
        <w:rPr>
          <w:rFonts w:ascii="Calibri" w:cs="Calibri" w:eastAsia="Calibri" w:hAnsi="Calibri"/>
          <w:b w:val="false"/>
          <w:bCs w:val="false"/>
          <w:i w:val="false"/>
          <w:iCs w:val="false"/>
          <w:sz w:val="21"/>
          <w:szCs w:val="21"/>
        </w:rPr>
        <w:t xml:space="preserve">5.2. Os produtos serão considerados tacitamente aceitos caso não haja reclamação formal da CONTRATANTE no prazo de 5 (cinco) dias corridos contados do recebimento no local de entrega.</w:t>
      </w:r>
    </w:p>
    <w:p>
      <w:pPr>
        <w:spacing w:after="120" w:line="276"/>
        <w:jc w:val="both"/>
      </w:pPr>
      <w:r>
        <w:rPr>
          <w:rFonts w:ascii="Calibri" w:cs="Calibri" w:eastAsia="Calibri" w:hAnsi="Calibri"/>
          <w:b w:val="false"/>
          <w:bCs w:val="false"/>
          <w:i w:val="false"/>
          <w:iCs w:val="false"/>
          <w:sz w:val="21"/>
          <w:szCs w:val="21"/>
        </w:rPr>
        <w:t xml:space="preserve">5.3. O recebimento de cada lote, sem ressalva escrita no prazo do item 5.2, importa plena, geral e irrevogável quitação quanto à conformidade, à quantidade e à qualidade dos produtos entregues.</w:t>
      </w:r>
    </w:p>
    <w:p>
      <w:pPr>
        <w:spacing w:after="120" w:line="276"/>
        <w:jc w:val="both"/>
      </w:pPr>
      <w:r>
        <w:rPr>
          <w:rFonts w:ascii="Calibri" w:cs="Calibri" w:eastAsia="Calibri" w:hAnsi="Calibri"/>
          <w:b w:val="false"/>
          <w:bCs w:val="false"/>
          <w:i w:val="false"/>
          <w:iCs w:val="false"/>
          <w:sz w:val="21"/>
          <w:szCs w:val="21"/>
        </w:rPr>
        <w:t xml:space="preserve">5.4. A garantia contratual não abrange variações naturais inerentes ao material, tais como teor de umidade, empenamento, retração, variação de coloração, presença de nós, fissuras, rachaduras de topo e ocorrência de organismos xilófagos.</w:t>
      </w:r>
    </w:p>
    <w:p>
      <w:pPr>
        <w:spacing w:after="140" w:before="260"/>
      </w:pPr>
      <w:r>
        <w:rPr>
          <w:rFonts w:ascii="Calibri" w:cs="Calibri" w:eastAsia="Calibri" w:hAnsi="Calibri"/>
          <w:b/>
          <w:bCs/>
          <w:sz w:val="22"/>
          <w:szCs w:val="22"/>
        </w:rPr>
        <w:t xml:space="preserve">CLÁUSULA SEXTA — DA SUBCONTRATAÇÃO E DA CESSÃO</w:t>
      </w:r>
    </w:p>
    <w:p>
      <w:pPr>
        <w:spacing w:after="120" w:line="276"/>
        <w:jc w:val="both"/>
      </w:pPr>
      <w:r>
        <w:rPr>
          <w:rFonts w:ascii="Calibri" w:cs="Calibri" w:eastAsia="Calibri" w:hAnsi="Calibri"/>
          <w:b w:val="false"/>
          <w:bCs w:val="false"/>
          <w:i w:val="false"/>
          <w:iCs w:val="false"/>
          <w:sz w:val="21"/>
          <w:szCs w:val="21"/>
        </w:rPr>
        <w:t xml:space="preserve">6.1. Fica a FORNECEDORA autorizada a subcontratar, no todo ou em parte, as atividades de extração, transporte, serragem e beneficiamento, a seu exclusivo critério, independentemente de anuência ou de comunicação prévia à CONTRATANTE.</w:t>
      </w:r>
    </w:p>
    <w:p>
      <w:pPr>
        <w:spacing w:after="120" w:line="276"/>
        <w:jc w:val="both"/>
      </w:pPr>
      <w:r>
        <w:rPr>
          <w:rFonts w:ascii="Calibri" w:cs="Calibri" w:eastAsia="Calibri" w:hAnsi="Calibri"/>
          <w:b w:val="false"/>
          <w:bCs w:val="false"/>
          <w:i w:val="false"/>
          <w:iCs w:val="false"/>
          <w:sz w:val="21"/>
          <w:szCs w:val="21"/>
        </w:rPr>
        <w:t xml:space="preserve">6.2. A FORNECEDORA poderá ceder ou transferir este contrato, bem como os direitos e obrigações dele decorrentes, a qualquer sociedade integrante de seu grupo econômico, independentemente de anuência da CONTRATANTE.</w:t>
      </w:r>
    </w:p>
    <w:p>
      <w:pPr>
        <w:spacing w:after="120" w:line="276"/>
        <w:jc w:val="both"/>
      </w:pPr>
      <w:r>
        <w:rPr>
          <w:rFonts w:ascii="Calibri" w:cs="Calibri" w:eastAsia="Calibri" w:hAnsi="Calibri"/>
          <w:b w:val="false"/>
          <w:bCs w:val="false"/>
          <w:i w:val="false"/>
          <w:iCs w:val="false"/>
          <w:sz w:val="21"/>
          <w:szCs w:val="21"/>
        </w:rPr>
        <w:t xml:space="preserve">6.3. É vedado à CONTRATANTE ceder ou transferir este contrato, no todo ou em parte, sem prévia e expressa anuência escrita da FORNECEDORA.</w:t>
      </w:r>
    </w:p>
    <w:p>
      <w:pPr>
        <w:spacing w:after="140" w:before="260"/>
      </w:pPr>
      <w:r>
        <w:rPr>
          <w:rFonts w:ascii="Calibri" w:cs="Calibri" w:eastAsia="Calibri" w:hAnsi="Calibri"/>
          <w:b/>
          <w:bCs/>
          <w:sz w:val="22"/>
          <w:szCs w:val="22"/>
        </w:rPr>
        <w:t xml:space="preserve">CLÁUSULA SÉTIMA — DO USO DE MARCA, NOME E IMAGEM</w:t>
      </w:r>
    </w:p>
    <w:p>
      <w:pPr>
        <w:spacing w:after="120" w:line="276"/>
        <w:jc w:val="both"/>
      </w:pPr>
      <w:r>
        <w:rPr>
          <w:rFonts w:ascii="Calibri" w:cs="Calibri" w:eastAsia="Calibri" w:hAnsi="Calibri"/>
          <w:b w:val="false"/>
          <w:bCs w:val="false"/>
          <w:i w:val="false"/>
          <w:iCs w:val="false"/>
          <w:sz w:val="21"/>
          <w:szCs w:val="21"/>
        </w:rPr>
        <w:t xml:space="preserve">7.1. A CONTRATANTE outorga à FORNECEDORA licença de uso da marca CAXI VAL, de seus sinais distintivos, bem como do nome civil, do nome artístico, da voz e da imagem de seu sócio-administrador, para fins de divulgação institucional e comercial, em qualquer meio ou suporte, inclusive plataformas digitais e redes sociais.</w:t>
      </w:r>
    </w:p>
    <w:p>
      <w:pPr>
        <w:spacing w:after="120" w:line="276"/>
        <w:jc w:val="both"/>
      </w:pPr>
      <w:r>
        <w:rPr>
          <w:rFonts w:ascii="Calibri" w:cs="Calibri" w:eastAsia="Calibri" w:hAnsi="Calibri"/>
          <w:b w:val="false"/>
          <w:bCs w:val="false"/>
          <w:i w:val="false"/>
          <w:iCs w:val="false"/>
          <w:sz w:val="21"/>
          <w:szCs w:val="21"/>
        </w:rPr>
        <w:t xml:space="preserve">7.2. A licença de que trata o item 7.1 é concedida a título gratuito, em caráter não exclusivo e irrevogável, para os territórios nacional e internacional, pelo prazo de vigência deste contrato e por mais 5 (cinco) anos contados de seu término, qualquer que seja a causa da extinção.</w:t>
      </w:r>
    </w:p>
    <w:p>
      <w:pPr>
        <w:spacing w:after="120" w:line="276"/>
        <w:jc w:val="both"/>
      </w:pPr>
      <w:r>
        <w:rPr>
          <w:rFonts w:ascii="Calibri" w:cs="Calibri" w:eastAsia="Calibri" w:hAnsi="Calibri"/>
          <w:b w:val="false"/>
          <w:bCs w:val="false"/>
          <w:i w:val="false"/>
          <w:iCs w:val="false"/>
          <w:sz w:val="21"/>
          <w:szCs w:val="21"/>
        </w:rPr>
        <w:t xml:space="preserve">7.3. A licença estende-se às sociedades integrantes do grupo econômico da FORNECEDORA e a seus distribuidores autorizados, independentemente de nova outorga.</w:t>
      </w:r>
    </w:p>
    <w:p>
      <w:pPr>
        <w:spacing w:after="120" w:line="276"/>
        <w:jc w:val="both"/>
      </w:pPr>
      <w:r>
        <w:rPr>
          <w:rFonts w:ascii="Calibri" w:cs="Calibri" w:eastAsia="Calibri" w:hAnsi="Calibri"/>
          <w:b w:val="false"/>
          <w:bCs w:val="false"/>
          <w:i w:val="false"/>
          <w:iCs w:val="false"/>
          <w:sz w:val="21"/>
          <w:szCs w:val="21"/>
        </w:rPr>
        <w:t xml:space="preserve">7.4. A CONTRATANTE renuncia expressamente a qualquer remuneração pela licença ora concedida, bem como ao direito de aprovação prévia das peças publicitárias em que a marca, o nome ou a imagem venham a ser utilizados.</w:t>
      </w:r>
    </w:p>
    <w:p>
      <w:pPr>
        <w:spacing w:after="140" w:before="260"/>
      </w:pPr>
      <w:r>
        <w:rPr>
          <w:rFonts w:ascii="Calibri" w:cs="Calibri" w:eastAsia="Calibri" w:hAnsi="Calibri"/>
          <w:b/>
          <w:bCs/>
          <w:sz w:val="22"/>
          <w:szCs w:val="22"/>
        </w:rPr>
        <w:t xml:space="preserve">CLÁUSULA OITAVA — DA CONFIDENCIALIDADE E DA NÃO DEPRECIAÇÃO</w:t>
      </w:r>
    </w:p>
    <w:p>
      <w:pPr>
        <w:spacing w:after="120" w:line="276"/>
        <w:jc w:val="both"/>
      </w:pPr>
      <w:r>
        <w:rPr>
          <w:rFonts w:ascii="Calibri" w:cs="Calibri" w:eastAsia="Calibri" w:hAnsi="Calibri"/>
          <w:b w:val="false"/>
          <w:bCs w:val="false"/>
          <w:i w:val="false"/>
          <w:iCs w:val="false"/>
          <w:sz w:val="21"/>
          <w:szCs w:val="21"/>
        </w:rPr>
        <w:t xml:space="preserve">8.1. As PARTES obrigam-se a manter sigilo sobre as condições comerciais deste contrato, sobre as tabelas de preço praticadas e sobre as informações técnicas a que tiverem acesso em razão de sua execução.</w:t>
      </w:r>
    </w:p>
    <w:p>
      <w:pPr>
        <w:spacing w:after="120" w:line="276"/>
        <w:jc w:val="both"/>
      </w:pPr>
      <w:r>
        <w:rPr>
          <w:rFonts w:ascii="Calibri" w:cs="Calibri" w:eastAsia="Calibri" w:hAnsi="Calibri"/>
          <w:b w:val="false"/>
          <w:bCs w:val="false"/>
          <w:i w:val="false"/>
          <w:iCs w:val="false"/>
          <w:sz w:val="21"/>
          <w:szCs w:val="21"/>
        </w:rPr>
        <w:t xml:space="preserve">8.2. A CONTRATANTE, por si, por seus sócios, administradores, prepostos e pessoas a ela vinculadas, obriga-se a abster-se de emitir, em qualquer meio, público ou privado, inclusive em plataformas digitais e redes sociais, declaração, resenha, análise, avaliação comparativa, classificação ou manifestação de qualquer natureza que possa depreciar a imagem, os produtos, os serviços ou a reputação da FORNECEDORA, de suas controladas, controladoras ou demais sociedades de seu grupo econômico.</w:t>
      </w:r>
    </w:p>
    <w:p>
      <w:pPr>
        <w:spacing w:after="120" w:line="276"/>
        <w:jc w:val="both"/>
      </w:pPr>
      <w:r>
        <w:rPr>
          <w:rFonts w:ascii="Calibri" w:cs="Calibri" w:eastAsia="Calibri" w:hAnsi="Calibri"/>
          <w:b w:val="false"/>
          <w:bCs w:val="false"/>
          <w:i w:val="false"/>
          <w:iCs w:val="false"/>
          <w:sz w:val="21"/>
          <w:szCs w:val="21"/>
        </w:rPr>
        <w:t xml:space="preserve">8.3. A inobservância do disposto no item 8.2 sujeitará a CONTRATANTE ao pagamento de multa não compensatória de R$ 150.000,00 (cento e cinquenta mil reais) por ocorrência, sem prejuízo da apuração de perdas e danos e da remoção imediata do conteúdo.</w:t>
      </w:r>
    </w:p>
    <w:p>
      <w:pPr>
        <w:spacing w:after="120" w:line="276"/>
        <w:jc w:val="both"/>
      </w:pPr>
      <w:r>
        <w:rPr>
          <w:rFonts w:ascii="Calibri" w:cs="Calibri" w:eastAsia="Calibri" w:hAnsi="Calibri"/>
          <w:b w:val="false"/>
          <w:bCs w:val="false"/>
          <w:i w:val="false"/>
          <w:iCs w:val="false"/>
          <w:sz w:val="21"/>
          <w:szCs w:val="21"/>
        </w:rPr>
        <w:t xml:space="preserve">8.4. As obrigações previstas nesta cláusula subsistirão por 5 (cinco) anos contados do término deste contrato.</w:t>
      </w:r>
    </w:p>
    <w:p>
      <w:pPr>
        <w:spacing w:after="140" w:before="260"/>
      </w:pPr>
      <w:r>
        <w:rPr>
          <w:rFonts w:ascii="Calibri" w:cs="Calibri" w:eastAsia="Calibri" w:hAnsi="Calibri"/>
          <w:b/>
          <w:bCs/>
          <w:sz w:val="22"/>
          <w:szCs w:val="22"/>
        </w:rPr>
        <w:t xml:space="preserve">CLÁUSULA NONA — DA RESCISÃO</w:t>
      </w:r>
    </w:p>
    <w:p>
      <w:pPr>
        <w:spacing w:after="120" w:line="276"/>
        <w:jc w:val="both"/>
      </w:pPr>
      <w:r>
        <w:rPr>
          <w:rFonts w:ascii="Calibri" w:cs="Calibri" w:eastAsia="Calibri" w:hAnsi="Calibri"/>
          <w:b w:val="false"/>
          <w:bCs w:val="false"/>
          <w:i w:val="false"/>
          <w:iCs w:val="false"/>
          <w:sz w:val="21"/>
          <w:szCs w:val="21"/>
        </w:rPr>
        <w:t xml:space="preserve">9.1. A CONTRATANTE poderá rescindir imotivadamente este contrato mediante aviso prévio de 120 (cento e vinte) dias e pagamento de multa correspondente a 30% (trinta por cento) do valor remanescente estimado do contrato até o seu termo final, calculado com base no volume mínimo previsto no item 3.2.</w:t>
      </w:r>
    </w:p>
    <w:p>
      <w:pPr>
        <w:spacing w:after="120" w:line="276"/>
        <w:jc w:val="both"/>
      </w:pPr>
      <w:r>
        <w:rPr>
          <w:rFonts w:ascii="Calibri" w:cs="Calibri" w:eastAsia="Calibri" w:hAnsi="Calibri"/>
          <w:b w:val="false"/>
          <w:bCs w:val="false"/>
          <w:i w:val="false"/>
          <w:iCs w:val="false"/>
          <w:sz w:val="21"/>
          <w:szCs w:val="21"/>
        </w:rPr>
        <w:t xml:space="preserve">9.2. A FORNECEDORA poderá rescindir imotivadamente este contrato mediante aviso prévio de 60 (sessenta) dias, sem incidência de multa ou indenização de qualquer natureza.</w:t>
      </w:r>
    </w:p>
    <w:p>
      <w:pPr>
        <w:spacing w:after="120" w:line="276"/>
        <w:jc w:val="both"/>
      </w:pPr>
      <w:r>
        <w:rPr>
          <w:rFonts w:ascii="Calibri" w:cs="Calibri" w:eastAsia="Calibri" w:hAnsi="Calibri"/>
          <w:b w:val="false"/>
          <w:bCs w:val="false"/>
          <w:i w:val="false"/>
          <w:iCs w:val="false"/>
          <w:sz w:val="21"/>
          <w:szCs w:val="21"/>
        </w:rPr>
        <w:t xml:space="preserve">9.3. A extinção do contrato, por qualquer causa, não afasta a eficácia das obrigações previstas nas Cláusulas Sétima e Oitava.</w:t>
      </w:r>
    </w:p>
    <w:p>
      <w:pPr>
        <w:spacing w:after="140" w:before="260"/>
      </w:pPr>
      <w:r>
        <w:rPr>
          <w:rFonts w:ascii="Calibri" w:cs="Calibri" w:eastAsia="Calibri" w:hAnsi="Calibri"/>
          <w:b/>
          <w:bCs/>
          <w:sz w:val="22"/>
          <w:szCs w:val="22"/>
        </w:rPr>
        <w:t xml:space="preserve">CLÁUSULA DÉCIMA — DA RESPONSABILIDADE</w:t>
      </w:r>
    </w:p>
    <w:p>
      <w:pPr>
        <w:spacing w:after="120" w:line="276"/>
        <w:jc w:val="both"/>
      </w:pPr>
      <w:r>
        <w:rPr>
          <w:rFonts w:ascii="Calibri" w:cs="Calibri" w:eastAsia="Calibri" w:hAnsi="Calibri"/>
          <w:b w:val="false"/>
          <w:bCs w:val="false"/>
          <w:i w:val="false"/>
          <w:iCs w:val="false"/>
          <w:sz w:val="21"/>
          <w:szCs w:val="21"/>
        </w:rPr>
        <w:t xml:space="preserve">10.1. A responsabilidade da FORNECEDORA por qualquer perda, dano ou prejuízo decorrente deste contrato fica limitada ao valor do último pedido faturado, excluídos, em qualquer hipótese, lucros cessantes, danos indiretos, danos emergentes futuros e danos à imagem ou à reputação.</w:t>
      </w:r>
    </w:p>
    <w:p>
      <w:pPr>
        <w:spacing w:after="120" w:line="276"/>
        <w:jc w:val="both"/>
      </w:pPr>
      <w:r>
        <w:rPr>
          <w:rFonts w:ascii="Calibri" w:cs="Calibri" w:eastAsia="Calibri" w:hAnsi="Calibri"/>
          <w:b w:val="false"/>
          <w:bCs w:val="false"/>
          <w:i w:val="false"/>
          <w:iCs w:val="false"/>
          <w:sz w:val="21"/>
          <w:szCs w:val="21"/>
        </w:rPr>
        <w:t xml:space="preserve">10.2. A CONTRATANTE responderá integralmente pelos prejuízos que der causa, não se aplicando a seu favor a limitação prevista no item 10.1.</w:t>
      </w:r>
    </w:p>
    <w:p>
      <w:pPr>
        <w:spacing w:after="120" w:line="276"/>
        <w:jc w:val="both"/>
      </w:pPr>
      <w:r>
        <w:rPr>
          <w:rFonts w:ascii="Calibri" w:cs="Calibri" w:eastAsia="Calibri" w:hAnsi="Calibri"/>
          <w:b w:val="false"/>
          <w:bCs w:val="false"/>
          <w:i w:val="false"/>
          <w:iCs w:val="false"/>
          <w:sz w:val="21"/>
          <w:szCs w:val="21"/>
        </w:rPr>
        <w:t xml:space="preserve">10.3. A CONTRATANTE isenta a FORNECEDORA de responsabilidade perante reivindicações, notificações, autuações ou demandas de terceiros relativas à procedência, à titularidade ou à regularidade ambiental da matéria-prima fornecida, obrigando-se a assumir o polo passivo e a suportar os custos correspondentes.</w:t>
      </w:r>
    </w:p>
    <w:p>
      <w:pPr>
        <w:spacing w:after="140" w:before="260"/>
      </w:pPr>
      <w:r>
        <w:rPr>
          <w:rFonts w:ascii="Calibri" w:cs="Calibri" w:eastAsia="Calibri" w:hAnsi="Calibri"/>
          <w:b/>
          <w:bCs/>
          <w:sz w:val="22"/>
          <w:szCs w:val="22"/>
        </w:rPr>
        <w:t xml:space="preserve">CLÁUSULA DÉCIMA PRIMEIRA — DAS DECLARAÇÕES DA FORNECEDORA</w:t>
      </w:r>
    </w:p>
    <w:p>
      <w:pPr>
        <w:spacing w:after="120" w:line="276"/>
        <w:jc w:val="both"/>
      </w:pPr>
      <w:r>
        <w:rPr>
          <w:rFonts w:ascii="Calibri" w:cs="Calibri" w:eastAsia="Calibri" w:hAnsi="Calibri"/>
          <w:b w:val="false"/>
          <w:bCs w:val="false"/>
          <w:i w:val="false"/>
          <w:iCs w:val="false"/>
          <w:sz w:val="21"/>
          <w:szCs w:val="21"/>
        </w:rPr>
        <w:t xml:space="preserve">11.1. A FORNECEDORA declara operar em conformidade com a legislação ambiental aplicável à sua atividade.</w:t>
      </w:r>
    </w:p>
    <w:p>
      <w:pPr>
        <w:spacing w:after="120" w:line="276"/>
        <w:jc w:val="both"/>
      </w:pPr>
      <w:r>
        <w:rPr>
          <w:rFonts w:ascii="Calibri" w:cs="Calibri" w:eastAsia="Calibri" w:hAnsi="Calibri"/>
          <w:b w:val="false"/>
          <w:bCs w:val="false"/>
          <w:i w:val="false"/>
          <w:iCs w:val="false"/>
          <w:sz w:val="21"/>
          <w:szCs w:val="21"/>
        </w:rPr>
        <w:t xml:space="preserve">11.2. A FORNECEDORA declara ser signatária do Pacto Nacional pela Madeira Responsável e informa que envidará seus melhores esforços para a obtenção de certificação florestal FSC até o término da vigência deste contrato.</w:t>
      </w:r>
    </w:p>
    <w:p>
      <w:pPr>
        <w:spacing w:after="120" w:line="276"/>
        <w:jc w:val="both"/>
      </w:pPr>
      <w:r>
        <w:rPr>
          <w:rFonts w:ascii="Calibri" w:cs="Calibri" w:eastAsia="Calibri" w:hAnsi="Calibri"/>
          <w:b w:val="false"/>
          <w:bCs w:val="false"/>
          <w:i w:val="false"/>
          <w:iCs w:val="false"/>
          <w:sz w:val="21"/>
          <w:szCs w:val="21"/>
        </w:rPr>
        <w:t xml:space="preserve">11.3. As declarações constantes desta cláusula têm caráter meramente informativo, não constituem garantia contratual e sua eventual inexatidão não enseja rescisão, revisão ou indenização.</w:t>
      </w:r>
    </w:p>
    <w:p>
      <w:pPr>
        <w:spacing w:after="140" w:before="260"/>
      </w:pPr>
      <w:r>
        <w:rPr>
          <w:rFonts w:ascii="Calibri" w:cs="Calibri" w:eastAsia="Calibri" w:hAnsi="Calibri"/>
          <w:b/>
          <w:bCs/>
          <w:sz w:val="22"/>
          <w:szCs w:val="22"/>
        </w:rPr>
        <w:t xml:space="preserve">CLÁUSULA DÉCIMA SEGUNDA — DA PROTEÇÃO DE DADOS</w:t>
      </w:r>
    </w:p>
    <w:p>
      <w:pPr>
        <w:spacing w:after="120" w:line="276"/>
        <w:jc w:val="both"/>
      </w:pPr>
      <w:r>
        <w:rPr>
          <w:rFonts w:ascii="Calibri" w:cs="Calibri" w:eastAsia="Calibri" w:hAnsi="Calibri"/>
          <w:b w:val="false"/>
          <w:bCs w:val="false"/>
          <w:i w:val="false"/>
          <w:iCs w:val="false"/>
          <w:sz w:val="21"/>
          <w:szCs w:val="21"/>
        </w:rPr>
        <w:t xml:space="preserve">12.1. As PARTES observarão a legislação aplicável à proteção de dados pessoais no tratamento das informações trocadas em razão deste contrato.</w:t>
      </w:r>
    </w:p>
    <w:p>
      <w:pPr>
        <w:spacing w:after="120" w:line="276"/>
        <w:jc w:val="both"/>
      </w:pPr>
      <w:r>
        <w:rPr>
          <w:rFonts w:ascii="Calibri" w:cs="Calibri" w:eastAsia="Calibri" w:hAnsi="Calibri"/>
          <w:b w:val="false"/>
          <w:bCs w:val="false"/>
          <w:i w:val="false"/>
          <w:iCs w:val="false"/>
          <w:sz w:val="21"/>
          <w:szCs w:val="21"/>
        </w:rPr>
        <w:t xml:space="preserve">12.2. Fica a FORNECEDORA autorizada a compartilhar os dados cadastrais da CONTRATANTE com sociedades de seu grupo econômico e com parceiros comerciais, para fins de gestão do relacionamento e de oferta de produtos e serviços.</w:t>
      </w:r>
    </w:p>
    <w:p>
      <w:pPr>
        <w:spacing w:after="140" w:before="260"/>
      </w:pPr>
      <w:r>
        <w:rPr>
          <w:rFonts w:ascii="Calibri" w:cs="Calibri" w:eastAsia="Calibri" w:hAnsi="Calibri"/>
          <w:b/>
          <w:bCs/>
          <w:sz w:val="22"/>
          <w:szCs w:val="22"/>
        </w:rPr>
        <w:t xml:space="preserve">CLÁUSULA DÉCIMA TERCEIRA — DAS DISPOSIÇÕES FINAIS</w:t>
      </w:r>
    </w:p>
    <w:p>
      <w:pPr>
        <w:spacing w:after="120" w:line="276"/>
        <w:jc w:val="both"/>
      </w:pPr>
      <w:r>
        <w:rPr>
          <w:rFonts w:ascii="Calibri" w:cs="Calibri" w:eastAsia="Calibri" w:hAnsi="Calibri"/>
          <w:b w:val="false"/>
          <w:bCs w:val="false"/>
          <w:i w:val="false"/>
          <w:iCs w:val="false"/>
          <w:sz w:val="21"/>
          <w:szCs w:val="21"/>
        </w:rPr>
        <w:t xml:space="preserve">13.1. Este contrato representa o entendimento integral das PARTES, substituindo tratativas, propostas, mensagens e ajustes anteriores, verbais ou escritos.</w:t>
      </w:r>
    </w:p>
    <w:p>
      <w:pPr>
        <w:spacing w:after="120" w:line="276"/>
        <w:jc w:val="both"/>
      </w:pPr>
      <w:r>
        <w:rPr>
          <w:rFonts w:ascii="Calibri" w:cs="Calibri" w:eastAsia="Calibri" w:hAnsi="Calibri"/>
          <w:b w:val="false"/>
          <w:bCs w:val="false"/>
          <w:i w:val="false"/>
          <w:iCs w:val="false"/>
          <w:sz w:val="21"/>
          <w:szCs w:val="21"/>
        </w:rPr>
        <w:t xml:space="preserve">13.2. A tolerância quanto ao descumprimento de qualquer obrigação não implica novação nem renúncia de direitos.</w:t>
      </w:r>
    </w:p>
    <w:p>
      <w:pPr>
        <w:spacing w:after="120" w:line="276"/>
        <w:jc w:val="both"/>
      </w:pPr>
      <w:r>
        <w:rPr>
          <w:rFonts w:ascii="Calibri" w:cs="Calibri" w:eastAsia="Calibri" w:hAnsi="Calibri"/>
          <w:b w:val="false"/>
          <w:bCs w:val="false"/>
          <w:i w:val="false"/>
          <w:iCs w:val="false"/>
          <w:sz w:val="21"/>
          <w:szCs w:val="21"/>
        </w:rPr>
        <w:t xml:space="preserve">13.3. Alterações somente terão validade se formalizadas por termo aditivo escrito e assinado por ambas as PARTES.</w:t>
      </w:r>
    </w:p>
    <w:p>
      <w:pPr>
        <w:spacing w:after="120" w:line="276"/>
        <w:jc w:val="both"/>
      </w:pPr>
      <w:r>
        <w:rPr>
          <w:rFonts w:ascii="Calibri" w:cs="Calibri" w:eastAsia="Calibri" w:hAnsi="Calibri"/>
          <w:b w:val="false"/>
          <w:bCs w:val="false"/>
          <w:i w:val="false"/>
          <w:iCs w:val="false"/>
          <w:sz w:val="21"/>
          <w:szCs w:val="21"/>
        </w:rPr>
        <w:t xml:space="preserve">13.4. Não constitui inadimplemento o descumprimento decorrente de caso fortuito ou força maior, aí compreendidos, para os fins deste contrato, atos de autoridade administrativa, embargos, interdições, restrições de licenciamento e alterações regulatórias supervenientes que afetem a atividade da FORNECEDORA.</w:t>
      </w:r>
    </w:p>
    <w:p>
      <w:pPr>
        <w:spacing w:after="120" w:line="276"/>
        <w:jc w:val="both"/>
      </w:pPr>
      <w:r>
        <w:rPr>
          <w:rFonts w:ascii="Calibri" w:cs="Calibri" w:eastAsia="Calibri" w:hAnsi="Calibri"/>
          <w:b w:val="false"/>
          <w:bCs w:val="false"/>
          <w:i w:val="false"/>
          <w:iCs w:val="false"/>
          <w:sz w:val="21"/>
          <w:szCs w:val="21"/>
        </w:rPr>
        <w:t xml:space="preserve">13.5. Fica eleito o foro da comarca de Sinop, Estado de Mato Grosso, para dirimir as controvérsias oriundas deste contrato, com renúncia expressa a qualquer outro, por mais privilegiado que seja.</w:t>
      </w:r>
    </w:p>
    <w:p>
      <w:pPr>
        <w:spacing w:after="260" w:line="276"/>
        <w:jc w:val="both"/>
      </w:pPr>
      <w:r>
        <w:rPr>
          <w:rFonts w:ascii="Calibri" w:cs="Calibri" w:eastAsia="Calibri" w:hAnsi="Calibri"/>
          <w:b w:val="false"/>
          <w:bCs w:val="false"/>
          <w:i w:val="false"/>
          <w:iCs w:val="false"/>
          <w:sz w:val="21"/>
          <w:szCs w:val="21"/>
        </w:rPr>
        <w:t xml:space="preserve">E, por estarem justas e contratadas, as PARTES assinam o presente instrumento em 2 (duas) vias de igual teor e forma.</w:t>
      </w:r>
    </w:p>
    <w:p>
      <w:pPr>
        <w:spacing w:after="420" w:line="276"/>
        <w:jc w:val="center"/>
      </w:pPr>
      <w:r>
        <w:rPr>
          <w:rFonts w:ascii="Calibri" w:cs="Calibri" w:eastAsia="Calibri" w:hAnsi="Calibri"/>
          <w:b w:val="false"/>
          <w:bCs w:val="false"/>
          <w:i w:val="false"/>
          <w:iCs w:val="false"/>
          <w:sz w:val="21"/>
          <w:szCs w:val="21"/>
        </w:rPr>
        <w:t xml:space="preserve">Salvador (BA), 4 de agosto de 2026.</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Pr>
          <w:p>
            <w:pPr>
              <w:pBdr>
                <w:top w:val="single" w:color="000000" w:sz="6" w:space="2"/>
              </w:pBdr>
              <w:spacing w:after="60" w:before="300"/>
              <w:jc w:val="center"/>
            </w:pPr>
            <w:r>
              <w:rPr>
                <w:rFonts w:ascii="Calibri" w:cs="Calibri" w:eastAsia="Calibri" w:hAnsi="Calibri"/>
              </w:rPr>
              <w:t xml:space="preserve"/>
            </w:r>
          </w:p>
          <w:p>
            <w:pPr>
              <w:spacing w:after="0"/>
              <w:jc w:val="center"/>
            </w:pPr>
            <w:r>
              <w:rPr>
                <w:rFonts w:ascii="Calibri" w:cs="Calibri" w:eastAsia="Calibri" w:hAnsi="Calibri"/>
                <w:b/>
                <w:bCs/>
                <w:sz w:val="20"/>
                <w:szCs w:val="20"/>
              </w:rPr>
              <w:t xml:space="preserve">Valdemir Sampaio dos Anjos</w:t>
            </w:r>
          </w:p>
          <w:p>
            <w:pPr>
              <w:spacing w:after="0"/>
              <w:jc w:val="center"/>
            </w:pPr>
            <w:r>
              <w:rPr>
                <w:rFonts w:ascii="Calibri" w:cs="Calibri" w:eastAsia="Calibri" w:hAnsi="Calibri"/>
                <w:sz w:val="19"/>
                <w:szCs w:val="19"/>
              </w:rPr>
              <w:t xml:space="preserve">Sócio-administrador</w:t>
            </w:r>
          </w:p>
          <w:p>
            <w:pPr>
              <w:spacing w:after="120"/>
              <w:jc w:val="center"/>
            </w:pPr>
            <w:r>
              <w:rPr>
                <w:rFonts w:ascii="Calibri" w:cs="Calibri" w:eastAsia="Calibri" w:hAnsi="Calibri"/>
                <w:sz w:val="19"/>
                <w:szCs w:val="19"/>
              </w:rPr>
              <w:t xml:space="preserve">Oficina Caxi Liberdade Ltda.</w:t>
            </w:r>
          </w:p>
        </w:tc>
        <w:tc>
          <w:tcPr>
            <w:tcW w:type="dxa" w:w="4680"/>
            <w:tcBorders>
              <w:top w:val="none"/>
              <w:left w:val="none"/>
              <w:bottom w:val="none"/>
              <w:right w:val="none"/>
            </w:tcBorders>
          </w:tcPr>
          <w:p>
            <w:pPr>
              <w:pBdr>
                <w:top w:val="single" w:color="000000" w:sz="6" w:space="2"/>
              </w:pBdr>
              <w:spacing w:after="60" w:before="300"/>
              <w:jc w:val="center"/>
            </w:pPr>
            <w:r>
              <w:rPr>
                <w:rFonts w:ascii="Calibri" w:cs="Calibri" w:eastAsia="Calibri" w:hAnsi="Calibri"/>
              </w:rPr>
              <w:t xml:space="preserve"/>
            </w:r>
          </w:p>
          <w:p>
            <w:pPr>
              <w:spacing w:after="0"/>
              <w:jc w:val="center"/>
            </w:pPr>
            <w:r>
              <w:rPr>
                <w:rFonts w:ascii="Calibri" w:cs="Calibri" w:eastAsia="Calibri" w:hAnsi="Calibri"/>
                <w:b/>
                <w:bCs/>
                <w:sz w:val="20"/>
                <w:szCs w:val="20"/>
              </w:rPr>
              <w:t xml:space="preserve">Renato Peixoto Almeida</w:t>
            </w:r>
          </w:p>
          <w:p>
            <w:pPr>
              <w:spacing w:after="0"/>
              <w:jc w:val="center"/>
            </w:pPr>
            <w:r>
              <w:rPr>
                <w:rFonts w:ascii="Calibri" w:cs="Calibri" w:eastAsia="Calibri" w:hAnsi="Calibri"/>
                <w:sz w:val="19"/>
                <w:szCs w:val="19"/>
              </w:rPr>
              <w:t xml:space="preserve">Diretor Comercial</w:t>
            </w:r>
          </w:p>
          <w:p>
            <w:pPr>
              <w:spacing w:after="120"/>
              <w:jc w:val="center"/>
            </w:pPr>
            <w:r>
              <w:rPr>
                <w:rFonts w:ascii="Calibri" w:cs="Calibri" w:eastAsia="Calibri" w:hAnsi="Calibri"/>
                <w:sz w:val="19"/>
                <w:szCs w:val="19"/>
              </w:rPr>
              <w:t xml:space="preserve">Madeflora Ind. e Com. de Madeiras S.A.</w:t>
            </w:r>
          </w:p>
        </w:tc>
      </w:tr>
    </w:tbl>
    <w:p>
      <w:pPr>
        <w:spacing w:after="220" w:line="276"/>
        <w:jc w:val="both"/>
      </w:pPr>
      <w:r>
        <w:rPr>
          <w:rFonts w:ascii="Calibri" w:cs="Calibri" w:eastAsia="Calibri" w:hAnsi="Calibri"/>
          <w:b w:val="false"/>
          <w:bCs w:val="false"/>
          <w:i w:val="false"/>
          <w:iCs w:val="false"/>
          <w:sz w:val="21"/>
          <w:szCs w:val="21"/>
        </w:rPr>
        <w:t xml:space="preserve">Testemunhas:</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Pr>
          <w:p>
            <w:pPr>
              <w:pBdr>
                <w:top w:val="single" w:color="000000" w:sz="6" w:space="2"/>
              </w:pBdr>
              <w:spacing w:after="60" w:before="300"/>
              <w:jc w:val="center"/>
            </w:pPr>
            <w:r>
              <w:rPr>
                <w:rFonts w:ascii="Calibri" w:cs="Calibri" w:eastAsia="Calibri" w:hAnsi="Calibri"/>
              </w:rPr>
              <w:t xml:space="preserve"/>
            </w:r>
          </w:p>
          <w:p>
            <w:pPr>
              <w:spacing w:after="0"/>
              <w:jc w:val="center"/>
            </w:pPr>
            <w:r>
              <w:rPr>
                <w:rFonts w:ascii="Calibri" w:cs="Calibri" w:eastAsia="Calibri" w:hAnsi="Calibri"/>
                <w:b/>
                <w:bCs/>
                <w:sz w:val="20"/>
                <w:szCs w:val="20"/>
              </w:rPr>
              <w:t xml:space="preserve">Nome:</w:t>
            </w:r>
          </w:p>
          <w:p>
            <w:pPr>
              <w:spacing w:after="0"/>
              <w:jc w:val="center"/>
            </w:pPr>
            <w:r>
              <w:rPr>
                <w:rFonts w:ascii="Calibri" w:cs="Calibri" w:eastAsia="Calibri" w:hAnsi="Calibri"/>
                <w:sz w:val="19"/>
                <w:szCs w:val="19"/>
              </w:rPr>
              <w:t xml:space="preserve">CPF:</w:t>
            </w:r>
          </w:p>
          <w:p>
            <w:pPr>
              <w:spacing w:after="120"/>
              <w:jc w:val="center"/>
            </w:pPr>
            <w:r>
              <w:rPr>
                <w:rFonts w:ascii="Calibri" w:cs="Calibri" w:eastAsia="Calibri" w:hAnsi="Calibri"/>
                <w:sz w:val="19"/>
                <w:szCs w:val="19"/>
              </w:rPr>
              <w:t xml:space="preserve"> </w:t>
            </w:r>
          </w:p>
        </w:tc>
        <w:tc>
          <w:tcPr>
            <w:tcW w:type="dxa" w:w="4680"/>
            <w:tcBorders>
              <w:top w:val="none"/>
              <w:left w:val="none"/>
              <w:bottom w:val="none"/>
              <w:right w:val="none"/>
            </w:tcBorders>
          </w:tcPr>
          <w:p>
            <w:pPr>
              <w:pBdr>
                <w:top w:val="single" w:color="000000" w:sz="6" w:space="2"/>
              </w:pBdr>
              <w:spacing w:after="60" w:before="300"/>
              <w:jc w:val="center"/>
            </w:pPr>
            <w:r>
              <w:rPr>
                <w:rFonts w:ascii="Calibri" w:cs="Calibri" w:eastAsia="Calibri" w:hAnsi="Calibri"/>
              </w:rPr>
              <w:t xml:space="preserve"/>
            </w:r>
          </w:p>
          <w:p>
            <w:pPr>
              <w:spacing w:after="0"/>
              <w:jc w:val="center"/>
            </w:pPr>
            <w:r>
              <w:rPr>
                <w:rFonts w:ascii="Calibri" w:cs="Calibri" w:eastAsia="Calibri" w:hAnsi="Calibri"/>
                <w:b/>
                <w:bCs/>
                <w:sz w:val="20"/>
                <w:szCs w:val="20"/>
              </w:rPr>
              <w:t xml:space="preserve">Nome:</w:t>
            </w:r>
          </w:p>
          <w:p>
            <w:pPr>
              <w:spacing w:after="0"/>
              <w:jc w:val="center"/>
            </w:pPr>
            <w:r>
              <w:rPr>
                <w:rFonts w:ascii="Calibri" w:cs="Calibri" w:eastAsia="Calibri" w:hAnsi="Calibri"/>
                <w:sz w:val="19"/>
                <w:szCs w:val="19"/>
              </w:rPr>
              <w:t xml:space="preserve">CPF:</w:t>
            </w:r>
          </w:p>
          <w:p>
            <w:pPr>
              <w:spacing w:after="120"/>
              <w:jc w:val="center"/>
            </w:pPr>
            <w:r>
              <w:rPr>
                <w:rFonts w:ascii="Calibri" w:cs="Calibri" w:eastAsia="Calibri" w:hAnsi="Calibri"/>
                <w:sz w:val="19"/>
                <w:szCs w:val="19"/>
              </w:rPr>
              <w:t xml:space="preserve"> </w:t>
            </w:r>
          </w:p>
        </w:tc>
      </w:tr>
    </w:tbl>
    <w:p>
      <w:pPr>
        <w:pageBreakBefore/>
      </w:pPr>
      <w:r>
        <w:rPr>
          <w:rFonts w:ascii="Calibri" w:cs="Calibri" w:eastAsia="Calibri" w:hAnsi="Calibri"/>
        </w:rPr>
        <w:t xml:space="preserve"/>
      </w:r>
    </w:p>
    <w:p>
      <w:pPr>
        <w:spacing w:after="200"/>
        <w:jc w:val="center"/>
      </w:pPr>
      <w:r>
        <w:rPr>
          <w:rFonts w:ascii="Calibri" w:cs="Calibri" w:eastAsia="Calibri" w:hAnsi="Calibri"/>
          <w:b/>
          <w:bCs/>
          <w:sz w:val="24"/>
          <w:szCs w:val="24"/>
        </w:rPr>
        <w:t xml:space="preserve">ANEXO I — ESPÉCIES, ESPECIFICAÇÕES E BENEFICIAMENTO</w:t>
      </w:r>
    </w:p>
    <w:p>
      <w:pPr>
        <w:spacing w:after="120" w:line="276"/>
        <w:jc w:val="both"/>
      </w:pPr>
      <w:r>
        <w:rPr>
          <w:rFonts w:ascii="Calibri" w:cs="Calibri" w:eastAsia="Calibri" w:hAnsi="Calibri"/>
          <w:b w:val="false"/>
          <w:bCs w:val="false"/>
          <w:i w:val="false"/>
          <w:iCs w:val="false"/>
          <w:sz w:val="21"/>
          <w:szCs w:val="21"/>
        </w:rPr>
        <w:t xml:space="preserve">I.1. Espécies contempladas no fornecimento, observada a disponibilidade de estoque: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c>
          <w:tcPr>
            <w:tcW w:type="dxa" w:w="3400"/>
            <w:shd w:fill="E4E4E4" w:val="clear"/>
          </w:tcPr>
          <w:p>
            <w:pPr>
              <w:spacing w:after="50" w:before="50"/>
            </w:pPr>
            <w:r>
              <w:rPr>
                <w:rFonts w:ascii="Calibri" w:cs="Calibri" w:eastAsia="Calibri" w:hAnsi="Calibri"/>
                <w:b/>
                <w:bCs/>
                <w:sz w:val="19"/>
                <w:szCs w:val="19"/>
              </w:rPr>
              <w:t xml:space="preserve">Espécie</w:t>
            </w:r>
          </w:p>
        </w:tc>
        <w:tc>
          <w:tcPr>
            <w:tcW w:type="dxa" w:w="3400"/>
            <w:shd w:fill="E4E4E4" w:val="clear"/>
          </w:tcPr>
          <w:p>
            <w:pPr>
              <w:spacing w:after="50" w:before="50"/>
            </w:pPr>
            <w:r>
              <w:rPr>
                <w:rFonts w:ascii="Calibri" w:cs="Calibri" w:eastAsia="Calibri" w:hAnsi="Calibri"/>
                <w:b/>
                <w:bCs/>
                <w:sz w:val="19"/>
                <w:szCs w:val="19"/>
              </w:rPr>
              <w:t xml:space="preserve">Emprego previsto</w:t>
            </w:r>
          </w:p>
        </w:tc>
        <w:tc>
          <w:tcPr>
            <w:tcW w:type="dxa" w:w="2560"/>
            <w:shd w:fill="E4E4E4" w:val="clear"/>
          </w:tcPr>
          <w:p>
            <w:pPr>
              <w:spacing w:after="50" w:before="50"/>
            </w:pPr>
            <w:r>
              <w:rPr>
                <w:rFonts w:ascii="Calibri" w:cs="Calibri" w:eastAsia="Calibri" w:hAnsi="Calibri"/>
                <w:b/>
                <w:bCs/>
                <w:sz w:val="19"/>
                <w:szCs w:val="19"/>
              </w:rPr>
              <w:t xml:space="preserve">Observação</w:t>
            </w:r>
          </w:p>
        </w:tc>
      </w:tr>
      <w:tr>
        <w:tc>
          <w:tcPr>
            <w:tcW w:type="dxa" w:w="3400"/>
          </w:tcPr>
          <w:p>
            <w:pPr>
              <w:spacing w:after="50" w:before="50"/>
            </w:pPr>
            <w:r>
              <w:rPr>
                <w:rFonts w:ascii="Calibri" w:cs="Calibri" w:eastAsia="Calibri" w:hAnsi="Calibri"/>
                <w:b w:val="false"/>
                <w:bCs w:val="false"/>
                <w:sz w:val="19"/>
                <w:szCs w:val="19"/>
              </w:rPr>
              <w:t xml:space="preserve">Cumaru (Dipteryx odorata)</w:t>
            </w:r>
          </w:p>
        </w:tc>
        <w:tc>
          <w:tcPr>
            <w:tcW w:type="dxa" w:w="3400"/>
          </w:tcPr>
          <w:p>
            <w:pPr>
              <w:spacing w:after="50" w:before="50"/>
            </w:pPr>
            <w:r>
              <w:rPr>
                <w:rFonts w:ascii="Calibri" w:cs="Calibri" w:eastAsia="Calibri" w:hAnsi="Calibri"/>
                <w:b w:val="false"/>
                <w:bCs w:val="false"/>
                <w:sz w:val="19"/>
                <w:szCs w:val="19"/>
              </w:rPr>
              <w:t xml:space="preserve">Corpo e tampo</w:t>
            </w:r>
          </w:p>
        </w:tc>
        <w:tc>
          <w:tcPr>
            <w:tcW w:type="dxa" w:w="2560"/>
          </w:tcPr>
          <w:p>
            <w:pPr>
              <w:spacing w:after="50" w:before="50"/>
            </w:pPr>
            <w:r>
              <w:rPr>
                <w:rFonts w:ascii="Calibri" w:cs="Calibri" w:eastAsia="Calibri" w:hAnsi="Calibri"/>
                <w:b w:val="false"/>
                <w:bCs w:val="false"/>
                <w:sz w:val="19"/>
                <w:szCs w:val="19"/>
              </w:rPr>
              <w:t xml:space="preserve">Densidade alta</w:t>
            </w:r>
          </w:p>
        </w:tc>
      </w:tr>
      <w:tr>
        <w:tc>
          <w:tcPr>
            <w:tcW w:type="dxa" w:w="3400"/>
          </w:tcPr>
          <w:p>
            <w:pPr>
              <w:spacing w:after="50" w:before="50"/>
            </w:pPr>
            <w:r>
              <w:rPr>
                <w:rFonts w:ascii="Calibri" w:cs="Calibri" w:eastAsia="Calibri" w:hAnsi="Calibri"/>
                <w:b w:val="false"/>
                <w:bCs w:val="false"/>
                <w:sz w:val="19"/>
                <w:szCs w:val="19"/>
              </w:rPr>
              <w:t xml:space="preserve">Ipê (Handroanthus spp.)</w:t>
            </w:r>
          </w:p>
        </w:tc>
        <w:tc>
          <w:tcPr>
            <w:tcW w:type="dxa" w:w="3400"/>
          </w:tcPr>
          <w:p>
            <w:pPr>
              <w:spacing w:after="50" w:before="50"/>
            </w:pPr>
            <w:r>
              <w:rPr>
                <w:rFonts w:ascii="Calibri" w:cs="Calibri" w:eastAsia="Calibri" w:hAnsi="Calibri"/>
                <w:b w:val="false"/>
                <w:bCs w:val="false"/>
                <w:sz w:val="19"/>
                <w:szCs w:val="19"/>
              </w:rPr>
              <w:t xml:space="preserve">Corpo e peças de acabamento</w:t>
            </w:r>
          </w:p>
        </w:tc>
        <w:tc>
          <w:tcPr>
            <w:tcW w:type="dxa" w:w="2560"/>
          </w:tcPr>
          <w:p>
            <w:pPr>
              <w:spacing w:after="50" w:before="50"/>
            </w:pPr>
            <w:r>
              <w:rPr>
                <w:rFonts w:ascii="Calibri" w:cs="Calibri" w:eastAsia="Calibri" w:hAnsi="Calibri"/>
                <w:b w:val="false"/>
                <w:bCs w:val="false"/>
                <w:sz w:val="19"/>
                <w:szCs w:val="19"/>
              </w:rPr>
              <w:t xml:space="preserve">Sujeito a disponibilidade</w:t>
            </w:r>
          </w:p>
        </w:tc>
      </w:tr>
      <w:tr>
        <w:tc>
          <w:tcPr>
            <w:tcW w:type="dxa" w:w="3400"/>
          </w:tcPr>
          <w:p>
            <w:pPr>
              <w:spacing w:after="50" w:before="50"/>
            </w:pPr>
            <w:r>
              <w:rPr>
                <w:rFonts w:ascii="Calibri" w:cs="Calibri" w:eastAsia="Calibri" w:hAnsi="Calibri"/>
                <w:b w:val="false"/>
                <w:bCs w:val="false"/>
                <w:sz w:val="19"/>
                <w:szCs w:val="19"/>
              </w:rPr>
              <w:t xml:space="preserve">Jatobá (Hymenaea courbaril)</w:t>
            </w:r>
          </w:p>
        </w:tc>
        <w:tc>
          <w:tcPr>
            <w:tcW w:type="dxa" w:w="3400"/>
          </w:tcPr>
          <w:p>
            <w:pPr>
              <w:spacing w:after="50" w:before="50"/>
            </w:pPr>
            <w:r>
              <w:rPr>
                <w:rFonts w:ascii="Calibri" w:cs="Calibri" w:eastAsia="Calibri" w:hAnsi="Calibri"/>
                <w:b w:val="false"/>
                <w:bCs w:val="false"/>
                <w:sz w:val="19"/>
                <w:szCs w:val="19"/>
              </w:rPr>
              <w:t xml:space="preserve">Corpo</w:t>
            </w:r>
          </w:p>
        </w:tc>
        <w:tc>
          <w:tcPr>
            <w:tcW w:type="dxa" w:w="2560"/>
          </w:tcPr>
          <w:p>
            <w:pPr>
              <w:spacing w:after="50" w:before="50"/>
            </w:pPr>
            <w:r>
              <w:rPr>
                <w:rFonts w:ascii="Calibri" w:cs="Calibri" w:eastAsia="Calibri" w:hAnsi="Calibri"/>
                <w:b w:val="false"/>
                <w:bCs w:val="false"/>
                <w:sz w:val="19"/>
                <w:szCs w:val="19"/>
              </w:rPr>
              <w:t xml:space="preserve">—</w:t>
            </w:r>
          </w:p>
        </w:tc>
      </w:tr>
      <w:tr>
        <w:tc>
          <w:tcPr>
            <w:tcW w:type="dxa" w:w="3400"/>
          </w:tcPr>
          <w:p>
            <w:pPr>
              <w:spacing w:after="50" w:before="50"/>
            </w:pPr>
            <w:r>
              <w:rPr>
                <w:rFonts w:ascii="Calibri" w:cs="Calibri" w:eastAsia="Calibri" w:hAnsi="Calibri"/>
                <w:b w:val="false"/>
                <w:bCs w:val="false"/>
                <w:sz w:val="19"/>
                <w:szCs w:val="19"/>
              </w:rPr>
              <w:t xml:space="preserve">Angelim-pedra (Hymenolobium petraeum)</w:t>
            </w:r>
          </w:p>
        </w:tc>
        <w:tc>
          <w:tcPr>
            <w:tcW w:type="dxa" w:w="3400"/>
          </w:tcPr>
          <w:p>
            <w:pPr>
              <w:spacing w:after="50" w:before="50"/>
            </w:pPr>
            <w:r>
              <w:rPr>
                <w:rFonts w:ascii="Calibri" w:cs="Calibri" w:eastAsia="Calibri" w:hAnsi="Calibri"/>
                <w:b w:val="false"/>
                <w:bCs w:val="false"/>
                <w:sz w:val="19"/>
                <w:szCs w:val="19"/>
              </w:rPr>
              <w:t xml:space="preserve">Bases e suportes</w:t>
            </w:r>
          </w:p>
        </w:tc>
        <w:tc>
          <w:tcPr>
            <w:tcW w:type="dxa" w:w="2560"/>
          </w:tcPr>
          <w:p>
            <w:pPr>
              <w:spacing w:after="50" w:before="50"/>
            </w:pPr>
            <w:r>
              <w:rPr>
                <w:rFonts w:ascii="Calibri" w:cs="Calibri" w:eastAsia="Calibri" w:hAnsi="Calibri"/>
                <w:b w:val="false"/>
                <w:bCs w:val="false"/>
                <w:sz w:val="19"/>
                <w:szCs w:val="19"/>
              </w:rPr>
              <w:t xml:space="preserve">—</w:t>
            </w:r>
          </w:p>
        </w:tc>
      </w:tr>
      <w:tr>
        <w:tc>
          <w:tcPr>
            <w:tcW w:type="dxa" w:w="3400"/>
          </w:tcPr>
          <w:p>
            <w:pPr>
              <w:spacing w:after="50" w:before="50"/>
            </w:pPr>
            <w:r>
              <w:rPr>
                <w:rFonts w:ascii="Calibri" w:cs="Calibri" w:eastAsia="Calibri" w:hAnsi="Calibri"/>
                <w:b w:val="false"/>
                <w:bCs w:val="false"/>
                <w:sz w:val="19"/>
                <w:szCs w:val="19"/>
              </w:rPr>
              <w:t xml:space="preserve">Freijó (Cordia goeldiana)</w:t>
            </w:r>
          </w:p>
        </w:tc>
        <w:tc>
          <w:tcPr>
            <w:tcW w:type="dxa" w:w="3400"/>
          </w:tcPr>
          <w:p>
            <w:pPr>
              <w:spacing w:after="50" w:before="50"/>
            </w:pPr>
            <w:r>
              <w:rPr>
                <w:rFonts w:ascii="Calibri" w:cs="Calibri" w:eastAsia="Calibri" w:hAnsi="Calibri"/>
                <w:b w:val="false"/>
                <w:bCs w:val="false"/>
                <w:sz w:val="19"/>
                <w:szCs w:val="19"/>
              </w:rPr>
              <w:t xml:space="preserve">Peças internas</w:t>
            </w:r>
          </w:p>
        </w:tc>
        <w:tc>
          <w:tcPr>
            <w:tcW w:type="dxa" w:w="2560"/>
          </w:tcPr>
          <w:p>
            <w:pPr>
              <w:spacing w:after="50" w:before="50"/>
            </w:pPr>
            <w:r>
              <w:rPr>
                <w:rFonts w:ascii="Calibri" w:cs="Calibri" w:eastAsia="Calibri" w:hAnsi="Calibri"/>
                <w:b w:val="false"/>
                <w:bCs w:val="false"/>
                <w:sz w:val="19"/>
                <w:szCs w:val="19"/>
              </w:rPr>
              <w:t xml:space="preserve">—</w:t>
            </w:r>
          </w:p>
        </w:tc>
      </w:tr>
      <w:tr>
        <w:tc>
          <w:tcPr>
            <w:tcW w:type="dxa" w:w="3400"/>
          </w:tcPr>
          <w:p>
            <w:pPr>
              <w:spacing w:after="50" w:before="50"/>
            </w:pPr>
            <w:r>
              <w:rPr>
                <w:rFonts w:ascii="Calibri" w:cs="Calibri" w:eastAsia="Calibri" w:hAnsi="Calibri"/>
                <w:b w:val="false"/>
                <w:bCs w:val="false"/>
                <w:sz w:val="19"/>
                <w:szCs w:val="19"/>
              </w:rPr>
              <w:t xml:space="preserve">Outras espécies equivalentes</w:t>
            </w:r>
          </w:p>
        </w:tc>
        <w:tc>
          <w:tcPr>
            <w:tcW w:type="dxa" w:w="3400"/>
          </w:tcPr>
          <w:p>
            <w:pPr>
              <w:spacing w:after="50" w:before="50"/>
            </w:pPr>
            <w:r>
              <w:rPr>
                <w:rFonts w:ascii="Calibri" w:cs="Calibri" w:eastAsia="Calibri" w:hAnsi="Calibri"/>
                <w:b w:val="false"/>
                <w:bCs w:val="false"/>
                <w:sz w:val="19"/>
                <w:szCs w:val="19"/>
              </w:rPr>
              <w:t xml:space="preserve">Conforme critério técnico da FORNECEDORA</w:t>
            </w:r>
          </w:p>
        </w:tc>
        <w:tc>
          <w:tcPr>
            <w:tcW w:type="dxa" w:w="2560"/>
          </w:tcPr>
          <w:p>
            <w:pPr>
              <w:spacing w:after="50" w:before="50"/>
            </w:pPr>
            <w:r>
              <w:rPr>
                <w:rFonts w:ascii="Calibri" w:cs="Calibri" w:eastAsia="Calibri" w:hAnsi="Calibri"/>
                <w:b w:val="false"/>
                <w:bCs w:val="false"/>
                <w:sz w:val="19"/>
                <w:szCs w:val="19"/>
              </w:rPr>
              <w:t xml:space="preserve">Item 1.3 do contrato</w:t>
            </w:r>
          </w:p>
        </w:tc>
      </w:tr>
    </w:tbl>
    <w:p>
      <w:pPr>
        <w:spacing w:after="120" w:line="276"/>
        <w:jc w:val="both"/>
      </w:pPr>
      <w:r>
        <w:rPr>
          <w:rFonts w:ascii="Calibri" w:cs="Calibri" w:eastAsia="Calibri" w:hAnsi="Calibri"/>
          <w:b w:val="false"/>
          <w:bCs w:val="false"/>
          <w:i w:val="false"/>
          <w:iCs w:val="false"/>
          <w:sz w:val="21"/>
          <w:szCs w:val="21"/>
        </w:rPr>
        <w:t xml:space="preserve">I.2. O beneficiamento compreende serragem, aplainamento, secagem em estufa até teor de umidade entre 12% e 18% e tratamento preservativo por imersão.</w:t>
      </w:r>
    </w:p>
    <w:p>
      <w:pPr>
        <w:spacing w:after="120" w:line="276"/>
        <w:jc w:val="both"/>
      </w:pPr>
      <w:r>
        <w:rPr>
          <w:rFonts w:ascii="Calibri" w:cs="Calibri" w:eastAsia="Calibri" w:hAnsi="Calibri"/>
          <w:b w:val="false"/>
          <w:bCs w:val="false"/>
          <w:i w:val="false"/>
          <w:iCs w:val="false"/>
          <w:sz w:val="21"/>
          <w:szCs w:val="21"/>
        </w:rPr>
        <w:t xml:space="preserve">I.3. A documentação de origem da matéria-prima permanecerá arquivada na sede da FORNECEDORA, à disposição dos órgãos competentes.</w:t>
      </w:r>
    </w:p>
    <w:p>
      <w:pPr>
        <w:pageBreakBefore/>
      </w:pPr>
      <w:r>
        <w:rPr>
          <w:rFonts w:ascii="Calibri" w:cs="Calibri" w:eastAsia="Calibri" w:hAnsi="Calibri"/>
        </w:rPr>
        <w:t xml:space="preserve"/>
      </w:r>
    </w:p>
    <w:p>
      <w:pPr>
        <w:spacing w:after="200"/>
        <w:jc w:val="center"/>
      </w:pPr>
      <w:r>
        <w:rPr>
          <w:rFonts w:ascii="Calibri" w:cs="Calibri" w:eastAsia="Calibri" w:hAnsi="Calibri"/>
          <w:b/>
          <w:bCs/>
          <w:sz w:val="24"/>
          <w:szCs w:val="24"/>
        </w:rPr>
        <w:t xml:space="preserve">ANEXO II — TABELA DE PREÇOS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tcW w:type="dxa" w:w="3600"/>
            <w:shd w:fill="E4E4E4" w:val="clear"/>
          </w:tcPr>
          <w:p>
            <w:pPr>
              <w:spacing w:after="50" w:before="50"/>
            </w:pPr>
            <w:r>
              <w:rPr>
                <w:rFonts w:ascii="Calibri" w:cs="Calibri" w:eastAsia="Calibri" w:hAnsi="Calibri"/>
                <w:b/>
                <w:bCs/>
                <w:sz w:val="19"/>
                <w:szCs w:val="19"/>
              </w:rPr>
              <w:t xml:space="preserve">Item</w:t>
            </w:r>
          </w:p>
        </w:tc>
        <w:tc>
          <w:tcPr>
            <w:tcW w:type="dxa" w:w="2200"/>
            <w:shd w:fill="E4E4E4" w:val="clear"/>
          </w:tcPr>
          <w:p>
            <w:pPr>
              <w:spacing w:after="50" w:before="50"/>
            </w:pPr>
            <w:r>
              <w:rPr>
                <w:rFonts w:ascii="Calibri" w:cs="Calibri" w:eastAsia="Calibri" w:hAnsi="Calibri"/>
                <w:b/>
                <w:bCs/>
                <w:sz w:val="19"/>
                <w:szCs w:val="19"/>
              </w:rPr>
              <w:t xml:space="preserve">Unidade</w:t>
            </w:r>
          </w:p>
        </w:tc>
        <w:tc>
          <w:tcPr>
            <w:tcW w:type="dxa" w:w="3560"/>
            <w:shd w:fill="E4E4E4" w:val="clear"/>
          </w:tcPr>
          <w:p>
            <w:pPr>
              <w:spacing w:after="50" w:before="50"/>
            </w:pPr>
            <w:r>
              <w:rPr>
                <w:rFonts w:ascii="Calibri" w:cs="Calibri" w:eastAsia="Calibri" w:hAnsi="Calibri"/>
                <w:b/>
                <w:bCs/>
                <w:sz w:val="19"/>
                <w:szCs w:val="19"/>
              </w:rPr>
              <w:t xml:space="preserve">Preço unitário (R$)</w:t>
            </w:r>
          </w:p>
        </w:tc>
      </w:tr>
      <w:tr>
        <w:tc>
          <w:tcPr>
            <w:tcW w:type="dxa" w:w="3600"/>
          </w:tcPr>
          <w:p>
            <w:pPr>
              <w:spacing w:after="50" w:before="50"/>
            </w:pPr>
            <w:r>
              <w:rPr>
                <w:rFonts w:ascii="Calibri" w:cs="Calibri" w:eastAsia="Calibri" w:hAnsi="Calibri"/>
                <w:b w:val="false"/>
                <w:bCs w:val="false"/>
                <w:sz w:val="19"/>
                <w:szCs w:val="19"/>
              </w:rPr>
              <w:t xml:space="preserve">Madeira serrada, espécies do Anexo I</w:t>
            </w:r>
          </w:p>
        </w:tc>
        <w:tc>
          <w:tcPr>
            <w:tcW w:type="dxa" w:w="2200"/>
          </w:tcPr>
          <w:p>
            <w:pPr>
              <w:spacing w:after="50" w:before="50"/>
            </w:pPr>
            <w:r>
              <w:rPr>
                <w:rFonts w:ascii="Calibri" w:cs="Calibri" w:eastAsia="Calibri" w:hAnsi="Calibri"/>
                <w:b w:val="false"/>
                <w:bCs w:val="false"/>
                <w:sz w:val="19"/>
                <w:szCs w:val="19"/>
              </w:rPr>
              <w:t xml:space="preserve">m³</w:t>
            </w:r>
          </w:p>
        </w:tc>
        <w:tc>
          <w:tcPr>
            <w:tcW w:type="dxa" w:w="3560"/>
          </w:tcPr>
          <w:p>
            <w:pPr>
              <w:spacing w:after="50" w:before="50"/>
            </w:pPr>
            <w:r>
              <w:rPr>
                <w:rFonts w:ascii="Calibri" w:cs="Calibri" w:eastAsia="Calibri" w:hAnsi="Calibri"/>
                <w:b w:val="false"/>
                <w:bCs w:val="false"/>
                <w:sz w:val="19"/>
                <w:szCs w:val="19"/>
              </w:rPr>
              <w:t xml:space="preserve">1.180,00</w:t>
            </w:r>
          </w:p>
        </w:tc>
      </w:tr>
      <w:tr>
        <w:tc>
          <w:tcPr>
            <w:tcW w:type="dxa" w:w="3600"/>
          </w:tcPr>
          <w:p>
            <w:pPr>
              <w:spacing w:after="50" w:before="50"/>
            </w:pPr>
            <w:r>
              <w:rPr>
                <w:rFonts w:ascii="Calibri" w:cs="Calibri" w:eastAsia="Calibri" w:hAnsi="Calibri"/>
                <w:b w:val="false"/>
                <w:bCs w:val="false"/>
                <w:sz w:val="19"/>
                <w:szCs w:val="19"/>
              </w:rPr>
              <w:t xml:space="preserve">Beneficiamento — serragem e aplainamento</w:t>
            </w:r>
          </w:p>
        </w:tc>
        <w:tc>
          <w:tcPr>
            <w:tcW w:type="dxa" w:w="2200"/>
          </w:tcPr>
          <w:p>
            <w:pPr>
              <w:spacing w:after="50" w:before="50"/>
            </w:pPr>
            <w:r>
              <w:rPr>
                <w:rFonts w:ascii="Calibri" w:cs="Calibri" w:eastAsia="Calibri" w:hAnsi="Calibri"/>
                <w:b w:val="false"/>
                <w:bCs w:val="false"/>
                <w:sz w:val="19"/>
                <w:szCs w:val="19"/>
              </w:rPr>
              <w:t xml:space="preserve">m³</w:t>
            </w:r>
          </w:p>
        </w:tc>
        <w:tc>
          <w:tcPr>
            <w:tcW w:type="dxa" w:w="3560"/>
          </w:tcPr>
          <w:p>
            <w:pPr>
              <w:spacing w:after="50" w:before="50"/>
            </w:pPr>
            <w:r>
              <w:rPr>
                <w:rFonts w:ascii="Calibri" w:cs="Calibri" w:eastAsia="Calibri" w:hAnsi="Calibri"/>
                <w:b w:val="false"/>
                <w:bCs w:val="false"/>
                <w:sz w:val="19"/>
                <w:szCs w:val="19"/>
              </w:rPr>
              <w:t xml:space="preserve">190,00</w:t>
            </w:r>
          </w:p>
        </w:tc>
      </w:tr>
      <w:tr>
        <w:tc>
          <w:tcPr>
            <w:tcW w:type="dxa" w:w="3600"/>
          </w:tcPr>
          <w:p>
            <w:pPr>
              <w:spacing w:after="50" w:before="50"/>
            </w:pPr>
            <w:r>
              <w:rPr>
                <w:rFonts w:ascii="Calibri" w:cs="Calibri" w:eastAsia="Calibri" w:hAnsi="Calibri"/>
                <w:b w:val="false"/>
                <w:bCs w:val="false"/>
                <w:sz w:val="19"/>
                <w:szCs w:val="19"/>
              </w:rPr>
              <w:t xml:space="preserve">Secagem em estufa</w:t>
            </w:r>
          </w:p>
        </w:tc>
        <w:tc>
          <w:tcPr>
            <w:tcW w:type="dxa" w:w="2200"/>
          </w:tcPr>
          <w:p>
            <w:pPr>
              <w:spacing w:after="50" w:before="50"/>
            </w:pPr>
            <w:r>
              <w:rPr>
                <w:rFonts w:ascii="Calibri" w:cs="Calibri" w:eastAsia="Calibri" w:hAnsi="Calibri"/>
                <w:b w:val="false"/>
                <w:bCs w:val="false"/>
                <w:sz w:val="19"/>
                <w:szCs w:val="19"/>
              </w:rPr>
              <w:t xml:space="preserve">m³</w:t>
            </w:r>
          </w:p>
        </w:tc>
        <w:tc>
          <w:tcPr>
            <w:tcW w:type="dxa" w:w="3560"/>
          </w:tcPr>
          <w:p>
            <w:pPr>
              <w:spacing w:after="50" w:before="50"/>
            </w:pPr>
            <w:r>
              <w:rPr>
                <w:rFonts w:ascii="Calibri" w:cs="Calibri" w:eastAsia="Calibri" w:hAnsi="Calibri"/>
                <w:b w:val="false"/>
                <w:bCs w:val="false"/>
                <w:sz w:val="19"/>
                <w:szCs w:val="19"/>
              </w:rPr>
              <w:t xml:space="preserve">145,00</w:t>
            </w:r>
          </w:p>
        </w:tc>
      </w:tr>
      <w:tr>
        <w:tc>
          <w:tcPr>
            <w:tcW w:type="dxa" w:w="3600"/>
          </w:tcPr>
          <w:p>
            <w:pPr>
              <w:spacing w:after="50" w:before="50"/>
            </w:pPr>
            <w:r>
              <w:rPr>
                <w:rFonts w:ascii="Calibri" w:cs="Calibri" w:eastAsia="Calibri" w:hAnsi="Calibri"/>
                <w:b w:val="false"/>
                <w:bCs w:val="false"/>
                <w:sz w:val="19"/>
                <w:szCs w:val="19"/>
              </w:rPr>
              <w:t xml:space="preserve">Tratamento preservativo</w:t>
            </w:r>
          </w:p>
        </w:tc>
        <w:tc>
          <w:tcPr>
            <w:tcW w:type="dxa" w:w="2200"/>
          </w:tcPr>
          <w:p>
            <w:pPr>
              <w:spacing w:after="50" w:before="50"/>
            </w:pPr>
            <w:r>
              <w:rPr>
                <w:rFonts w:ascii="Calibri" w:cs="Calibri" w:eastAsia="Calibri" w:hAnsi="Calibri"/>
                <w:b w:val="false"/>
                <w:bCs w:val="false"/>
                <w:sz w:val="19"/>
                <w:szCs w:val="19"/>
              </w:rPr>
              <w:t xml:space="preserve">m³</w:t>
            </w:r>
          </w:p>
        </w:tc>
        <w:tc>
          <w:tcPr>
            <w:tcW w:type="dxa" w:w="3560"/>
          </w:tcPr>
          <w:p>
            <w:pPr>
              <w:spacing w:after="50" w:before="50"/>
            </w:pPr>
            <w:r>
              <w:rPr>
                <w:rFonts w:ascii="Calibri" w:cs="Calibri" w:eastAsia="Calibri" w:hAnsi="Calibri"/>
                <w:b w:val="false"/>
                <w:bCs w:val="false"/>
                <w:sz w:val="19"/>
                <w:szCs w:val="19"/>
              </w:rPr>
              <w:t xml:space="preserve">135,00</w:t>
            </w:r>
          </w:p>
        </w:tc>
      </w:tr>
      <w:tr>
        <w:tc>
          <w:tcPr>
            <w:tcW w:type="dxa" w:w="3600"/>
          </w:tcPr>
          <w:p>
            <w:pPr>
              <w:spacing w:after="50" w:before="50"/>
            </w:pPr>
            <w:r>
              <w:rPr>
                <w:rFonts w:ascii="Calibri" w:cs="Calibri" w:eastAsia="Calibri" w:hAnsi="Calibri"/>
                <w:b w:val="false"/>
                <w:bCs w:val="false"/>
                <w:sz w:val="19"/>
                <w:szCs w:val="19"/>
              </w:rPr>
              <w:t xml:space="preserve">Frete Sinop (MT) – Salvador (BA)</w:t>
            </w:r>
          </w:p>
        </w:tc>
        <w:tc>
          <w:tcPr>
            <w:tcW w:type="dxa" w:w="2200"/>
          </w:tcPr>
          <w:p>
            <w:pPr>
              <w:spacing w:after="50" w:before="50"/>
            </w:pPr>
            <w:r>
              <w:rPr>
                <w:rFonts w:ascii="Calibri" w:cs="Calibri" w:eastAsia="Calibri" w:hAnsi="Calibri"/>
                <w:b w:val="false"/>
                <w:bCs w:val="false"/>
                <w:sz w:val="19"/>
                <w:szCs w:val="19"/>
              </w:rPr>
              <w:t xml:space="preserve">viagem</w:t>
            </w:r>
          </w:p>
        </w:tc>
        <w:tc>
          <w:tcPr>
            <w:tcW w:type="dxa" w:w="3560"/>
          </w:tcPr>
          <w:p>
            <w:pPr>
              <w:spacing w:after="50" w:before="50"/>
            </w:pPr>
            <w:r>
              <w:rPr>
                <w:rFonts w:ascii="Calibri" w:cs="Calibri" w:eastAsia="Calibri" w:hAnsi="Calibri"/>
                <w:b w:val="false"/>
                <w:bCs w:val="false"/>
                <w:sz w:val="19"/>
                <w:szCs w:val="19"/>
              </w:rPr>
              <w:t xml:space="preserve">Conforme tabela vigente da transportadora</w:t>
            </w:r>
          </w:p>
        </w:tc>
      </w:tr>
    </w:tbl>
    <w:p>
      <w:pPr>
        <w:spacing w:after="120" w:line="276"/>
        <w:jc w:val="both"/>
      </w:pPr>
      <w:r>
        <w:rPr>
          <w:rFonts w:ascii="Calibri" w:cs="Calibri" w:eastAsia="Calibri" w:hAnsi="Calibri"/>
          <w:b w:val="false"/>
          <w:bCs w:val="false"/>
          <w:i w:val="false"/>
          <w:iCs w:val="false"/>
          <w:sz w:val="21"/>
          <w:szCs w:val="21"/>
        </w:rPr>
        <w:t xml:space="preserve">II.1. Os preços não incluem tributos incidentes sobre a operação, que serão repassados à CONTRATANTE.</w:t>
      </w:r>
    </w:p>
    <w:p>
      <w:pPr>
        <w:spacing w:after="120" w:line="276"/>
        <w:jc w:val="both"/>
      </w:pPr>
      <w:r>
        <w:rPr>
          <w:rFonts w:ascii="Calibri" w:cs="Calibri" w:eastAsia="Calibri" w:hAnsi="Calibri"/>
          <w:b w:val="false"/>
          <w:bCs w:val="false"/>
          <w:i w:val="false"/>
          <w:iCs w:val="false"/>
          <w:sz w:val="21"/>
          <w:szCs w:val="21"/>
        </w:rPr>
        <w:t xml:space="preserve">II.2. A tabela de frete referida acima é a praticada pela transportadora contratada pela FORNECEDORA e poderá ser atualizada sem aviso prévio.</w:t>
      </w:r>
    </w:p>
    <w:sectPr>
      <w:footerReference w:type="default" r:id="rId7"/>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4"/>
        <w:szCs w:val="14"/>
      </w:rPr>
      <w:t xml:space="preserve">Documento fictício, produzido para uso didático — Inteli Educação Executiva. Empresas, pessoas, CNPJs e CPFs não existem.   </w:t>
    </w:r>
    <w:r>
      <w:rPr>
        <w:rFonts w:ascii="Calibri" w:cs="Calibri" w:eastAsia="Calibri" w:hAnsi="Calibri"/>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2026-09-21T19:16:54.594Z</dcterms:created>
  <dcterms:modified xsi:type="dcterms:W3CDTF">2026-09-21T19:16:54.594Z</dcterms:modified>
</cp:coreProperties>
</file>

<file path=docProps/custom.xml><?xml version="1.0" encoding="utf-8"?>
<Properties xmlns="http://schemas.openxmlformats.org/officeDocument/2006/custom-properties" xmlns:vt="http://schemas.openxmlformats.org/officeDocument/2006/docPropsVTypes"/>
</file>