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Calibri" w:cs="Calibri" w:eastAsia="Calibri" w:hAnsi="Calibri"/>
          <w:b/>
          <w:bCs/>
          <w:sz w:val="27"/>
          <w:szCs w:val="27"/>
        </w:rPr>
        <w:t xml:space="preserve">DOSSIÊ PÚBLICO — MADEFLORA INDÚSTRIA E COMÉRCIO DE MADEIRAS S.A.</w:t>
      </w:r>
    </w:p>
    <w:p>
      <w:pPr>
        <w:spacing w:after="200" w:line="270"/>
        <w:jc w:val="both"/>
      </w:pPr>
      <w:r>
        <w:rPr>
          <w:rFonts w:ascii="Calibri" w:cs="Calibri" w:eastAsia="Calibri" w:hAnsi="Calibri"/>
          <w:b w:val="false"/>
          <w:bCs w:val="false"/>
          <w:i/>
          <w:iCs/>
          <w:sz w:val="20"/>
          <w:szCs w:val="20"/>
        </w:rPr>
        <w:t xml:space="preserve">Compilado de fontes abertas reunido em 10 de setembro de 2026 para apoiar a análise de contratação. Reproduz o que foi localizado, sem juízo de valor sobre os fatos relatados.</w:t>
      </w:r>
    </w:p>
    <w:p>
      <w:pPr>
        <w:spacing w:after="120" w:before="260"/>
      </w:pPr>
      <w:r>
        <w:rPr>
          <w:rFonts w:ascii="Calibri" w:cs="Calibri" w:eastAsia="Calibri" w:hAnsi="Calibri"/>
          <w:b/>
          <w:bCs/>
          <w:sz w:val="23"/>
          <w:szCs w:val="23"/>
        </w:rPr>
        <w:t xml:space="preserve">1. Identificação cadastral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3160"/>
      </w:tblGrid>
      <w:tr>
        <w:tc>
          <w:tcPr>
            <w:tcW w:type="dxa" w:w="1900"/>
            <w:shd w:fill="E4E4E4" w:val="clear"/>
          </w:tcPr>
          <w:p>
            <w:pPr>
              <w:spacing w:after="50" w:before="50"/>
            </w:pPr>
            <w:r>
              <w:rPr>
                <w:rFonts w:ascii="Calibri" w:cs="Calibri" w:eastAsia="Calibri" w:hAnsi="Calibri"/>
                <w:b/>
                <w:bCs/>
                <w:sz w:val="18"/>
                <w:szCs w:val="18"/>
              </w:rPr>
              <w:t xml:space="preserve">Campo</w:t>
            </w:r>
          </w:p>
        </w:tc>
        <w:tc>
          <w:tcPr>
            <w:tcW w:type="dxa" w:w="4300"/>
            <w:shd w:fill="E4E4E4" w:val="clear"/>
          </w:tcPr>
          <w:p>
            <w:pPr>
              <w:spacing w:after="50" w:before="50"/>
            </w:pPr>
            <w:r>
              <w:rPr>
                <w:rFonts w:ascii="Calibri" w:cs="Calibri" w:eastAsia="Calibri" w:hAnsi="Calibri"/>
                <w:b/>
                <w:bCs/>
                <w:sz w:val="18"/>
                <w:szCs w:val="18"/>
              </w:rPr>
              <w:t xml:space="preserve">Conteúdo</w:t>
            </w:r>
          </w:p>
        </w:tc>
        <w:tc>
          <w:tcPr>
            <w:tcW w:type="dxa" w:w="3160"/>
            <w:shd w:fill="E4E4E4" w:val="clear"/>
          </w:tcPr>
          <w:p>
            <w:pPr>
              <w:spacing w:after="50" w:before="50"/>
            </w:pPr>
            <w:r>
              <w:rPr>
                <w:rFonts w:ascii="Calibri" w:cs="Calibri" w:eastAsia="Calibri" w:hAnsi="Calibri"/>
                <w:b/>
                <w:bCs/>
                <w:sz w:val="18"/>
                <w:szCs w:val="18"/>
              </w:rPr>
              <w:t xml:space="preserve">Fonte</w:t>
            </w:r>
          </w:p>
        </w:tc>
      </w:tr>
      <w:tr>
        <w:tc>
          <w:tcPr>
            <w:tcW w:type="dxa" w:w="1900"/>
          </w:tcPr>
          <w:p>
            <w:pPr>
              <w:spacing w:after="50" w:before="50"/>
            </w:pPr>
            <w:r>
              <w:rPr>
                <w:rFonts w:ascii="Calibri" w:cs="Calibri" w:eastAsia="Calibri" w:hAnsi="Calibri"/>
                <w:b w:val="false"/>
                <w:bCs w:val="false"/>
                <w:sz w:val="18"/>
                <w:szCs w:val="18"/>
              </w:rPr>
              <w:t xml:space="preserve">Razão social</w:t>
            </w:r>
          </w:p>
        </w:tc>
        <w:tc>
          <w:tcPr>
            <w:tcW w:type="dxa" w:w="4300"/>
          </w:tcPr>
          <w:p>
            <w:pPr>
              <w:spacing w:after="50" w:before="50"/>
            </w:pPr>
            <w:r>
              <w:rPr>
                <w:rFonts w:ascii="Calibri" w:cs="Calibri" w:eastAsia="Calibri" w:hAnsi="Calibri"/>
                <w:b w:val="false"/>
                <w:bCs w:val="false"/>
                <w:sz w:val="18"/>
                <w:szCs w:val="18"/>
              </w:rPr>
              <w:t xml:space="preserve">Madeflora Indústria e Comércio de Madeiras S.A.</w:t>
            </w:r>
          </w:p>
        </w:tc>
        <w:tc>
          <w:tcPr>
            <w:tcW w:type="dxa" w:w="3160"/>
          </w:tcPr>
          <w:p>
            <w:pPr>
              <w:spacing w:after="50" w:before="50"/>
            </w:pPr>
            <w:r>
              <w:rPr>
                <w:rFonts w:ascii="Calibri" w:cs="Calibri" w:eastAsia="Calibri" w:hAnsi="Calibri"/>
                <w:b w:val="false"/>
                <w:bCs w:val="false"/>
                <w:sz w:val="18"/>
                <w:szCs w:val="18"/>
              </w:rPr>
              <w:t xml:space="preserve">Cadastro público de CNPJ, consulta em 10/09/2026</w:t>
            </w:r>
          </w:p>
        </w:tc>
      </w:tr>
      <w:tr>
        <w:tc>
          <w:tcPr>
            <w:tcW w:type="dxa" w:w="1900"/>
          </w:tcPr>
          <w:p>
            <w:pPr>
              <w:spacing w:after="50" w:before="50"/>
            </w:pPr>
            <w:r>
              <w:rPr>
                <w:rFonts w:ascii="Calibri" w:cs="Calibri" w:eastAsia="Calibri" w:hAnsi="Calibri"/>
                <w:b w:val="false"/>
                <w:bCs w:val="false"/>
                <w:sz w:val="18"/>
                <w:szCs w:val="18"/>
              </w:rPr>
              <w:t xml:space="preserve">CNPJ</w:t>
            </w:r>
          </w:p>
        </w:tc>
        <w:tc>
          <w:tcPr>
            <w:tcW w:type="dxa" w:w="4300"/>
          </w:tcPr>
          <w:p>
            <w:pPr>
              <w:spacing w:after="50" w:before="50"/>
            </w:pPr>
            <w:r>
              <w:rPr>
                <w:rFonts w:ascii="Calibri" w:cs="Calibri" w:eastAsia="Calibri" w:hAnsi="Calibri"/>
                <w:b w:val="false"/>
                <w:bCs w:val="false"/>
                <w:sz w:val="18"/>
                <w:szCs w:val="18"/>
              </w:rPr>
              <w:t xml:space="preserve">09.436.271/0001-08</w:t>
            </w:r>
          </w:p>
        </w:tc>
        <w:tc>
          <w:tcPr>
            <w:tcW w:type="dxa" w:w="3160"/>
          </w:tcPr>
          <w:p>
            <w:pPr>
              <w:spacing w:after="50" w:before="50"/>
            </w:pPr>
            <w:r>
              <w:rPr>
                <w:rFonts w:ascii="Calibri" w:cs="Calibri" w:eastAsia="Calibri" w:hAnsi="Calibri"/>
                <w:b w:val="false"/>
                <w:bCs w:val="false"/>
                <w:sz w:val="18"/>
                <w:szCs w:val="18"/>
              </w:rPr>
              <w:t xml:space="preserve">Cadastro público de CNPJ, consulta em 10/09/2026</w:t>
            </w:r>
          </w:p>
        </w:tc>
      </w:tr>
      <w:tr>
        <w:tc>
          <w:tcPr>
            <w:tcW w:type="dxa" w:w="1900"/>
          </w:tcPr>
          <w:p>
            <w:pPr>
              <w:spacing w:after="50" w:before="50"/>
            </w:pPr>
            <w:r>
              <w:rPr>
                <w:rFonts w:ascii="Calibri" w:cs="Calibri" w:eastAsia="Calibri" w:hAnsi="Calibri"/>
                <w:b w:val="false"/>
                <w:bCs w:val="false"/>
                <w:sz w:val="18"/>
                <w:szCs w:val="18"/>
              </w:rPr>
              <w:t xml:space="preserve">Fundação</w:t>
            </w:r>
          </w:p>
        </w:tc>
        <w:tc>
          <w:tcPr>
            <w:tcW w:type="dxa" w:w="4300"/>
          </w:tcPr>
          <w:p>
            <w:pPr>
              <w:spacing w:after="50" w:before="50"/>
            </w:pPr>
            <w:r>
              <w:rPr>
                <w:rFonts w:ascii="Calibri" w:cs="Calibri" w:eastAsia="Calibri" w:hAnsi="Calibri"/>
                <w:b w:val="false"/>
                <w:bCs w:val="false"/>
                <w:sz w:val="18"/>
                <w:szCs w:val="18"/>
              </w:rPr>
              <w:t xml:space="preserve">2008</w:t>
            </w:r>
          </w:p>
        </w:tc>
        <w:tc>
          <w:tcPr>
            <w:tcW w:type="dxa" w:w="3160"/>
          </w:tcPr>
          <w:p>
            <w:pPr>
              <w:spacing w:after="50" w:before="50"/>
            </w:pPr>
            <w:r>
              <w:rPr>
                <w:rFonts w:ascii="Calibri" w:cs="Calibri" w:eastAsia="Calibri" w:hAnsi="Calibri"/>
                <w:b w:val="false"/>
                <w:bCs w:val="false"/>
                <w:sz w:val="18"/>
                <w:szCs w:val="18"/>
              </w:rPr>
              <w:t xml:space="preserve">Cadastro público de CNPJ</w:t>
            </w:r>
          </w:p>
        </w:tc>
      </w:tr>
      <w:tr>
        <w:tc>
          <w:tcPr>
            <w:tcW w:type="dxa" w:w="1900"/>
          </w:tcPr>
          <w:p>
            <w:pPr>
              <w:spacing w:after="50" w:before="50"/>
            </w:pPr>
            <w:r>
              <w:rPr>
                <w:rFonts w:ascii="Calibri" w:cs="Calibri" w:eastAsia="Calibri" w:hAnsi="Calibri"/>
                <w:b w:val="false"/>
                <w:bCs w:val="false"/>
                <w:sz w:val="18"/>
                <w:szCs w:val="18"/>
              </w:rPr>
              <w:t xml:space="preserve">Porte</w:t>
            </w:r>
          </w:p>
        </w:tc>
        <w:tc>
          <w:tcPr>
            <w:tcW w:type="dxa" w:w="4300"/>
          </w:tcPr>
          <w:p>
            <w:pPr>
              <w:spacing w:after="50" w:before="50"/>
            </w:pPr>
            <w:r>
              <w:rPr>
                <w:rFonts w:ascii="Calibri" w:cs="Calibri" w:eastAsia="Calibri" w:hAnsi="Calibri"/>
                <w:b w:val="false"/>
                <w:bCs w:val="false"/>
                <w:sz w:val="18"/>
                <w:szCs w:val="18"/>
              </w:rPr>
              <w:t xml:space="preserve">Grande — 487 empregados declarados</w:t>
            </w:r>
          </w:p>
        </w:tc>
        <w:tc>
          <w:tcPr>
            <w:tcW w:type="dxa" w:w="3160"/>
          </w:tcPr>
          <w:p>
            <w:pPr>
              <w:spacing w:after="50" w:before="50"/>
            </w:pPr>
            <w:r>
              <w:rPr>
                <w:rFonts w:ascii="Calibri" w:cs="Calibri" w:eastAsia="Calibri" w:hAnsi="Calibri"/>
                <w:b w:val="false"/>
                <w:bCs w:val="false"/>
                <w:sz w:val="18"/>
                <w:szCs w:val="18"/>
              </w:rPr>
              <w:t xml:space="preserve">Relação anual de informações sociais, ano-base 2025</w:t>
            </w:r>
          </w:p>
        </w:tc>
      </w:tr>
      <w:tr>
        <w:tc>
          <w:tcPr>
            <w:tcW w:type="dxa" w:w="1900"/>
          </w:tcPr>
          <w:p>
            <w:pPr>
              <w:spacing w:after="50" w:before="50"/>
            </w:pPr>
            <w:r>
              <w:rPr>
                <w:rFonts w:ascii="Calibri" w:cs="Calibri" w:eastAsia="Calibri" w:hAnsi="Calibri"/>
                <w:b w:val="false"/>
                <w:bCs w:val="false"/>
                <w:sz w:val="18"/>
                <w:szCs w:val="18"/>
              </w:rPr>
              <w:t xml:space="preserve">Sede</w:t>
            </w:r>
          </w:p>
        </w:tc>
        <w:tc>
          <w:tcPr>
            <w:tcW w:type="dxa" w:w="4300"/>
          </w:tcPr>
          <w:p>
            <w:pPr>
              <w:spacing w:after="50" w:before="50"/>
            </w:pPr>
            <w:r>
              <w:rPr>
                <w:rFonts w:ascii="Calibri" w:cs="Calibri" w:eastAsia="Calibri" w:hAnsi="Calibri"/>
                <w:b w:val="false"/>
                <w:bCs w:val="false"/>
                <w:sz w:val="18"/>
                <w:szCs w:val="18"/>
              </w:rPr>
              <w:t xml:space="preserve">Sinop (MT); filiais em Feira de Santana (BA) e Paragominas (PA)</w:t>
            </w:r>
          </w:p>
        </w:tc>
        <w:tc>
          <w:tcPr>
            <w:tcW w:type="dxa" w:w="3160"/>
          </w:tcPr>
          <w:p>
            <w:pPr>
              <w:spacing w:after="50" w:before="50"/>
            </w:pPr>
            <w:r>
              <w:rPr>
                <w:rFonts w:ascii="Calibri" w:cs="Calibri" w:eastAsia="Calibri" w:hAnsi="Calibri"/>
                <w:b w:val="false"/>
                <w:bCs w:val="false"/>
                <w:sz w:val="18"/>
                <w:szCs w:val="18"/>
              </w:rPr>
              <w:t xml:space="preserve">Cadastro público de CNPJ</w:t>
            </w:r>
          </w:p>
        </w:tc>
      </w:tr>
      <w:tr>
        <w:tc>
          <w:tcPr>
            <w:tcW w:type="dxa" w:w="1900"/>
          </w:tcPr>
          <w:p>
            <w:pPr>
              <w:spacing w:after="50" w:before="50"/>
            </w:pPr>
            <w:r>
              <w:rPr>
                <w:rFonts w:ascii="Calibri" w:cs="Calibri" w:eastAsia="Calibri" w:hAnsi="Calibri"/>
                <w:b w:val="false"/>
                <w:bCs w:val="false"/>
                <w:sz w:val="18"/>
                <w:szCs w:val="18"/>
              </w:rPr>
              <w:t xml:space="preserve">Atividade principal</w:t>
            </w:r>
          </w:p>
        </w:tc>
        <w:tc>
          <w:tcPr>
            <w:tcW w:type="dxa" w:w="4300"/>
          </w:tcPr>
          <w:p>
            <w:pPr>
              <w:spacing w:after="50" w:before="50"/>
            </w:pPr>
            <w:r>
              <w:rPr>
                <w:rFonts w:ascii="Calibri" w:cs="Calibri" w:eastAsia="Calibri" w:hAnsi="Calibri"/>
                <w:b w:val="false"/>
                <w:bCs w:val="false"/>
                <w:sz w:val="18"/>
                <w:szCs w:val="18"/>
              </w:rPr>
              <w:t xml:space="preserve">Serrarias com desdobramento de madeira em bruto</w:t>
            </w:r>
          </w:p>
        </w:tc>
        <w:tc>
          <w:tcPr>
            <w:tcW w:type="dxa" w:w="3160"/>
          </w:tcPr>
          <w:p>
            <w:pPr>
              <w:spacing w:after="50" w:before="50"/>
            </w:pPr>
            <w:r>
              <w:rPr>
                <w:rFonts w:ascii="Calibri" w:cs="Calibri" w:eastAsia="Calibri" w:hAnsi="Calibri"/>
                <w:b w:val="false"/>
                <w:bCs w:val="false"/>
                <w:sz w:val="18"/>
                <w:szCs w:val="18"/>
              </w:rPr>
              <w:t xml:space="preserve">CNAE 16.10-2/03</w:t>
            </w:r>
          </w:p>
        </w:tc>
      </w:tr>
      <w:tr>
        <w:tc>
          <w:tcPr>
            <w:tcW w:type="dxa" w:w="1900"/>
          </w:tcPr>
          <w:p>
            <w:pPr>
              <w:spacing w:after="50" w:before="50"/>
            </w:pPr>
            <w:r>
              <w:rPr>
                <w:rFonts w:ascii="Calibri" w:cs="Calibri" w:eastAsia="Calibri" w:hAnsi="Calibri"/>
                <w:b w:val="false"/>
                <w:bCs w:val="false"/>
                <w:sz w:val="18"/>
                <w:szCs w:val="18"/>
              </w:rPr>
              <w:t xml:space="preserve">Controlador</w:t>
            </w:r>
          </w:p>
        </w:tc>
        <w:tc>
          <w:tcPr>
            <w:tcW w:type="dxa" w:w="4300"/>
          </w:tcPr>
          <w:p>
            <w:pPr>
              <w:spacing w:after="50" w:before="50"/>
            </w:pPr>
            <w:r>
              <w:rPr>
                <w:rFonts w:ascii="Calibri" w:cs="Calibri" w:eastAsia="Calibri" w:hAnsi="Calibri"/>
                <w:b w:val="false"/>
                <w:bCs w:val="false"/>
                <w:sz w:val="18"/>
                <w:szCs w:val="18"/>
              </w:rPr>
              <w:t xml:space="preserve">Participações Aurora Florestal S.A. — 71% do capital votante</w:t>
            </w:r>
          </w:p>
        </w:tc>
        <w:tc>
          <w:tcPr>
            <w:tcW w:type="dxa" w:w="3160"/>
          </w:tcPr>
          <w:p>
            <w:pPr>
              <w:spacing w:after="50" w:before="50"/>
            </w:pPr>
            <w:r>
              <w:rPr>
                <w:rFonts w:ascii="Calibri" w:cs="Calibri" w:eastAsia="Calibri" w:hAnsi="Calibri"/>
                <w:b w:val="false"/>
                <w:bCs w:val="false"/>
                <w:sz w:val="18"/>
                <w:szCs w:val="18"/>
              </w:rPr>
              <w:t xml:space="preserve">Estatuto consolidado arquivado na junta comercial, 03/2024</w:t>
            </w:r>
          </w:p>
        </w:tc>
      </w:tr>
      <w:tr>
        <w:tc>
          <w:tcPr>
            <w:tcW w:type="dxa" w:w="1900"/>
          </w:tcPr>
          <w:p>
            <w:pPr>
              <w:spacing w:after="50" w:before="50"/>
            </w:pPr>
            <w:r>
              <w:rPr>
                <w:rFonts w:ascii="Calibri" w:cs="Calibri" w:eastAsia="Calibri" w:hAnsi="Calibri"/>
                <w:b w:val="false"/>
                <w:bCs w:val="false"/>
                <w:sz w:val="18"/>
                <w:szCs w:val="18"/>
              </w:rPr>
              <w:t xml:space="preserve">Faturamento declarado</w:t>
            </w:r>
          </w:p>
        </w:tc>
        <w:tc>
          <w:tcPr>
            <w:tcW w:type="dxa" w:w="4300"/>
          </w:tcPr>
          <w:p>
            <w:pPr>
              <w:spacing w:after="50" w:before="50"/>
            </w:pPr>
            <w:r>
              <w:rPr>
                <w:rFonts w:ascii="Calibri" w:cs="Calibri" w:eastAsia="Calibri" w:hAnsi="Calibri"/>
                <w:b w:val="false"/>
                <w:bCs w:val="false"/>
                <w:sz w:val="18"/>
                <w:szCs w:val="18"/>
              </w:rPr>
              <w:t xml:space="preserve">R$ 312 milhões em 2025</w:t>
            </w:r>
          </w:p>
        </w:tc>
        <w:tc>
          <w:tcPr>
            <w:tcW w:type="dxa" w:w="3160"/>
          </w:tcPr>
          <w:p>
            <w:pPr>
              <w:spacing w:after="50" w:before="50"/>
            </w:pPr>
            <w:r>
              <w:rPr>
                <w:rFonts w:ascii="Calibri" w:cs="Calibri" w:eastAsia="Calibri" w:hAnsi="Calibri"/>
                <w:b w:val="false"/>
                <w:bCs w:val="false"/>
                <w:sz w:val="18"/>
                <w:szCs w:val="18"/>
              </w:rPr>
              <w:t xml:space="preserve">Entrevista do diretor-presidente à imprensa setorial, 02/2026</w:t>
            </w:r>
          </w:p>
        </w:tc>
      </w:tr>
    </w:tbl>
    <w:p>
      <w:pPr>
        <w:spacing w:after="120" w:before="260"/>
      </w:pPr>
      <w:r>
        <w:rPr>
          <w:rFonts w:ascii="Calibri" w:cs="Calibri" w:eastAsia="Calibri" w:hAnsi="Calibri"/>
          <w:b/>
          <w:bCs/>
          <w:sz w:val="23"/>
          <w:szCs w:val="23"/>
        </w:rPr>
        <w:t xml:space="preserve">2. Portfólio e cadeia de suprimento</w:t>
      </w:r>
    </w:p>
    <w:p>
      <w:pPr>
        <w:spacing w:after="110" w:line="270"/>
        <w:jc w:val="both"/>
      </w:pPr>
      <w:r>
        <w:rPr>
          <w:rFonts w:ascii="Calibri" w:cs="Calibri" w:eastAsia="Calibri" w:hAnsi="Calibri"/>
          <w:b w:val="false"/>
          <w:bCs w:val="false"/>
          <w:i w:val="false"/>
          <w:iCs w:val="false"/>
          <w:sz w:val="20"/>
          <w:szCs w:val="20"/>
        </w:rPr>
        <w:t xml:space="preserve">A empresa declara operar três frentes: madeira serrada bruta, beneficiamento sob encomenda e exportação de decking. O material institucional informa que 60% do volume vem de áreas de manejo florestal sustentável próprias, no Pará, e 40% de fornecedores terceirizados no Mato Grosso e em Rondônia. A relação desses fornecedores terceirizados não é divulgada.</w:t>
      </w:r>
    </w:p>
    <w:p>
      <w:pPr>
        <w:spacing w:after="110" w:line="270"/>
        <w:jc w:val="both"/>
      </w:pPr>
      <w:r>
        <w:rPr>
          <w:rFonts w:ascii="Calibri" w:cs="Calibri" w:eastAsia="Calibri" w:hAnsi="Calibri"/>
          <w:b w:val="false"/>
          <w:bCs w:val="false"/>
          <w:i w:val="false"/>
          <w:iCs w:val="false"/>
          <w:sz w:val="20"/>
          <w:szCs w:val="20"/>
        </w:rPr>
        <w:t xml:space="preserve">Relatório setorial de 2025 registra que a empresa figura entre as dez maiores compradoras de ipê do Estado do Pará. O ipê (gênero Handroanthus) foi incluído no Apêndice II da CITES em 2022, com entrada em vigor em 2024, passando a exigir licença de exportação e comprovação de origem legal.</w:t>
      </w:r>
    </w:p>
    <w:p>
      <w:pPr>
        <w:spacing w:after="120" w:before="260"/>
      </w:pPr>
      <w:r>
        <w:rPr>
          <w:rFonts w:ascii="Calibri" w:cs="Calibri" w:eastAsia="Calibri" w:hAnsi="Calibri"/>
          <w:b/>
          <w:bCs/>
          <w:sz w:val="23"/>
          <w:szCs w:val="23"/>
        </w:rPr>
        <w:t xml:space="preserve">3. Certificações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shd w:fill="E4E4E4" w:val="clear"/>
          </w:tcPr>
          <w:p>
            <w:pPr>
              <w:spacing w:after="50" w:before="50"/>
            </w:pPr>
            <w:r>
              <w:rPr>
                <w:rFonts w:ascii="Calibri" w:cs="Calibri" w:eastAsia="Calibri" w:hAnsi="Calibri"/>
                <w:b/>
                <w:bCs/>
                <w:sz w:val="18"/>
                <w:szCs w:val="18"/>
              </w:rPr>
              <w:t xml:space="preserve">Alegação</w:t>
            </w:r>
          </w:p>
        </w:tc>
        <w:tc>
          <w:tcPr>
            <w:tcW w:type="dxa" w:w="5760"/>
            <w:shd w:fill="E4E4E4" w:val="clear"/>
          </w:tcPr>
          <w:p>
            <w:pPr>
              <w:spacing w:after="50" w:before="50"/>
            </w:pPr>
            <w:r>
              <w:rPr>
                <w:rFonts w:ascii="Calibri" w:cs="Calibri" w:eastAsia="Calibri" w:hAnsi="Calibri"/>
                <w:b/>
                <w:bCs/>
                <w:sz w:val="18"/>
                <w:szCs w:val="18"/>
              </w:rPr>
              <w:t xml:space="preserve">O que foi localizado</w:t>
            </w:r>
          </w:p>
        </w:tc>
      </w:tr>
      <w:tr>
        <w:tc>
          <w:tcPr>
            <w:tcW w:type="dxa" w:w="3600"/>
          </w:tcPr>
          <w:p>
            <w:pPr>
              <w:spacing w:after="50" w:before="50"/>
            </w:pPr>
            <w:r>
              <w:rPr>
                <w:rFonts w:ascii="Calibri" w:cs="Calibri" w:eastAsia="Calibri" w:hAnsi="Calibri"/>
                <w:b w:val="false"/>
                <w:bCs w:val="false"/>
                <w:sz w:val="18"/>
                <w:szCs w:val="18"/>
              </w:rPr>
              <w:t xml:space="preserve">Certificação florestal FSC</w:t>
            </w:r>
          </w:p>
        </w:tc>
        <w:tc>
          <w:tcPr>
            <w:tcW w:type="dxa" w:w="5760"/>
          </w:tcPr>
          <w:p>
            <w:pPr>
              <w:spacing w:after="50" w:before="50"/>
            </w:pPr>
            <w:r>
              <w:rPr>
                <w:rFonts w:ascii="Calibri" w:cs="Calibri" w:eastAsia="Calibri" w:hAnsi="Calibri"/>
                <w:b w:val="false"/>
                <w:bCs w:val="false"/>
                <w:sz w:val="18"/>
                <w:szCs w:val="18"/>
              </w:rPr>
              <w:t xml:space="preserve">Não consta certificado ativo nem suspenso em nome da empresa ou de seu controlador na base pública de certificados, consulta em 10/09/2026.</w:t>
            </w:r>
          </w:p>
        </w:tc>
      </w:tr>
      <w:tr>
        <w:tc>
          <w:tcPr>
            <w:tcW w:type="dxa" w:w="3600"/>
          </w:tcPr>
          <w:p>
            <w:pPr>
              <w:spacing w:after="50" w:before="50"/>
            </w:pPr>
            <w:r>
              <w:rPr>
                <w:rFonts w:ascii="Calibri" w:cs="Calibri" w:eastAsia="Calibri" w:hAnsi="Calibri"/>
                <w:b w:val="false"/>
                <w:bCs w:val="false"/>
                <w:sz w:val="18"/>
                <w:szCs w:val="18"/>
              </w:rPr>
              <w:t xml:space="preserve">Pacto Nacional pela Madeira Responsável</w:t>
            </w:r>
          </w:p>
        </w:tc>
        <w:tc>
          <w:tcPr>
            <w:tcW w:type="dxa" w:w="5760"/>
          </w:tcPr>
          <w:p>
            <w:pPr>
              <w:spacing w:after="50" w:before="50"/>
            </w:pPr>
            <w:r>
              <w:rPr>
                <w:rFonts w:ascii="Calibri" w:cs="Calibri" w:eastAsia="Calibri" w:hAnsi="Calibri"/>
                <w:b w:val="false"/>
                <w:bCs w:val="false"/>
                <w:sz w:val="18"/>
                <w:szCs w:val="18"/>
              </w:rPr>
              <w:t xml:space="preserve">Não foi localizado registro público de iniciativa com essa denominação, nem lista de signatários. A menção aparece apenas em material da própria empresa.</w:t>
            </w:r>
          </w:p>
        </w:tc>
      </w:tr>
      <w:tr>
        <w:tc>
          <w:tcPr>
            <w:tcW w:type="dxa" w:w="3600"/>
          </w:tcPr>
          <w:p>
            <w:pPr>
              <w:spacing w:after="50" w:before="50"/>
            </w:pPr>
            <w:r>
              <w:rPr>
                <w:rFonts w:ascii="Calibri" w:cs="Calibri" w:eastAsia="Calibri" w:hAnsi="Calibri"/>
                <w:b w:val="false"/>
                <w:bCs w:val="false"/>
                <w:sz w:val="18"/>
                <w:szCs w:val="18"/>
              </w:rPr>
              <w:t xml:space="preserve">ISO 9001</w:t>
            </w:r>
          </w:p>
        </w:tc>
        <w:tc>
          <w:tcPr>
            <w:tcW w:type="dxa" w:w="5760"/>
          </w:tcPr>
          <w:p>
            <w:pPr>
              <w:spacing w:after="50" w:before="50"/>
            </w:pPr>
            <w:r>
              <w:rPr>
                <w:rFonts w:ascii="Calibri" w:cs="Calibri" w:eastAsia="Calibri" w:hAnsi="Calibri"/>
                <w:b w:val="false"/>
                <w:bCs w:val="false"/>
                <w:sz w:val="18"/>
                <w:szCs w:val="18"/>
              </w:rPr>
              <w:t xml:space="preserve">Certificado ativo, escopo limitado à unidade de Sinop, válido até 11/2027, confirmado no organismo certificador.</w:t>
            </w:r>
          </w:p>
        </w:tc>
      </w:tr>
      <w:tr>
        <w:tc>
          <w:tcPr>
            <w:tcW w:type="dxa" w:w="3600"/>
          </w:tcPr>
          <w:p>
            <w:pPr>
              <w:spacing w:after="50" w:before="50"/>
            </w:pPr>
            <w:r>
              <w:rPr>
                <w:rFonts w:ascii="Calibri" w:cs="Calibri" w:eastAsia="Calibri" w:hAnsi="Calibri"/>
                <w:b w:val="false"/>
                <w:bCs w:val="false"/>
                <w:sz w:val="18"/>
                <w:szCs w:val="18"/>
              </w:rPr>
              <w:t xml:space="preserve">Selo de origem do programa estadual do MT</w:t>
            </w:r>
          </w:p>
        </w:tc>
        <w:tc>
          <w:tcPr>
            <w:tcW w:type="dxa" w:w="5760"/>
          </w:tcPr>
          <w:p>
            <w:pPr>
              <w:spacing w:after="50" w:before="50"/>
            </w:pPr>
            <w:r>
              <w:rPr>
                <w:rFonts w:ascii="Calibri" w:cs="Calibri" w:eastAsia="Calibri" w:hAnsi="Calibri"/>
                <w:b w:val="false"/>
                <w:bCs w:val="false"/>
                <w:sz w:val="18"/>
                <w:szCs w:val="18"/>
              </w:rPr>
              <w:t xml:space="preserve">Constava como ativo até 2024; situação atual não localizada na base do órgão estadual.</w:t>
            </w:r>
          </w:p>
        </w:tc>
      </w:tr>
    </w:tbl>
    <w:p>
      <w:pPr>
        <w:spacing w:after="120" w:before="260"/>
      </w:pPr>
      <w:r>
        <w:rPr>
          <w:rFonts w:ascii="Calibri" w:cs="Calibri" w:eastAsia="Calibri" w:hAnsi="Calibri"/>
          <w:b/>
          <w:bCs/>
          <w:sz w:val="23"/>
          <w:szCs w:val="23"/>
        </w:rPr>
        <w:t xml:space="preserve">4. Reputação e atendimento</w:t>
      </w:r>
    </w:p>
    <w:p>
      <w:pPr>
        <w:spacing w:after="110" w:line="270"/>
        <w:jc w:val="both"/>
      </w:pPr>
      <w:r>
        <w:rPr>
          <w:rFonts w:ascii="Calibri" w:cs="Calibri" w:eastAsia="Calibri" w:hAnsi="Calibri"/>
          <w:b w:val="false"/>
          <w:bCs w:val="false"/>
          <w:i w:val="false"/>
          <w:iCs w:val="false"/>
          <w:sz w:val="20"/>
          <w:szCs w:val="20"/>
        </w:rPr>
        <w:t xml:space="preserve">Plataforma pública de reclamações, período de 12 meses encerrado em 08/2026: 74 reclamações registradas, nota 5,8 em 10, índice de resposta de 88% e de solução declarada de 61%. Os assuntos mais frequentes são atraso de entrega (41 registros), divergência entre o volume faturado e o recebido (12) e qualidade do material, com menção a umidade acima da especificada (9).</w:t>
      </w:r>
    </w:p>
    <w:p>
      <w:pPr>
        <w:spacing w:after="110" w:line="270"/>
        <w:jc w:val="both"/>
      </w:pPr>
      <w:r>
        <w:rPr>
          <w:rFonts w:ascii="Calibri" w:cs="Calibri" w:eastAsia="Calibri" w:hAnsi="Calibri"/>
          <w:b w:val="false"/>
          <w:bCs w:val="false"/>
          <w:i w:val="false"/>
          <w:iCs w:val="false"/>
          <w:sz w:val="20"/>
          <w:szCs w:val="20"/>
        </w:rPr>
        <w:t xml:space="preserve">Avaliações em diretórios de fornecedores do setor moveleiro situam a empresa entre 3,2 e 3,6 de 5, com elogios a preço e críticas a prazo.</w:t>
      </w:r>
    </w:p>
    <w:p>
      <w:pPr>
        <w:spacing w:after="120" w:before="260"/>
      </w:pPr>
      <w:r>
        <w:rPr>
          <w:rFonts w:ascii="Calibri" w:cs="Calibri" w:eastAsia="Calibri" w:hAnsi="Calibri"/>
          <w:b/>
          <w:bCs/>
          <w:sz w:val="23"/>
          <w:szCs w:val="23"/>
        </w:rPr>
        <w:t xml:space="preserve">5. Autuações, processos e sanções</w:t>
      </w:r>
    </w:p>
    <w:p>
      <w:pPr>
        <w:spacing w:after="80" w:before="180"/>
      </w:pPr>
      <w:r>
        <w:rPr>
          <w:rFonts w:ascii="Calibri" w:cs="Calibri" w:eastAsia="Calibri" w:hAnsi="Calibri"/>
          <w:b/>
          <w:bCs/>
          <w:sz w:val="20"/>
          <w:szCs w:val="20"/>
        </w:rPr>
        <w:t xml:space="preserve">5.1. Auto de infração ambiental — 2025</w:t>
      </w:r>
    </w:p>
    <w:p>
      <w:pPr>
        <w:spacing w:after="110" w:line="270"/>
        <w:jc w:val="both"/>
      </w:pPr>
      <w:r>
        <w:rPr>
          <w:rFonts w:ascii="Calibri" w:cs="Calibri" w:eastAsia="Calibri" w:hAnsi="Calibri"/>
          <w:b w:val="false"/>
          <w:bCs w:val="false"/>
          <w:i w:val="false"/>
          <w:iCs w:val="false"/>
          <w:sz w:val="20"/>
          <w:szCs w:val="20"/>
        </w:rPr>
        <w:t xml:space="preserve">Auto de infração lavrado pelo órgão ambiental federal em março de 2025, por transporte de 212 m³ de madeira serrada acompanhada de documento de origem florestal com saldo insuficiente, na unidade de Paragominas (PA). Multa aplicada de R$ 1,4 milhão. A empresa apresentou defesa administrativa; o processo consta como pendente de julgamento em segunda instância. Fonte: consulta pública de autos de infração, acesso em 10/09/2026.</w:t>
      </w:r>
    </w:p>
    <w:p>
      <w:pPr>
        <w:spacing w:after="80" w:before="180"/>
      </w:pPr>
      <w:r>
        <w:rPr>
          <w:rFonts w:ascii="Calibri" w:cs="Calibri" w:eastAsia="Calibri" w:hAnsi="Calibri"/>
          <w:b/>
          <w:bCs/>
          <w:sz w:val="20"/>
          <w:szCs w:val="20"/>
        </w:rPr>
        <w:t xml:space="preserve">5.2. Embargo de área — 2024</w:t>
      </w:r>
    </w:p>
    <w:p>
      <w:pPr>
        <w:spacing w:after="110" w:line="270"/>
        <w:jc w:val="both"/>
      </w:pPr>
      <w:r>
        <w:rPr>
          <w:rFonts w:ascii="Calibri" w:cs="Calibri" w:eastAsia="Calibri" w:hAnsi="Calibri"/>
          <w:b w:val="false"/>
          <w:bCs w:val="false"/>
          <w:i w:val="false"/>
          <w:iCs w:val="false"/>
          <w:sz w:val="20"/>
          <w:szCs w:val="20"/>
        </w:rPr>
        <w:t xml:space="preserve">Registro de embargo sobre área de 840 hectares em município do sudeste do Pará, constando como responsável uma sociedade cujo endereço coincide com o da filial da Madeflora. A titularidade não pôde ser confirmada nas fontes consultadas: o cadastro do embargo traz CNPJ distinto, e não foi localizado documento societário que ligue as duas empresas.</w:t>
      </w:r>
    </w:p>
    <w:p>
      <w:pPr>
        <w:spacing w:after="80" w:before="180"/>
      </w:pPr>
      <w:r>
        <w:rPr>
          <w:rFonts w:ascii="Calibri" w:cs="Calibri" w:eastAsia="Calibri" w:hAnsi="Calibri"/>
          <w:b/>
          <w:bCs/>
          <w:sz w:val="20"/>
          <w:szCs w:val="20"/>
        </w:rPr>
        <w:t xml:space="preserve">5.3. Ação civil pública trabalhista — 2024</w:t>
      </w:r>
    </w:p>
    <w:p>
      <w:pPr>
        <w:spacing w:after="110" w:line="270"/>
        <w:jc w:val="both"/>
      </w:pPr>
      <w:r>
        <w:rPr>
          <w:rFonts w:ascii="Calibri" w:cs="Calibri" w:eastAsia="Calibri" w:hAnsi="Calibri"/>
          <w:b w:val="false"/>
          <w:bCs w:val="false"/>
          <w:i w:val="false"/>
          <w:iCs w:val="false"/>
          <w:sz w:val="20"/>
          <w:szCs w:val="20"/>
        </w:rPr>
        <w:t xml:space="preserve">Ação ajuizada pelo Ministério Público do Trabalho contra a Serraria Vale Verde Ltda., prestadora de serviços de desdobro para a Madeflora, por condições de alojamento e jornada em canteiro no Mato Grosso. A Madeflora não figura no polo passivo. A peça inicial menciona a Madeflora como tomadora dos serviços. Processo em andamento, sem sentença. Fonte: sistema público de consulta processual, acesso em 10/09/2026.</w:t>
      </w:r>
    </w:p>
    <w:p>
      <w:pPr>
        <w:spacing w:after="80" w:before="180"/>
      </w:pPr>
      <w:r>
        <w:rPr>
          <w:rFonts w:ascii="Calibri" w:cs="Calibri" w:eastAsia="Calibri" w:hAnsi="Calibri"/>
          <w:b/>
          <w:bCs/>
          <w:sz w:val="20"/>
          <w:szCs w:val="20"/>
        </w:rPr>
        <w:t xml:space="preserve">5.4. Listas de restrição</w:t>
      </w:r>
    </w:p>
    <w:p>
      <w:pPr>
        <w:spacing w:after="110" w:line="270"/>
        <w:jc w:val="both"/>
      </w:pPr>
      <w:r>
        <w:rPr>
          <w:rFonts w:ascii="Calibri" w:cs="Calibri" w:eastAsia="Calibri" w:hAnsi="Calibri"/>
          <w:b w:val="false"/>
          <w:bCs w:val="false"/>
          <w:i w:val="false"/>
          <w:iCs w:val="false"/>
          <w:sz w:val="20"/>
          <w:szCs w:val="20"/>
        </w:rPr>
        <w:t xml:space="preserve">Não foi localizado registro da empresa, de seus administradores ou de seu controlador no cadastro de empregadores autuados por trabalho em condições análogas às de escravo, na consulta de 10/09/2026.</w:t>
      </w:r>
    </w:p>
    <w:p>
      <w:pPr>
        <w:spacing w:after="120" w:before="260"/>
      </w:pPr>
      <w:r>
        <w:rPr>
          <w:rFonts w:ascii="Calibri" w:cs="Calibri" w:eastAsia="Calibri" w:hAnsi="Calibri"/>
          <w:b/>
          <w:bCs/>
          <w:sz w:val="23"/>
          <w:szCs w:val="23"/>
        </w:rPr>
        <w:t xml:space="preserve">6. Imprensa — últimos 24 meses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c>
          <w:tcPr>
            <w:tcW w:type="dxa" w:w="900"/>
            <w:shd w:fill="E4E4E4" w:val="clear"/>
          </w:tcPr>
          <w:p>
            <w:pPr>
              <w:spacing w:after="50" w:before="50"/>
            </w:pPr>
            <w:r>
              <w:rPr>
                <w:rFonts w:ascii="Calibri" w:cs="Calibri" w:eastAsia="Calibri" w:hAnsi="Calibri"/>
                <w:b/>
                <w:bCs/>
                <w:sz w:val="18"/>
                <w:szCs w:val="18"/>
              </w:rPr>
              <w:t xml:space="preserve">Data</w:t>
            </w:r>
          </w:p>
        </w:tc>
        <w:tc>
          <w:tcPr>
            <w:tcW w:type="dxa" w:w="2600"/>
            <w:shd w:fill="E4E4E4" w:val="clear"/>
          </w:tcPr>
          <w:p>
            <w:pPr>
              <w:spacing w:after="50" w:before="50"/>
            </w:pPr>
            <w:r>
              <w:rPr>
                <w:rFonts w:ascii="Calibri" w:cs="Calibri" w:eastAsia="Calibri" w:hAnsi="Calibri"/>
                <w:b/>
                <w:bCs/>
                <w:sz w:val="18"/>
                <w:szCs w:val="18"/>
              </w:rPr>
              <w:t xml:space="preserve">Veículo</w:t>
            </w:r>
          </w:p>
        </w:tc>
        <w:tc>
          <w:tcPr>
            <w:tcW w:type="dxa" w:w="5860"/>
            <w:shd w:fill="E4E4E4" w:val="clear"/>
          </w:tcPr>
          <w:p>
            <w:pPr>
              <w:spacing w:after="50" w:before="50"/>
            </w:pPr>
            <w:r>
              <w:rPr>
                <w:rFonts w:ascii="Calibri" w:cs="Calibri" w:eastAsia="Calibri" w:hAnsi="Calibri"/>
                <w:b/>
                <w:bCs/>
                <w:sz w:val="18"/>
                <w:szCs w:val="18"/>
              </w:rPr>
              <w:t xml:space="preserve">Conteúdo</w:t>
            </w:r>
          </w:p>
        </w:tc>
      </w:tr>
      <w:tr>
        <w:tc>
          <w:tcPr>
            <w:tcW w:type="dxa" w:w="900"/>
          </w:tcPr>
          <w:p>
            <w:pPr>
              <w:spacing w:after="50" w:before="50"/>
            </w:pPr>
            <w:r>
              <w:rPr>
                <w:rFonts w:ascii="Calibri" w:cs="Calibri" w:eastAsia="Calibri" w:hAnsi="Calibri"/>
                <w:b w:val="false"/>
                <w:bCs w:val="false"/>
                <w:sz w:val="18"/>
                <w:szCs w:val="18"/>
              </w:rPr>
              <w:t xml:space="preserve">04/2025</w:t>
            </w:r>
          </w:p>
        </w:tc>
        <w:tc>
          <w:tcPr>
            <w:tcW w:type="dxa" w:w="2600"/>
          </w:tcPr>
          <w:p>
            <w:pPr>
              <w:spacing w:after="50" w:before="50"/>
            </w:pPr>
            <w:r>
              <w:rPr>
                <w:rFonts w:ascii="Calibri" w:cs="Calibri" w:eastAsia="Calibri" w:hAnsi="Calibri"/>
                <w:b w:val="false"/>
                <w:bCs w:val="false"/>
                <w:sz w:val="18"/>
                <w:szCs w:val="18"/>
              </w:rPr>
              <w:t xml:space="preserve">Jornal regional do Centro-Oeste</w:t>
            </w:r>
          </w:p>
        </w:tc>
        <w:tc>
          <w:tcPr>
            <w:tcW w:type="dxa" w:w="5860"/>
          </w:tcPr>
          <w:p>
            <w:pPr>
              <w:spacing w:after="50" w:before="50"/>
            </w:pPr>
            <w:r>
              <w:rPr>
                <w:rFonts w:ascii="Calibri" w:cs="Calibri" w:eastAsia="Calibri" w:hAnsi="Calibri"/>
                <w:b w:val="false"/>
                <w:bCs w:val="false"/>
                <w:sz w:val="18"/>
                <w:szCs w:val="18"/>
              </w:rPr>
              <w:t xml:space="preserve">Reportagem sobre a autuação de março de 2025; a empresa contesta a interpretação do órgão e afirma que a divergência é de escrituração do saldo, não de origem.</w:t>
            </w:r>
          </w:p>
        </w:tc>
      </w:tr>
      <w:tr>
        <w:tc>
          <w:tcPr>
            <w:tcW w:type="dxa" w:w="900"/>
          </w:tcPr>
          <w:p>
            <w:pPr>
              <w:spacing w:after="50" w:before="50"/>
            </w:pPr>
            <w:r>
              <w:rPr>
                <w:rFonts w:ascii="Calibri" w:cs="Calibri" w:eastAsia="Calibri" w:hAnsi="Calibri"/>
                <w:b w:val="false"/>
                <w:bCs w:val="false"/>
                <w:sz w:val="18"/>
                <w:szCs w:val="18"/>
              </w:rPr>
              <w:t xml:space="preserve">09/2025</w:t>
            </w:r>
          </w:p>
        </w:tc>
        <w:tc>
          <w:tcPr>
            <w:tcW w:type="dxa" w:w="2600"/>
          </w:tcPr>
          <w:p>
            <w:pPr>
              <w:spacing w:after="50" w:before="50"/>
            </w:pPr>
            <w:r>
              <w:rPr>
                <w:rFonts w:ascii="Calibri" w:cs="Calibri" w:eastAsia="Calibri" w:hAnsi="Calibri"/>
                <w:b w:val="false"/>
                <w:bCs w:val="false"/>
                <w:sz w:val="18"/>
                <w:szCs w:val="18"/>
              </w:rPr>
              <w:t xml:space="preserve">Portal de economia</w:t>
            </w:r>
          </w:p>
        </w:tc>
        <w:tc>
          <w:tcPr>
            <w:tcW w:type="dxa" w:w="5860"/>
          </w:tcPr>
          <w:p>
            <w:pPr>
              <w:spacing w:after="50" w:before="50"/>
            </w:pPr>
            <w:r>
              <w:rPr>
                <w:rFonts w:ascii="Calibri" w:cs="Calibri" w:eastAsia="Calibri" w:hAnsi="Calibri"/>
                <w:b w:val="false"/>
                <w:bCs w:val="false"/>
                <w:sz w:val="18"/>
                <w:szCs w:val="18"/>
              </w:rPr>
              <w:t xml:space="preserve">Madeflora anuncia investimento de R$ 40 milhões em nova linha de secagem em Sinop.</w:t>
            </w:r>
          </w:p>
        </w:tc>
      </w:tr>
      <w:tr>
        <w:tc>
          <w:tcPr>
            <w:tcW w:type="dxa" w:w="900"/>
          </w:tcPr>
          <w:p>
            <w:pPr>
              <w:spacing w:after="50" w:before="50"/>
            </w:pPr>
            <w:r>
              <w:rPr>
                <w:rFonts w:ascii="Calibri" w:cs="Calibri" w:eastAsia="Calibri" w:hAnsi="Calibri"/>
                <w:b w:val="false"/>
                <w:bCs w:val="false"/>
                <w:sz w:val="18"/>
                <w:szCs w:val="18"/>
              </w:rPr>
              <w:t xml:space="preserve">01/2026</w:t>
            </w:r>
          </w:p>
        </w:tc>
        <w:tc>
          <w:tcPr>
            <w:tcW w:type="dxa" w:w="2600"/>
          </w:tcPr>
          <w:p>
            <w:pPr>
              <w:spacing w:after="50" w:before="50"/>
            </w:pPr>
            <w:r>
              <w:rPr>
                <w:rFonts w:ascii="Calibri" w:cs="Calibri" w:eastAsia="Calibri" w:hAnsi="Calibri"/>
                <w:b w:val="false"/>
                <w:bCs w:val="false"/>
                <w:sz w:val="18"/>
                <w:szCs w:val="18"/>
              </w:rPr>
              <w:t xml:space="preserve">Organização não governamental de monitoramento florestal</w:t>
            </w:r>
          </w:p>
        </w:tc>
        <w:tc>
          <w:tcPr>
            <w:tcW w:type="dxa" w:w="5860"/>
          </w:tcPr>
          <w:p>
            <w:pPr>
              <w:spacing w:after="50" w:before="50"/>
            </w:pPr>
            <w:r>
              <w:rPr>
                <w:rFonts w:ascii="Calibri" w:cs="Calibri" w:eastAsia="Calibri" w:hAnsi="Calibri"/>
                <w:b w:val="false"/>
                <w:bCs w:val="false"/>
                <w:sz w:val="18"/>
                <w:szCs w:val="18"/>
              </w:rPr>
              <w:t xml:space="preserve">Relatório cita a empresa entre compradoras de madeira proveniente de planos de manejo com indícios de superestimativa volumétrica. A empresa nega e afirma que exige documentação de origem de todos os fornecedores.</w:t>
            </w:r>
          </w:p>
        </w:tc>
      </w:tr>
      <w:tr>
        <w:tc>
          <w:tcPr>
            <w:tcW w:type="dxa" w:w="900"/>
          </w:tcPr>
          <w:p>
            <w:pPr>
              <w:spacing w:after="50" w:before="50"/>
            </w:pPr>
            <w:r>
              <w:rPr>
                <w:rFonts w:ascii="Calibri" w:cs="Calibri" w:eastAsia="Calibri" w:hAnsi="Calibri"/>
                <w:b w:val="false"/>
                <w:bCs w:val="false"/>
                <w:sz w:val="18"/>
                <w:szCs w:val="18"/>
              </w:rPr>
              <w:t xml:space="preserve">02/2026</w:t>
            </w:r>
          </w:p>
        </w:tc>
        <w:tc>
          <w:tcPr>
            <w:tcW w:type="dxa" w:w="2600"/>
          </w:tcPr>
          <w:p>
            <w:pPr>
              <w:spacing w:after="50" w:before="50"/>
            </w:pPr>
            <w:r>
              <w:rPr>
                <w:rFonts w:ascii="Calibri" w:cs="Calibri" w:eastAsia="Calibri" w:hAnsi="Calibri"/>
                <w:b w:val="false"/>
                <w:bCs w:val="false"/>
                <w:sz w:val="18"/>
                <w:szCs w:val="18"/>
              </w:rPr>
              <w:t xml:space="preserve">Imprensa setorial</w:t>
            </w:r>
          </w:p>
        </w:tc>
        <w:tc>
          <w:tcPr>
            <w:tcW w:type="dxa" w:w="5860"/>
          </w:tcPr>
          <w:p>
            <w:pPr>
              <w:spacing w:after="50" w:before="50"/>
            </w:pPr>
            <w:r>
              <w:rPr>
                <w:rFonts w:ascii="Calibri" w:cs="Calibri" w:eastAsia="Calibri" w:hAnsi="Calibri"/>
                <w:b w:val="false"/>
                <w:bCs w:val="false"/>
                <w:sz w:val="18"/>
                <w:szCs w:val="18"/>
              </w:rPr>
              <w:t xml:space="preserve">Entrevista do diretor-presidente sobre expansão e sobre a intenção de certificar a operação até 2027.</w:t>
            </w:r>
          </w:p>
        </w:tc>
      </w:tr>
    </w:tbl>
    <w:p>
      <w:pPr>
        <w:spacing w:after="120" w:before="260"/>
      </w:pPr>
      <w:r>
        <w:rPr>
          <w:rFonts w:ascii="Calibri" w:cs="Calibri" w:eastAsia="Calibri" w:hAnsi="Calibri"/>
          <w:b/>
          <w:bCs/>
          <w:sz w:val="23"/>
          <w:szCs w:val="23"/>
        </w:rPr>
        <w:t xml:space="preserve">7. Posição oficial da empresa</w:t>
      </w:r>
    </w:p>
    <w:p>
      <w:pPr>
        <w:spacing w:after="110" w:line="270"/>
        <w:jc w:val="both"/>
      </w:pPr>
      <w:r>
        <w:rPr>
          <w:rFonts w:ascii="Calibri" w:cs="Calibri" w:eastAsia="Calibri" w:hAnsi="Calibri"/>
          <w:b w:val="false"/>
          <w:bCs w:val="false"/>
          <w:i w:val="false"/>
          <w:iCs w:val="false"/>
          <w:sz w:val="20"/>
          <w:szCs w:val="20"/>
        </w:rPr>
        <w:t xml:space="preserve">Nota publicada na seção de comunicados do sítio institucional em 15/01/2026: "A Madeflora reafirma seu compromisso com a legalidade e a rastreabilidade de toda a madeira que comercializa. Todos os nossos fornecedores apresentam documentação de origem exigida pela legislação. Os apontamentos veiculados decorrem de divergências interpretativas de natureza documental, que vêm sendo esclarecidas nas instâncias próprias."</w:t>
      </w:r>
    </w:p>
    <w:p>
      <w:pPr>
        <w:spacing w:after="120" w:before="260"/>
      </w:pPr>
      <w:r>
        <w:rPr>
          <w:rFonts w:ascii="Calibri" w:cs="Calibri" w:eastAsia="Calibri" w:hAnsi="Calibri"/>
          <w:b/>
          <w:bCs/>
          <w:sz w:val="23"/>
          <w:szCs w:val="23"/>
        </w:rPr>
        <w:t xml:space="preserve">8. Grupo controlador</w:t>
      </w:r>
    </w:p>
    <w:p>
      <w:pPr>
        <w:spacing w:after="110" w:line="270"/>
        <w:jc w:val="both"/>
      </w:pPr>
      <w:r>
        <w:rPr>
          <w:rFonts w:ascii="Calibri" w:cs="Calibri" w:eastAsia="Calibri" w:hAnsi="Calibri"/>
          <w:b w:val="false"/>
          <w:bCs w:val="false"/>
          <w:i w:val="false"/>
          <w:iCs w:val="false"/>
          <w:sz w:val="20"/>
          <w:szCs w:val="20"/>
        </w:rPr>
        <w:t xml:space="preserve">Participações Aurora Florestal S.A., CNPJ 22.815.604/0001-45, sediada em São Paulo (SP), detém participação em ao menos quatro sociedades do setor de base florestal. Entre elas consta a Aurora Compensados Ltda., autuada pelo órgão ambiental estadual do Pará em 2023 por operação de pátio sem licença, com multa quitada e processo encerrado. Não foi localizado relatório de sustentabilidade, política socioambiental publicada ou canal de denúncias do grupo.</w:t>
      </w:r>
    </w:p>
    <w:p>
      <w:pPr>
        <w:spacing w:after="120" w:before="260"/>
      </w:pPr>
      <w:r>
        <w:rPr>
          <w:rFonts w:ascii="Calibri" w:cs="Calibri" w:eastAsia="Calibri" w:hAnsi="Calibri"/>
          <w:b/>
          <w:bCs/>
          <w:sz w:val="23"/>
          <w:szCs w:val="23"/>
        </w:rPr>
        <w:t xml:space="preserve">9. O que não foi localizado</w:t>
      </w:r>
    </w:p>
    <w:p>
      <w:pPr>
        <w:spacing w:after="110" w:line="270"/>
        <w:jc w:val="both"/>
      </w:pPr>
      <w:r>
        <w:rPr>
          <w:rFonts w:ascii="Calibri" w:cs="Calibri" w:eastAsia="Calibri" w:hAnsi="Calibri"/>
          <w:b w:val="false"/>
          <w:bCs w:val="false"/>
          <w:i w:val="false"/>
          <w:iCs w:val="false"/>
          <w:sz w:val="20"/>
          <w:szCs w:val="20"/>
        </w:rPr>
        <w:t xml:space="preserve">Relação dos fornecedores terceirizados. Documento de origem florestal por remessa. Cadastro ambiental rural das áreas de manejo declaradas. Política de compras com critérios socioambientais. Auditoria independente de cadeia de custódia. Certificação FSC ativa. Registro público do Pacto Nacional pela Madeira Responsável. Demonstrações financeiras auditadas do controlador.</w:t>
      </w:r>
    </w:p>
    <w:sectPr>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4"/>
        <w:szCs w:val="14"/>
      </w:rPr>
      <w:t xml:space="preserve">Documento fictício, produzido para uso didático — Inteli Educação Executiva. Empresas, pessoas, processos e autuações não existem.   </w:t>
    </w:r>
    <w:r>
      <w:rPr>
        <w:rFonts w:ascii="Calibri" w:cs="Calibri" w:eastAsia="Calibri" w:hAnsi="Calibri"/>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2026-09-21T19:18:09.615Z</dcterms:created>
  <dcterms:modified xsi:type="dcterms:W3CDTF">2026-09-21T19:18:09.615Z</dcterms:modified>
</cp:coreProperties>
</file>

<file path=docProps/custom.xml><?xml version="1.0" encoding="utf-8"?>
<Properties xmlns="http://schemas.openxmlformats.org/officeDocument/2006/custom-properties" xmlns:vt="http://schemas.openxmlformats.org/officeDocument/2006/docPropsVTypes"/>
</file>