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163ca7d43f553991a5e67ce6c048f626e1adae8"/>
    <w:p>
      <w:pPr>
        <w:pStyle w:val="Heading1"/>
      </w:pPr>
      <w:r>
        <w:t xml:space="preserve">Política de avaliação de propostas de projeto da Distribuidora Ômega</w:t>
      </w:r>
    </w:p>
    <w:p>
      <w:pPr>
        <w:pStyle w:val="BlockText"/>
      </w:pPr>
      <w:r>
        <w:rPr>
          <w:b/>
          <w:bCs/>
          <w:i/>
          <w:iCs/>
        </w:rPr>
        <w:t xml:space="preserve">Documento fictício, preparado para exercício em sala.</w:t>
      </w:r>
      <w:r>
        <w:rPr>
          <w:i/>
          <w:iCs/>
        </w:rPr>
        <w:t xml:space="preserve"> </w:t>
      </w:r>
      <w:r>
        <w:rPr>
          <w:i/>
          <w:iCs/>
        </w:rPr>
        <w:t xml:space="preserve">A política abaixo foi escrita para o treinamento e serve de documento de conhecimento do workflow de análise de propostas. Ela não reproduz norma de nenhuma empresa real.</w:t>
      </w:r>
    </w:p>
    <w:bookmarkStart w:id="9" w:name="finalidade"/>
    <w:p>
      <w:pPr>
        <w:pStyle w:val="Heading2"/>
      </w:pPr>
      <w:r>
        <w:t xml:space="preserve">1. Finalidade</w:t>
      </w:r>
    </w:p>
    <w:p>
      <w:pPr>
        <w:pStyle w:val="FirstParagraph"/>
      </w:pPr>
      <w:r>
        <w:t xml:space="preserve">Esta política define o conteúdo mínimo de uma proposta de projeto de investimento, os critérios que o escritório de projetos verifica antes de a proposta seguir para a instância de aprovação e o formato do parecer técnico que a acompanha.</w:t>
      </w:r>
    </w:p>
    <w:bookmarkEnd w:id="9"/>
    <w:bookmarkStart w:id="10" w:name="instâncias-de-aprovação"/>
    <w:p>
      <w:pPr>
        <w:pStyle w:val="Heading2"/>
      </w:pPr>
      <w:r>
        <w:t xml:space="preserve">2. Instâncias de aprovação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 do investimento (CAPEX)</w:t>
            </w:r>
          </w:p>
        </w:tc>
        <w:tc>
          <w:tcPr/>
          <w:p>
            <w:pPr>
              <w:pStyle w:val="Compact"/>
            </w:pPr>
            <w:r>
              <w:t xml:space="preserve">Instância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Até R$ 10 milhões</w:t>
            </w:r>
          </w:p>
        </w:tc>
        <w:tc>
          <w:tcPr/>
          <w:p>
            <w:pPr>
              <w:pStyle w:val="Compact"/>
            </w:pPr>
            <w:r>
              <w:t xml:space="preserve">Diretoria Executiva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Acima de R$ 10 milhões</w:t>
            </w:r>
          </w:p>
        </w:tc>
        <w:tc>
          <w:tcPr/>
          <w:p>
            <w:pPr>
              <w:pStyle w:val="Compact"/>
            </w:pPr>
            <w:r>
              <w:t xml:space="preserve">Conselho de Administração, com parecer do escritório de projetos</w:t>
            </w:r>
          </w:p>
        </w:tc>
      </w:tr>
    </w:tbl>
    <w:bookmarkEnd w:id="10"/>
    <w:bookmarkStart w:id="11" w:name="conteúdo-obrigatório-da-proposta"/>
    <w:p>
      <w:pPr>
        <w:pStyle w:val="Heading2"/>
      </w:pPr>
      <w:r>
        <w:t xml:space="preserve">3. Conteúdo obrigatório da proposta</w:t>
      </w:r>
    </w:p>
    <w:p>
      <w:pPr>
        <w:pStyle w:val="Compact"/>
        <w:numPr>
          <w:ilvl w:val="0"/>
          <w:numId w:val="1001"/>
        </w:numPr>
      </w:pPr>
      <w:r>
        <w:t xml:space="preserve">Problema, com o indicador atual, o período de medição, a fonte e a base de cálculo.</w:t>
      </w:r>
    </w:p>
    <w:p>
      <w:pPr>
        <w:pStyle w:val="Compact"/>
        <w:numPr>
          <w:ilvl w:val="0"/>
          <w:numId w:val="1001"/>
        </w:numPr>
      </w:pPr>
      <w:r>
        <w:t xml:space="preserve">Objetivo e meta, com a origem da meta. Resultado de outra empresa só pode servir de meta se a fonte informar período, linha de base e definição da métrica.</w:t>
      </w:r>
    </w:p>
    <w:p>
      <w:pPr>
        <w:pStyle w:val="Compact"/>
        <w:numPr>
          <w:ilvl w:val="0"/>
          <w:numId w:val="1001"/>
        </w:numPr>
      </w:pPr>
      <w:r>
        <w:t xml:space="preserve">Escopo, com a capacidade operacional necessária para executá-lo.</w:t>
      </w:r>
    </w:p>
    <w:p>
      <w:pPr>
        <w:pStyle w:val="Compact"/>
        <w:numPr>
          <w:ilvl w:val="0"/>
          <w:numId w:val="1001"/>
        </w:numPr>
      </w:pPr>
      <w:r>
        <w:t xml:space="preserve">CAPEX e OPEX, separados por item.</w:t>
      </w:r>
    </w:p>
    <w:p>
      <w:pPr>
        <w:pStyle w:val="Compact"/>
        <w:numPr>
          <w:ilvl w:val="0"/>
          <w:numId w:val="1001"/>
        </w:numPr>
      </w:pPr>
      <w:r>
        <w:t xml:space="preserve">Benefícios, cada um com memória de cálculo, sem contar o mesmo efeito mais de uma vez.</w:t>
      </w:r>
    </w:p>
    <w:p>
      <w:pPr>
        <w:pStyle w:val="Compact"/>
        <w:numPr>
          <w:ilvl w:val="0"/>
          <w:numId w:val="1001"/>
        </w:numPr>
      </w:pPr>
      <w:r>
        <w:t xml:space="preserve">Retorno, calculado sobre o fluxo líquido (benefícios menos OPEX) e a partir da data em que o benefício começa a ocorrer segundo o cronograma.</w:t>
      </w:r>
    </w:p>
    <w:p>
      <w:pPr>
        <w:pStyle w:val="Compact"/>
        <w:numPr>
          <w:ilvl w:val="0"/>
          <w:numId w:val="1001"/>
        </w:numPr>
      </w:pPr>
      <w:r>
        <w:t xml:space="preserve">Cronograma compatível com a política de suprimentos, que prevê 120 dias para contratações acima de R$ 5 milhões.</w:t>
      </w:r>
    </w:p>
    <w:p>
      <w:pPr>
        <w:pStyle w:val="Compact"/>
        <w:numPr>
          <w:ilvl w:val="0"/>
          <w:numId w:val="1001"/>
        </w:numPr>
      </w:pPr>
      <w:r>
        <w:t xml:space="preserve">Matriz de riscos que cubra, no mínimo, risco de execução, risco regulatório, risco de tratamento de dados pessoais (LGPD) e risco de dependência de fornecedor.</w:t>
      </w:r>
    </w:p>
    <w:p>
      <w:pPr>
        <w:pStyle w:val="Compact"/>
        <w:numPr>
          <w:ilvl w:val="0"/>
          <w:numId w:val="1001"/>
        </w:numPr>
      </w:pPr>
      <w:r>
        <w:t xml:space="preserve">Indicador de sucesso que meça o resultado de negócio, com linha de base e meta, e não apenas o desempenho da ferramenta.</w:t>
      </w:r>
    </w:p>
    <w:p>
      <w:pPr>
        <w:pStyle w:val="Compact"/>
        <w:numPr>
          <w:ilvl w:val="0"/>
          <w:numId w:val="1001"/>
        </w:numPr>
      </w:pPr>
      <w:r>
        <w:t xml:space="preserve">Deliberação solicitada, com as alternativas consideradas.</w:t>
      </w:r>
    </w:p>
    <w:bookmarkEnd w:id="11"/>
    <w:bookmarkStart w:id="12" w:name="critérios-econômicos"/>
    <w:p>
      <w:pPr>
        <w:pStyle w:val="Heading2"/>
      </w:pPr>
      <w:r>
        <w:t xml:space="preserve">4. Critérios econômicos</w:t>
      </w:r>
    </w:p>
    <w:p>
      <w:pPr>
        <w:pStyle w:val="Compact"/>
        <w:numPr>
          <w:ilvl w:val="0"/>
          <w:numId w:val="1002"/>
        </w:numPr>
      </w:pPr>
      <w:r>
        <w:t xml:space="preserve">Payback simples máximo de 8 anos para projetos de rede e de 4 anos para projetos de sistemas.</w:t>
      </w:r>
    </w:p>
    <w:p>
      <w:pPr>
        <w:pStyle w:val="Compact"/>
        <w:numPr>
          <w:ilvl w:val="0"/>
          <w:numId w:val="1002"/>
        </w:numPr>
      </w:pPr>
      <w:r>
        <w:t xml:space="preserve">Taxa mínima de atratividade de 11% ao ano para o cálculo do valor presente líquido.</w:t>
      </w:r>
    </w:p>
    <w:p>
      <w:pPr>
        <w:pStyle w:val="Compact"/>
        <w:numPr>
          <w:ilvl w:val="0"/>
          <w:numId w:val="1002"/>
        </w:numPr>
      </w:pPr>
      <w:r>
        <w:t xml:space="preserve">Projetos com investimento acima de R$ 50 milhões devem ser divididos em fases, com ponto de decisão (gate) entre elas.</w:t>
      </w:r>
    </w:p>
    <w:bookmarkEnd w:id="12"/>
    <w:bookmarkStart w:id="13" w:name="X648847c6e5295deafd86461cc324a39385948d3"/>
    <w:p>
      <w:pPr>
        <w:pStyle w:val="Heading2"/>
      </w:pPr>
      <w:r>
        <w:t xml:space="preserve">5. Parecer técnico do escritório de projetos</w:t>
      </w:r>
    </w:p>
    <w:p>
      <w:pPr>
        <w:pStyle w:val="FirstParagraph"/>
      </w:pPr>
      <w:r>
        <w:t xml:space="preserve">O parecer verifica a proposta contra os itens 3 e 4, aponta inconsistências e lacunas com a seção em que aparecem e formula as perguntas que a área proponente deve responder. O parecer não recomenda aprovar, rejeitar ou priorizar a proposta, porque essa decisão cabe à instância de aprovação.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  <w:shd w:val="clear" w:color="auto" w:fill="EDEDED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2026-10-08T21:56:29Z</dcterms:created>
  <dcterms:modified xsi:type="dcterms:W3CDTF">2026-10-08T21:56:29Z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