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artões-de-papel-da-reunião-do-conselho"/>
    <w:p>
      <w:pPr>
        <w:pStyle w:val="Heading1"/>
      </w:pPr>
      <w:r>
        <w:t xml:space="preserve">Cartões de papel da reunião do conselho</w:t>
      </w:r>
    </w:p>
    <w:p>
      <w:pPr>
        <w:pStyle w:val="BlockText"/>
      </w:pPr>
      <w:r>
        <w:rPr>
          <w:b/>
          <w:bCs/>
          <w:i/>
          <w:iCs/>
        </w:rPr>
        <w:t xml:space="preserve">Simulação preparada para exercício em sala.</w:t>
      </w:r>
      <w:r>
        <w:rPr>
          <w:i/>
          <w:iCs/>
        </w:rPr>
        <w:t xml:space="preserve"> </w:t>
      </w:r>
      <w:r>
        <w:rPr>
          <w:i/>
          <w:iCs/>
        </w:rPr>
        <w:t xml:space="preserve">Os papéis abaixo não representam a composição nem as posições de nenhum conselho real. A posição de cada conselheiro, a favor ou contra a proposta, é atribuída pelo professor no início da simulação.</w:t>
      </w:r>
    </w:p>
    <w:p>
      <w:pPr>
        <w:pStyle w:val="FirstParagraph"/>
      </w:pPr>
      <w:r>
        <w:t xml:space="preserve">Cada participante recebe um cartão. O diretor proponente defende a proposta e o presidente conduz a reunião. Os oito conselheiros examinam a proposta pela perspectiva do seu cartão e sustentam a posição atribuída com argumentos tirados da própria proposta e do parecer gerado pelo workflow. Argumento sem referência a uma seção da proposta ou a um achado do parecer não é considerado na deliberação.</w:t>
      </w:r>
    </w:p>
    <w:bookmarkStart w:id="9" w:name="diretora-proponente"/>
    <w:p>
      <w:pPr>
        <w:pStyle w:val="Heading2"/>
      </w:pPr>
      <w:r>
        <w:t xml:space="preserve">Diretor(a) proponente</w:t>
      </w:r>
    </w:p>
    <w:p>
      <w:pPr>
        <w:pStyle w:val="FirstParagraph"/>
      </w:pPr>
      <w:r>
        <w:t xml:space="preserve">Apresenta a proposta em até quatro minutos e responde às perguntas na réplica. Deve conhecer o resultado do piloto, a divisão em fases e o cenário regulatório adotado, e reconhecer as fragilidades que o parecer apontar, propondo como tratá-las.</w:t>
      </w:r>
    </w:p>
    <w:bookmarkEnd w:id="9"/>
    <w:bookmarkStart w:id="10" w:name="presidente-do-conselho"/>
    <w:p>
      <w:pPr>
        <w:pStyle w:val="Heading2"/>
      </w:pPr>
      <w:r>
        <w:t xml:space="preserve">Presidente do conselho</w:t>
      </w:r>
    </w:p>
    <w:p>
      <w:pPr>
        <w:pStyle w:val="FirstParagraph"/>
      </w:pPr>
      <w:r>
        <w:t xml:space="preserve">Abre a reunião, controla o tempo de cada manifestação, garante que todos os conselheiros falem, chama a votação e anuncia a deliberação. Vota apenas em caso de empate.</w:t>
      </w:r>
    </w:p>
    <w:bookmarkEnd w:id="10"/>
    <w:bookmarkStart w:id="11" w:name="conselheiroa-1-finanças-e-retorno"/>
    <w:p>
      <w:pPr>
        <w:pStyle w:val="Heading2"/>
      </w:pPr>
      <w:r>
        <w:t xml:space="preserve">Conselheiro(a) 1 · Finanças e retorno</w:t>
      </w:r>
    </w:p>
    <w:p>
      <w:pPr>
        <w:pStyle w:val="FirstParagraph"/>
      </w:pPr>
      <w:r>
        <w:t xml:space="preserve">Examina o fluxo líquido, o payback, o valor presente líquido e a sensibilidade do retorno às premissas de benefício. Pergunta típica: o retorno se mantém se a redução de perdas for menor que a do piloto?</w:t>
      </w:r>
    </w:p>
    <w:bookmarkEnd w:id="11"/>
    <w:bookmarkStart w:id="12" w:name="conselheiroa-2-regulação-e-tarifa"/>
    <w:p>
      <w:pPr>
        <w:pStyle w:val="Heading2"/>
      </w:pPr>
      <w:r>
        <w:t xml:space="preserve">Conselheiro(a) 2 · Regulação e tarifa</w:t>
      </w:r>
    </w:p>
    <w:p>
      <w:pPr>
        <w:pStyle w:val="FirstParagraph"/>
      </w:pPr>
      <w:r>
        <w:t xml:space="preserve">Examina a dependência do reconhecimento do investimento na revisão tarifária e o cenário de 70% adotado como base. Pergunta típica: o que acontece com o projeto se o reconhecimento ficar abaixo de 50%?</w:t>
      </w:r>
    </w:p>
    <w:bookmarkEnd w:id="12"/>
    <w:bookmarkStart w:id="13" w:name="conselheiroa-3-operação-e-engenharia"/>
    <w:p>
      <w:pPr>
        <w:pStyle w:val="Heading2"/>
      </w:pPr>
      <w:r>
        <w:t xml:space="preserve">Conselheiro(a) 3 · Operação e engenharia</w:t>
      </w:r>
    </w:p>
    <w:p>
      <w:pPr>
        <w:pStyle w:val="FirstParagraph"/>
      </w:pPr>
      <w:r>
        <w:t xml:space="preserve">Examina a capacidade de instalação, a integração com os sistemas de medição e faturamento e a detecção de faltas. Pergunta típica: a equipe e os contratos dão conta de 75 mil instalações em doze meses?</w:t>
      </w:r>
    </w:p>
    <w:bookmarkEnd w:id="13"/>
    <w:bookmarkStart w:id="14" w:name="conselheiroa-4-riscos-e-cibersegurança"/>
    <w:p>
      <w:pPr>
        <w:pStyle w:val="Heading2"/>
      </w:pPr>
      <w:r>
        <w:t xml:space="preserve">Conselheiro(a) 4 · Riscos e cibersegurança</w:t>
      </w:r>
    </w:p>
    <w:p>
      <w:pPr>
        <w:pStyle w:val="FirstParagraph"/>
      </w:pPr>
      <w:r>
        <w:t xml:space="preserve">Examina a dependência de um único fornecedor homologado e a exposição da rede de medidores a ataque. Pergunta típica: requisitos no edital bastam como mitigação de um risco de impacto alto?</w:t>
      </w:r>
    </w:p>
    <w:bookmarkEnd w:id="14"/>
    <w:bookmarkStart w:id="15" w:name="conselheiroa-5-clientes-e-reputação"/>
    <w:p>
      <w:pPr>
        <w:pStyle w:val="Heading2"/>
      </w:pPr>
      <w:r>
        <w:t xml:space="preserve">Conselheiro(a) 5 · Clientes e reputação</w:t>
      </w:r>
    </w:p>
    <w:p>
      <w:pPr>
        <w:pStyle w:val="FirstParagraph"/>
      </w:pPr>
      <w:r>
        <w:t xml:space="preserve">Examina o efeito sobre o consumidor: religação mais rápida, corte remoto, contestação de faturamento e percepção de tarifa. Pergunta típica: como o cliente será informado da troca do medidor e do corte remoto?</w:t>
      </w:r>
    </w:p>
    <w:bookmarkEnd w:id="15"/>
    <w:bookmarkStart w:id="16" w:name="conselheiroa-6-dados-e-lgpd"/>
    <w:p>
      <w:pPr>
        <w:pStyle w:val="Heading2"/>
      </w:pPr>
      <w:r>
        <w:t xml:space="preserve">Conselheiro(a) 6 · Dados e LGPD</w:t>
      </w:r>
    </w:p>
    <w:p>
      <w:pPr>
        <w:pStyle w:val="FirstParagraph"/>
      </w:pPr>
      <w:r>
        <w:t xml:space="preserve">Examina o tratamento do consumo horário, que é dado pessoal, e a ausência desse risco na matriz. Pergunta típica: qual a base legal, quem acessa o dado horário e por quanto tempo ele é guardado?</w:t>
      </w:r>
    </w:p>
    <w:bookmarkEnd w:id="16"/>
    <w:bookmarkStart w:id="17" w:name="conselheiroa-7-estratégia-e-portfólio"/>
    <w:p>
      <w:pPr>
        <w:pStyle w:val="Heading2"/>
      </w:pPr>
      <w:r>
        <w:t xml:space="preserve">Conselheiro(a) 7 · Estratégia e portfólio</w:t>
      </w:r>
    </w:p>
    <w:p>
      <w:pPr>
        <w:pStyle w:val="FirstParagraph"/>
      </w:pPr>
      <w:r>
        <w:t xml:space="preserve">Examina o custo de oportunidade diante de outras propostas, como a de IA contra perdas, e as alternativas listadas na seção 10. Pergunta típica: por que medição inteligente e não uma solução de menor investimento para o mesmo problema de perdas?</w:t>
      </w:r>
    </w:p>
    <w:bookmarkEnd w:id="17"/>
    <w:bookmarkStart w:id="18" w:name="X9ffff912eb3c2c4794d198972e013c04b7951b9"/>
    <w:p>
      <w:pPr>
        <w:pStyle w:val="Heading2"/>
      </w:pPr>
      <w:r>
        <w:t xml:space="preserve">Conselheiro(a) 8 · Sustentabilidade e longo prazo</w:t>
      </w:r>
    </w:p>
    <w:p>
      <w:pPr>
        <w:pStyle w:val="FirstParagraph"/>
      </w:pPr>
      <w:r>
        <w:t xml:space="preserve">Examina a vida útil dos medidores, a obsolescência tecnológica e a contribuição do programa para a eficiência da rede. Pergunta típica: o resultado de um piloto em um único município se repete nas demais áreas da fase 1?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2026-10-08T21:56:29Z</dcterms:created>
  <dcterms:modified xsi:type="dcterms:W3CDTF">2026-10-08T21:56:29Z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