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16ca12deadb419e8285fc083b226ecd4632a83f"/>
    <w:p>
      <w:pPr>
        <w:pStyle w:val="Heading1"/>
      </w:pPr>
      <w:r>
        <w:t xml:space="preserve">Proposta de projeto PRJ-2026-021: programa de medição inteligente, fase 1</w:t>
      </w:r>
    </w:p>
    <w:p>
      <w:pPr>
        <w:pStyle w:val="BlockText"/>
      </w:pPr>
      <w:r>
        <w:rPr>
          <w:b/>
          <w:bCs/>
          <w:i/>
          <w:iCs/>
        </w:rPr>
        <w:t xml:space="preserve">Documento fictício, preparado para exercício em sala.</w:t>
      </w:r>
      <w:r>
        <w:rPr>
          <w:i/>
          <w:iCs/>
        </w:rPr>
        <w:t xml:space="preserve"> </w:t>
      </w:r>
      <w:r>
        <w:rPr>
          <w:i/>
          <w:iCs/>
        </w:rPr>
        <w:t xml:space="preserve">A Distribuidora Ômega, os números, o piloto e os fornecedores citados foram inventados para o treinamento e não descrevem nenhuma empresa real.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Área proponente</w:t>
            </w:r>
          </w:p>
        </w:tc>
        <w:tc>
          <w:tcPr/>
          <w:p>
            <w:pPr>
              <w:pStyle w:val="Compact"/>
            </w:pPr>
            <w:r>
              <w:t xml:space="preserve">Diretoria de Operações, Gerência de Medição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Patrocinador</w:t>
            </w:r>
          </w:p>
        </w:tc>
        <w:tc>
          <w:tcPr/>
          <w:p>
            <w:pPr>
              <w:pStyle w:val="Compact"/>
            </w:pPr>
            <w:r>
              <w:t xml:space="preserve">Diretor de Operações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da proposta</w:t>
            </w:r>
          </w:p>
        </w:tc>
        <w:tc>
          <w:tcPr/>
          <w:p>
            <w:pPr>
              <w:pStyle w:val="Compact"/>
            </w:pPr>
            <w:r>
              <w:t xml:space="preserve">01/10/2026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Instância de aprovação</w:t>
            </w:r>
          </w:p>
        </w:tc>
        <w:tc>
          <w:tcPr/>
          <w:p>
            <w:pPr>
              <w:pStyle w:val="Compact"/>
            </w:pPr>
            <w:r>
              <w:t xml:space="preserve">Conselho de Administração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Deliberação solicitada</w:t>
            </w:r>
          </w:p>
        </w:tc>
        <w:tc>
          <w:tcPr/>
          <w:p>
            <w:pPr>
              <w:pStyle w:val="Compact"/>
            </w:pPr>
            <w:r>
              <w:t xml:space="preserve">Aprovar a fase 1, com R$ 70,9 milhões, e o ponto de decisão para as fases seguintes</w:t>
            </w:r>
          </w:p>
        </w:tc>
      </w:tr>
    </w:tbl>
    <w:bookmarkStart w:id="9" w:name="problema"/>
    <w:p>
      <w:pPr>
        <w:pStyle w:val="Heading2"/>
      </w:pPr>
      <w:r>
        <w:t xml:space="preserve">1. Problema</w:t>
      </w:r>
    </w:p>
    <w:p>
      <w:pPr>
        <w:pStyle w:val="FirstParagraph"/>
      </w:pPr>
      <w:r>
        <w:t xml:space="preserve">A leitura, o corte e a religação das unidades consumidoras de baixa tensão dependem de visita de campo. O custo médio de cada leitura é de R$ 7,20, e o tempo médio entre o pagamento de uma conta em atraso e a religação é de 19 horas. Nas áreas urbanas com maior perda, as perdas não técnicas foram de 11,0% do mercado de baixa tensão em 2025, medidas pelo balanço energético dos alimentadores dessas áreas, que somam 2.100 GWh por ano.</w:t>
      </w:r>
    </w:p>
    <w:bookmarkEnd w:id="9"/>
    <w:bookmarkStart w:id="10" w:name="proposta"/>
    <w:p>
      <w:pPr>
        <w:pStyle w:val="Heading2"/>
      </w:pPr>
      <w:r>
        <w:t xml:space="preserve">2. Proposta</w:t>
      </w:r>
    </w:p>
    <w:p>
      <w:pPr>
        <w:pStyle w:val="FirstParagraph"/>
      </w:pPr>
      <w:r>
        <w:t xml:space="preserve">Substituir 300 mil medidores convencionais por medidores inteligentes, com comunicação remota, nas áreas urbanas de maior perda e de maior custo de leitura, em quatro fases de 75 mil medidores ao longo de quatro anos. Os medidores permitem leitura, corte e religação remotos, alarme de violação e registro de consumo horário. A fase 1 cobre 75 mil medidores e implanta a plataforma central de gestão.</w:t>
      </w:r>
    </w:p>
    <w:bookmarkEnd w:id="10"/>
    <w:bookmarkStart w:id="11" w:name="resultado-do-piloto"/>
    <w:p>
      <w:pPr>
        <w:pStyle w:val="Heading2"/>
      </w:pPr>
      <w:r>
        <w:t xml:space="preserve">3. Resultado do piloto</w:t>
      </w:r>
    </w:p>
    <w:p>
      <w:pPr>
        <w:pStyle w:val="FirstParagraph"/>
      </w:pPr>
      <w:r>
        <w:t xml:space="preserve">Entre janeiro de 2024 e junho de 2025, a Ômega instalou 12 mil medidores inteligentes em uma área de um único município. Nesse período, as perdas não técnicas da área caíram de 11,8% para 8,1%, medidas pelo balanço energético do alimentador, e o tempo médio de religação caiu de 19 horas para 2 horas. A área do piloto tem perfil urbano e residencial.</w:t>
      </w:r>
    </w:p>
    <w:bookmarkEnd w:id="11"/>
    <w:bookmarkStart w:id="12" w:name="investimento-e-custos"/>
    <w:p>
      <w:pPr>
        <w:pStyle w:val="Heading2"/>
      </w:pPr>
      <w:r>
        <w:t xml:space="preserve">4. Investimento e custos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Fase 1</w:t>
            </w:r>
          </w:p>
        </w:tc>
        <w:tc>
          <w:tcPr/>
          <w:p>
            <w:pPr>
              <w:pStyle w:val="Compact"/>
            </w:pPr>
            <w:r>
              <w:t xml:space="preserve">Programa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Medidores, comunicação e instalação (R$ 885 por medidor)</w:t>
            </w:r>
          </w:p>
        </w:tc>
        <w:tc>
          <w:tcPr/>
          <w:p>
            <w:pPr>
              <w:pStyle w:val="Compact"/>
            </w:pPr>
            <w:r>
              <w:t xml:space="preserve">R$ 66,4 milhões</w:t>
            </w:r>
          </w:p>
        </w:tc>
        <w:tc>
          <w:tcPr/>
          <w:p>
            <w:pPr>
              <w:pStyle w:val="Compact"/>
            </w:pPr>
            <w:r>
              <w:t xml:space="preserve">R$ 265,5 milhões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Plataforma central de gestão</w:t>
            </w:r>
          </w:p>
        </w:tc>
        <w:tc>
          <w:tcPr/>
          <w:p>
            <w:pPr>
              <w:pStyle w:val="Compact"/>
            </w:pPr>
            <w:r>
              <w:t xml:space="preserve">R$ 4,5 milhões</w:t>
            </w:r>
          </w:p>
        </w:tc>
        <w:tc>
          <w:tcPr/>
          <w:p>
            <w:pPr>
              <w:pStyle w:val="Compact"/>
            </w:pPr>
            <w:r>
              <w:t xml:space="preserve">R$ 4,5 milhões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de CAPEX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R$ 70,9 milhões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R$ 270,0 milhões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OPEX anual em regime (telecomunicação e plataforma)</w:t>
            </w:r>
          </w:p>
        </w:tc>
        <w:tc>
          <w:tcPr/>
          <w:p>
            <w:pPr>
              <w:pStyle w:val="Compact"/>
            </w:pPr>
            <w:r>
              <w:t xml:space="preserve">R$ 3,0 milhões</w:t>
            </w:r>
          </w:p>
        </w:tc>
        <w:tc>
          <w:tcPr/>
          <w:p>
            <w:pPr>
              <w:pStyle w:val="Compact"/>
            </w:pPr>
            <w:r>
              <w:t xml:space="preserve">R$ 12,0 milhões</w:t>
            </w:r>
          </w:p>
        </w:tc>
      </w:tr>
    </w:tbl>
    <w:bookmarkEnd w:id="12"/>
    <w:bookmarkStart w:id="13" w:name="X46b9a01e1eabd39f42ec86980cdb422dbff887e"/>
    <w:p>
      <w:pPr>
        <w:pStyle w:val="Heading2"/>
      </w:pPr>
      <w:r>
        <w:t xml:space="preserve">5. Benefícios em regime, com o programa completo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Benefício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</w:pPr>
            <w:r>
              <w:t xml:space="preserve">Valor 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Leitura, corte e religação remotos</w:t>
            </w:r>
          </w:p>
        </w:tc>
        <w:tc>
          <w:tcPr/>
          <w:p>
            <w:pPr>
              <w:pStyle w:val="Compact"/>
            </w:pPr>
            <w:r>
              <w:t xml:space="preserve">300 mil leituras por mês a R$ 7,20</w:t>
            </w:r>
          </w:p>
        </w:tc>
        <w:tc>
          <w:tcPr/>
          <w:p>
            <w:pPr>
              <w:pStyle w:val="Compact"/>
            </w:pPr>
            <w:r>
              <w:t xml:space="preserve">R$ 25,9 milhões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Redução de perdas não técnicas</w:t>
            </w:r>
          </w:p>
        </w:tc>
        <w:tc>
          <w:tcPr/>
          <w:p>
            <w:pPr>
              <w:pStyle w:val="Compact"/>
            </w:pPr>
            <w:r>
              <w:t xml:space="preserve">De 11,0% para 7,5% em 2.100 GWh, a R$ 300 por MWh</w:t>
            </w:r>
          </w:p>
        </w:tc>
        <w:tc>
          <w:tcPr/>
          <w:p>
            <w:pPr>
              <w:pStyle w:val="Compact"/>
            </w:pPr>
            <w:r>
              <w:t xml:space="preserve">R$ 22,1 milhões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R$ 48,0 milhões</w:t>
            </w:r>
          </w:p>
        </w:tc>
      </w:tr>
    </w:tbl>
    <w:p>
      <w:pPr>
        <w:pStyle w:val="BodyText"/>
      </w:pPr>
      <w:r>
        <w:t xml:space="preserve">A redução de perdas adotada (3,5 pontos percentuais) é inferior à observada no piloto (3,7 pontos). A melhoria na detecção de faltas, com efeito esperado em DEC e FEC, não foi monetizada.</w:t>
      </w:r>
    </w:p>
    <w:bookmarkEnd w:id="13"/>
    <w:bookmarkStart w:id="14" w:name="retorno"/>
    <w:p>
      <w:pPr>
        <w:pStyle w:val="Heading2"/>
      </w:pPr>
      <w:r>
        <w:t xml:space="preserve">6. Retorno</w:t>
      </w:r>
    </w:p>
    <w:p>
      <w:pPr>
        <w:pStyle w:val="FirstParagraph"/>
      </w:pPr>
      <w:r>
        <w:t xml:space="preserve">O payback simples do programa completo é de 7,5 anos, calculado sobre o fluxo líquido de R$ 36,0 milhões por ano em regime. A vida útil dos medidores é de 13 anos. Sem reconhecimento do investimento na tarifa, o valor presente líquido à taxa de 11% ao ano é de R$ 27 milhões negativos. Com reconhecimento de 70% do investimento na base de remuneração regulatória, cenário adotado como base, o valor presente líquido é de R$ 41 milhões. O reconhecimento depende da avaliação da ANEEL na próxima revisão tarifária.</w:t>
      </w:r>
    </w:p>
    <w:bookmarkEnd w:id="14"/>
    <w:bookmarkStart w:id="15" w:name="cronograma"/>
    <w:p>
      <w:pPr>
        <w:pStyle w:val="Heading2"/>
      </w:pPr>
      <w:r>
        <w:t xml:space="preserve">7. Cronograma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Contratação de medidores e plataforma</w:t>
            </w:r>
          </w:p>
        </w:tc>
        <w:tc>
          <w:tcPr/>
          <w:p>
            <w:pPr>
              <w:pStyle w:val="Compact"/>
            </w:pPr>
            <w:r>
              <w:t xml:space="preserve">120 dias após a aprovação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Instalação da fase 1</w:t>
            </w:r>
          </w:p>
        </w:tc>
        <w:tc>
          <w:tcPr/>
          <w:p>
            <w:pPr>
              <w:pStyle w:val="Compact"/>
            </w:pPr>
            <w:r>
              <w:t xml:space="preserve">meses 5 a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Avaliação da fase 1 e ponto de decisão</w:t>
            </w:r>
          </w:p>
        </w:tc>
        <w:tc>
          <w:tcPr/>
          <w:p>
            <w:pPr>
              <w:pStyle w:val="Compact"/>
            </w:pPr>
            <w:r>
              <w:t xml:space="preserve">mês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Fases 2 a 4</w:t>
            </w:r>
          </w:p>
        </w:tc>
        <w:tc>
          <w:tcPr/>
          <w:p>
            <w:pPr>
              <w:pStyle w:val="Compact"/>
            </w:pPr>
            <w:r>
              <w:t xml:space="preserve">anos 2 a 4, se aprovadas no ponto de decisão</w:t>
            </w:r>
          </w:p>
        </w:tc>
      </w:tr>
    </w:tbl>
    <w:bookmarkEnd w:id="15"/>
    <w:bookmarkStart w:id="16" w:name="riscos"/>
    <w:p>
      <w:pPr>
        <w:pStyle w:val="Heading2"/>
      </w:pPr>
      <w:r>
        <w:t xml:space="preserve">8. Riscos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Reconhecimento tarifário inferior a 70%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Interlocução regulatória e divisão em fases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Apenas um fornecedor homologado para a fase 1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Homologar segundo fornecedor até a fase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Ataque cibernético à rede de medidores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Requisitos de segurança no edital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Atraso na instalação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Contrato com metas mensais</w:t>
            </w:r>
          </w:p>
        </w:tc>
      </w:tr>
    </w:tbl>
    <w:bookmarkEnd w:id="16"/>
    <w:bookmarkStart w:id="17" w:name="indicadores-de-sucesso-da-fase-1"/>
    <w:p>
      <w:pPr>
        <w:pStyle w:val="Heading2"/>
      </w:pPr>
      <w:r>
        <w:t xml:space="preserve">9. Indicadores de sucesso da fase 1</w:t>
      </w:r>
    </w:p>
    <w:p>
      <w:pPr>
        <w:pStyle w:val="Compact"/>
        <w:numPr>
          <w:ilvl w:val="0"/>
          <w:numId w:val="1001"/>
        </w:numPr>
      </w:pPr>
      <w:r>
        <w:t xml:space="preserve">Perdas não técnicas nas áreas da fase 1, pelo balanço energético dos alimentadores, de 11,0% para 8,0% em 12 meses após a instalação.</w:t>
      </w:r>
    </w:p>
    <w:p>
      <w:pPr>
        <w:pStyle w:val="Compact"/>
        <w:numPr>
          <w:ilvl w:val="0"/>
          <w:numId w:val="1001"/>
        </w:numPr>
      </w:pPr>
      <w:r>
        <w:t xml:space="preserve">Custo de leitura por unidade nas áreas da fase 1 reduzido em 90%.</w:t>
      </w:r>
    </w:p>
    <w:p>
      <w:pPr>
        <w:pStyle w:val="Compact"/>
        <w:numPr>
          <w:ilvl w:val="0"/>
          <w:numId w:val="1001"/>
        </w:numPr>
      </w:pPr>
      <w:r>
        <w:t xml:space="preserve">Tempo médio de religação abaixo de 4 horas.</w:t>
      </w:r>
    </w:p>
    <w:bookmarkEnd w:id="17"/>
    <w:bookmarkStart w:id="18" w:name="alternativas-consideradas"/>
    <w:p>
      <w:pPr>
        <w:pStyle w:val="Heading2"/>
      </w:pPr>
      <w:r>
        <w:t xml:space="preserve">10. Alternativas consideradas</w:t>
      </w:r>
    </w:p>
    <w:p>
      <w:pPr>
        <w:pStyle w:val="Compact"/>
        <w:numPr>
          <w:ilvl w:val="0"/>
          <w:numId w:val="1002"/>
        </w:numPr>
      </w:pPr>
      <w:r>
        <w:t xml:space="preserve">Manter a leitura convencional e intensificar inspeções, sem investimento em medição.</w:t>
      </w:r>
    </w:p>
    <w:p>
      <w:pPr>
        <w:pStyle w:val="Compact"/>
        <w:numPr>
          <w:ilvl w:val="0"/>
          <w:numId w:val="1002"/>
        </w:numPr>
      </w:pPr>
      <w:r>
        <w:t xml:space="preserve">Instalar medidores apenas em clientes com histórico de irregularidade, com cobertura menor.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pBdr>
        <w:top w:val="single" w:sz="4" w:space="6" w:color="A6A6A6"/>
        <w:left w:val="single" w:sz="4" w:space="6" w:color="A6A6A6"/>
        <w:bottom w:val="single" w:sz="4" w:space="6" w:color="A6A6A6"/>
        <w:right w:val="single" w:sz="4" w:space="6" w:color="A6A6A6"/>
      </w:pBdr>
      <w:shd w:val="clear" w:color="auto" w:fill="EDEDED"/>
    </w:pPr>
    <w:rPr>
      <w:sz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2026-10-08T21:56:29Z</dcterms:created>
  <dcterms:modified xsi:type="dcterms:W3CDTF">2026-10-08T21:56:29Z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