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f339d10d2b2346ff582f7d80de6180b45c5a85"/>
    <w:p>
      <w:pPr>
        <w:pStyle w:val="Heading1"/>
      </w:pPr>
      <w:r>
        <w:t xml:space="preserve">Minuta de proposta de projeto PRJ-2026-014: detecção de irregularidades de medição com IA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 Distribuidora Ômega, os números e as pessoas citadas foram inventados para o treinamento e não descrevem nenhuma empresa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proponente</w:t>
            </w:r>
          </w:p>
        </w:tc>
        <w:tc>
          <w:tcPr/>
          <w:p>
            <w:pPr>
              <w:pStyle w:val="Compact"/>
            </w:pPr>
            <w:r>
              <w:t xml:space="preserve">Diretoria Comercial, Gerência de Recuperação de Receita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Diretor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minuta</w:t>
            </w:r>
          </w:p>
        </w:tc>
        <w:tc>
          <w:tcPr/>
          <w:p>
            <w:pPr>
              <w:pStyle w:val="Compact"/>
            </w:pPr>
            <w:r>
              <w:t xml:space="preserve">22/09/2026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Instância de aprovação</w:t>
            </w:r>
          </w:p>
        </w:tc>
        <w:tc>
          <w:tcPr/>
          <w:p>
            <w:pPr>
              <w:pStyle w:val="Compact"/>
            </w:pPr>
            <w:r>
              <w:t xml:space="preserve">Conselho de Administração (investimento acima de R$ 10 milhões)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Relatório de benchmark de uso de IA em distribuidoras e planilha de indicadores</w:t>
            </w:r>
          </w:p>
        </w:tc>
      </w:tr>
    </w:tbl>
    <w:bookmarkStart w:id="9" w:name="contexto-e-problema"/>
    <w:p>
      <w:pPr>
        <w:pStyle w:val="Heading2"/>
      </w:pPr>
      <w:r>
        <w:t xml:space="preserve">1. Contexto e problema</w:t>
      </w:r>
    </w:p>
    <w:p>
      <w:pPr>
        <w:pStyle w:val="FirstParagraph"/>
      </w:pPr>
      <w:r>
        <w:t xml:space="preserve">As perdas não técnicas da Distribuidora Ômega correspondem hoje a 7,5% do mercado de baixa tensão, que soma 5.000 GWh por ano, o que equivale a 375 GWh por ano de energia entregue e não faturada. O valor de 7,5% é uma estimativa da área comercial. A seleção das unidades a inspecionar é feita hoje por regras fixas de queda de consumo, e apenas 22% das inspeções realizadas encontram irregularidade.</w:t>
      </w:r>
    </w:p>
    <w:bookmarkEnd w:id="9"/>
    <w:bookmarkStart w:id="10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Implantar um modelo de inteligência artificial que priorize as unidades consumidoras com maior probabilidade de irregularidade, de modo a reduzir as perdas não técnicas em 38% em 24 meses. A meta segue o resultado comprovado no mercado pela Distribuidora Beta, que reduziu suas perdas em 38% com solução equivalente, conforme o benchmark anexo. No longo prazo, a Ômega deve alcançar o patamar da Distribuidora Épsilon, referência do setor em perdas não técnicas, com 1,9%.</w:t>
      </w:r>
    </w:p>
    <w:bookmarkEnd w:id="10"/>
    <w:bookmarkStart w:id="11" w:name="escopo"/>
    <w:p>
      <w:pPr>
        <w:pStyle w:val="Heading2"/>
      </w:pPr>
      <w:r>
        <w:t xml:space="preserve">3. Escopo</w:t>
      </w:r>
    </w:p>
    <w:p>
      <w:pPr>
        <w:pStyle w:val="Compact"/>
        <w:numPr>
          <w:ilvl w:val="0"/>
          <w:numId w:val="1001"/>
        </w:numPr>
      </w:pPr>
      <w:r>
        <w:t xml:space="preserve">Contratação de plataforma de ciência de dados e de consultoria especializada.</w:t>
      </w:r>
    </w:p>
    <w:p>
      <w:pPr>
        <w:pStyle w:val="Compact"/>
        <w:numPr>
          <w:ilvl w:val="0"/>
          <w:numId w:val="1001"/>
        </w:numPr>
      </w:pPr>
      <w:r>
        <w:t xml:space="preserve">Integração com o sistema comercial e com o sistema de ordens de serviço.</w:t>
      </w:r>
    </w:p>
    <w:p>
      <w:pPr>
        <w:pStyle w:val="Compact"/>
        <w:numPr>
          <w:ilvl w:val="0"/>
          <w:numId w:val="1001"/>
        </w:numPr>
      </w:pPr>
      <w:r>
        <w:t xml:space="preserve">Desenvolvimento e treinamento do modelo a partir do histórico de consumo de 2,1 milhões de unidades consumidoras dos últimos cinco anos.</w:t>
      </w:r>
    </w:p>
    <w:p>
      <w:pPr>
        <w:pStyle w:val="Compact"/>
        <w:numPr>
          <w:ilvl w:val="0"/>
          <w:numId w:val="1001"/>
        </w:numPr>
      </w:pPr>
      <w:r>
        <w:t xml:space="preserve">Geração mensal de uma lista priorizada de unidades para inspeção. O modelo deve gerar cerca de</w:t>
      </w:r>
    </w:p>
    <w:p>
      <w:pPr>
        <w:pStyle w:val="Compact"/>
        <w:numPr>
          <w:ilvl w:val="0"/>
          <w:numId w:val="1001"/>
        </w:numPr>
      </w:pPr>
      <w:r>
        <w:t xml:space="preserve">40 mil indicações por ano.</w:t>
      </w:r>
    </w:p>
    <w:p>
      <w:pPr>
        <w:pStyle w:val="FirstParagraph"/>
      </w:pPr>
      <w:r>
        <w:t xml:space="preserve">As equipes próprias de inspeção realizam hoje 18 mil inspeções por ano e serão mantidas.</w:t>
      </w:r>
    </w:p>
    <w:bookmarkEnd w:id="11"/>
    <w:bookmarkStart w:id="12" w:name="investimento-e-custos"/>
    <w:p>
      <w:pPr>
        <w:pStyle w:val="Heading2"/>
      </w:pPr>
      <w:r>
        <w:t xml:space="preserve">4. Investimento e custos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Plataforma, licenças e infraestrutura (CAPEX)</w:t>
            </w:r>
          </w:p>
        </w:tc>
        <w:tc>
          <w:tcPr/>
          <w:p>
            <w:pPr>
              <w:pStyle w:val="Compact"/>
            </w:pPr>
            <w:r>
              <w:t xml:space="preserve">R$ 9,5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Consultoria e desenvolvimento do modelo (CAPEX)</w:t>
            </w:r>
          </w:p>
        </w:tc>
        <w:tc>
          <w:tcPr/>
          <w:p>
            <w:pPr>
              <w:pStyle w:val="Compact"/>
            </w:pPr>
            <w:r>
              <w:t xml:space="preserve">R$ 8,0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de sistemas (CAPEX)</w:t>
            </w:r>
          </w:p>
        </w:tc>
        <w:tc>
          <w:tcPr/>
          <w:p>
            <w:pPr>
              <w:pStyle w:val="Compact"/>
            </w:pPr>
            <w:r>
              <w:t xml:space="preserve">R$ 4,5 milhões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R$ 22,0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Operação, licenças e equipe de dados (OPEX)</w:t>
            </w:r>
          </w:p>
        </w:tc>
        <w:tc>
          <w:tcPr/>
          <w:p>
            <w:pPr>
              <w:pStyle w:val="Compact"/>
            </w:pPr>
            <w:r>
              <w:t xml:space="preserve">R$ 5,0 milhões por ano</w:t>
            </w:r>
          </w:p>
        </w:tc>
      </w:tr>
    </w:tbl>
    <w:bookmarkEnd w:id="12"/>
    <w:bookmarkStart w:id="13" w:name="benefícios-esperados"/>
    <w:p>
      <w:pPr>
        <w:pStyle w:val="Heading2"/>
      </w:pPr>
      <w:r>
        <w:t xml:space="preserve">5. Benefícios esperados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Benefício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Valor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recuperada</w:t>
            </w:r>
          </w:p>
        </w:tc>
        <w:tc>
          <w:tcPr/>
          <w:p>
            <w:pPr>
              <w:pStyle w:val="Compact"/>
            </w:pPr>
            <w:r>
              <w:t xml:space="preserve">38% de 375 GWh = 142,5 GWh, a R$ 300 por MWh</w:t>
            </w:r>
          </w:p>
        </w:tc>
        <w:tc>
          <w:tcPr/>
          <w:p>
            <w:pPr>
              <w:pStyle w:val="Compact"/>
            </w:pPr>
            <w:r>
              <w:t xml:space="preserve">R$ 42,75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Aumento de faturamento por regularização das unidades</w:t>
            </w:r>
          </w:p>
        </w:tc>
        <w:tc>
          <w:tcPr/>
          <w:p>
            <w:pPr>
              <w:pStyle w:val="Compact"/>
            </w:pPr>
            <w:r>
              <w:t xml:space="preserve">Unidades regularizadas passam a faturar o consumo real</w:t>
            </w:r>
          </w:p>
        </w:tc>
        <w:tc>
          <w:tcPr/>
          <w:p>
            <w:pPr>
              <w:pStyle w:val="Compact"/>
            </w:pPr>
            <w:r>
              <w:t xml:space="preserve">R$ 9,0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de inspeções improdutivas</w:t>
            </w:r>
          </w:p>
        </w:tc>
        <w:tc>
          <w:tcPr/>
          <w:p>
            <w:pPr>
              <w:pStyle w:val="Compact"/>
            </w:pPr>
            <w:r>
              <w:t xml:space="preserve">Menos deslocamentos sem irregularidade encontrada</w:t>
            </w:r>
          </w:p>
        </w:tc>
        <w:tc>
          <w:tcPr/>
          <w:p>
            <w:pPr>
              <w:pStyle w:val="Compact"/>
            </w:pPr>
            <w:r>
              <w:t xml:space="preserve">R$ 6,0 milhões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R$ 57,75 milhões</w:t>
            </w:r>
          </w:p>
        </w:tc>
      </w:tr>
    </w:tbl>
    <w:bookmarkEnd w:id="13"/>
    <w:bookmarkStart w:id="14" w:name="retorno"/>
    <w:p>
      <w:pPr>
        <w:pStyle w:val="Heading2"/>
      </w:pPr>
      <w:r>
        <w:t xml:space="preserve">6. Retorno</w:t>
      </w:r>
    </w:p>
    <w:p>
      <w:pPr>
        <w:pStyle w:val="FirstParagraph"/>
      </w:pPr>
      <w:r>
        <w:t xml:space="preserve">Com investimento de R$ 22,0 milhões e benefício anual de R$ 57,75 milhões, o payback do projeto é de 5 meses, muito inferior ao limite de 8 anos estabelecido pela política de investimentos.</w:t>
      </w:r>
    </w:p>
    <w:bookmarkEnd w:id="14"/>
    <w:bookmarkStart w:id="15" w:name="cronograma"/>
    <w:p>
      <w:pPr>
        <w:pStyle w:val="Heading2"/>
      </w:pPr>
      <w:r>
        <w:t xml:space="preserve">7. Cronograma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Contratação da plataforma e da consultoria</w:t>
            </w:r>
          </w:p>
        </w:tc>
        <w:tc>
          <w:tcPr/>
          <w:p>
            <w:pPr>
              <w:pStyle w:val="Compact"/>
            </w:pPr>
            <w:r>
              <w:t xml:space="preserve">30 dias após a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de sistemas e preparação dos dados</w:t>
            </w:r>
          </w:p>
        </w:tc>
        <w:tc>
          <w:tcPr/>
          <w:p>
            <w:pPr>
              <w:pStyle w:val="Compact"/>
            </w:pPr>
            <w:r>
              <w:t xml:space="preserve">meses 2 a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e validação do modelo</w:t>
            </w:r>
          </w:p>
        </w:tc>
        <w:tc>
          <w:tcPr/>
          <w:p>
            <w:pPr>
              <w:pStyle w:val="Compact"/>
            </w:pPr>
            <w:r>
              <w:t xml:space="preserve">meses 6 a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em produção da lista priorizada</w:t>
            </w:r>
          </w:p>
        </w:tc>
        <w:tc>
          <w:tcPr/>
          <w:p>
            <w:pPr>
              <w:pStyle w:val="Compact"/>
            </w:pPr>
            <w:r>
              <w:t xml:space="preserve">mês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da meta de 38%</w:t>
            </w:r>
          </w:p>
        </w:tc>
        <w:tc>
          <w:tcPr/>
          <w:p>
            <w:pPr>
              <w:pStyle w:val="Compact"/>
            </w:pPr>
            <w:r>
              <w:t xml:space="preserve">mês 24</w:t>
            </w:r>
          </w:p>
        </w:tc>
      </w:tr>
    </w:tbl>
    <w:bookmarkEnd w:id="15"/>
    <w:bookmarkStart w:id="16" w:name="premissas"/>
    <w:p>
      <w:pPr>
        <w:pStyle w:val="Heading2"/>
      </w:pPr>
      <w:r>
        <w:t xml:space="preserve">8. Premissas</w:t>
      </w:r>
    </w:p>
    <w:p>
      <w:pPr>
        <w:pStyle w:val="Compact"/>
        <w:numPr>
          <w:ilvl w:val="0"/>
          <w:numId w:val="1002"/>
        </w:numPr>
      </w:pPr>
      <w:r>
        <w:t xml:space="preserve">O processo de contratação segue a política de suprimentos da companhia, que prevê 120 dias para contratações acima de R$ 5 milhões.</w:t>
      </w:r>
    </w:p>
    <w:p>
      <w:pPr>
        <w:pStyle w:val="Compact"/>
        <w:numPr>
          <w:ilvl w:val="0"/>
          <w:numId w:val="1002"/>
        </w:numPr>
      </w:pPr>
      <w:r>
        <w:t xml:space="preserve">O histórico de consumo está disponível e com qualidade suficiente para o treinamento.</w:t>
      </w:r>
    </w:p>
    <w:p>
      <w:pPr>
        <w:pStyle w:val="Compact"/>
        <w:numPr>
          <w:ilvl w:val="0"/>
          <w:numId w:val="1002"/>
        </w:numPr>
      </w:pPr>
      <w:r>
        <w:t xml:space="preserve">A tarifa média de referência para valorar a energia recuperada é de R$ 300 por MWh.</w:t>
      </w:r>
    </w:p>
    <w:bookmarkEnd w:id="16"/>
    <w:bookmarkStart w:id="17" w:name="riscos"/>
    <w:p>
      <w:pPr>
        <w:pStyle w:val="Heading2"/>
      </w:pPr>
      <w:r>
        <w:t xml:space="preserve">9. Riscos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na entrega da plataforma pelo fornecedor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Multa contratual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Resistência das equipes de inspeção à nova lista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Comunicação interna</w:t>
            </w:r>
          </w:p>
        </w:tc>
      </w:tr>
    </w:tbl>
    <w:bookmarkEnd w:id="17"/>
    <w:bookmarkStart w:id="18" w:name="indicador-de-sucesso"/>
    <w:p>
      <w:pPr>
        <w:pStyle w:val="Heading2"/>
      </w:pPr>
      <w:r>
        <w:t xml:space="preserve">10. Indicador de sucesso</w:t>
      </w:r>
    </w:p>
    <w:p>
      <w:pPr>
        <w:pStyle w:val="FirstParagraph"/>
      </w:pPr>
      <w:r>
        <w:t xml:space="preserve">Precisão do modelo acima de 80% na lista priorizada, medida mensalmente a partir do mês 9.</w:t>
      </w:r>
    </w:p>
    <w:bookmarkEnd w:id="18"/>
    <w:bookmarkStart w:id="19" w:name="deliberação-solicitada"/>
    <w:p>
      <w:pPr>
        <w:pStyle w:val="Heading2"/>
      </w:pPr>
      <w:r>
        <w:t xml:space="preserve">11. Deliberação solicitada</w:t>
      </w:r>
    </w:p>
    <w:p>
      <w:pPr>
        <w:pStyle w:val="FirstParagraph"/>
      </w:pPr>
      <w:r>
        <w:t xml:space="preserve">Aprovação do investimento de R$ 22,0 milhões e início imediato da contratação.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2026-10-08T21:56:30Z</dcterms:created>
  <dcterms:modified xsi:type="dcterms:W3CDTF">2026-10-08T21:56:30Z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