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59de0ead3897966f20ace73c17f0bcdb642251"/>
    <w:p>
      <w:pPr>
        <w:pStyle w:val="Heading1"/>
      </w:pPr>
      <w:r>
        <w:t xml:space="preserve">Guia do facilitador · Copel · IA na Prática e Prototipagem</w:t>
      </w:r>
    </w:p>
    <w:p>
      <w:pPr>
        <w:pStyle w:val="FirstParagraph"/>
      </w:pPr>
      <w:r>
        <w:t xml:space="preserve">Guia de condução do encontro de 09/10/2026 (08h–11h; 3h de conteúdo; dez participantes; trabalho individual). Fica fora dos arquivos dos participantes e não tem link nas páginas. O repositório é público; o guia não contém avaliação, e o gabarito da minuta A já está no material, recolhido.</w:t>
      </w:r>
    </w:p>
    <w:bookmarkStart w:id="9" w:name="desenho-do-encontro"/>
    <w:p>
      <w:pPr>
        <w:pStyle w:val="Heading2"/>
      </w:pPr>
      <w:r>
        <w:t xml:space="preserve">1. Desenho do encontro</w:t>
      </w:r>
    </w:p>
    <w:p>
      <w:pPr>
        <w:pStyle w:val="FirstParagraph"/>
      </w:pPr>
      <w:r>
        <w:t xml:space="preserve">Cada participante atua como conselheiro da Distribuidora Ômega, empresa fictícia, que recebe o material da pauta antes da reunião e usa a IA como assessor técnico na leitura das propostas. A frase que resume o enquadramento para a sala: o analista é o papel que o conselheiro dá ao modelo, e o voto continua com o conselheiro. Nas duas primeiras horas, analisa a minuta A (IA contra perdas não técnicas, com o benchmark como anexo) e constrói um workflow de três skills que transforma a minuta em nota de leitura do conselheiro. Na última hora, o conselho da Ômega delibera sobre a proposta B (medição inteligente), e cada participante usa o próprio workflow para sustentar o papel recebido.</w:t>
      </w:r>
    </w:p>
    <w:p>
      <w:pPr>
        <w:pStyle w:val="BodyText"/>
      </w:pPr>
      <w:r>
        <w:t xml:space="preserve">A minuta A tem sete falhas plantadas, e o aviso foi retirado do próprio documento, porque o Prompt 0 lê o arquivo anexado e passaria a procurar erros, o que esvaziaria a comparação com o Prompt 1. A proposta B não tem falhas plantadas: foi escrita para ser equilibrada, de modo que os dois lados da mesa tenham argumentos.</w:t>
      </w:r>
    </w:p>
    <w:bookmarkEnd w:id="9"/>
    <w:bookmarkStart w:id="10" w:name="checklist-pré-evento"/>
    <w:p>
      <w:pPr>
        <w:pStyle w:val="Heading2"/>
      </w:pPr>
      <w:r>
        <w:t xml:space="preserve">2. Checklist pré-evento</w:t>
      </w:r>
    </w:p>
    <w:p>
      <w:pPr>
        <w:pStyle w:val="Compact"/>
        <w:numPr>
          <w:ilvl w:val="0"/>
          <w:numId w:val="1001"/>
        </w:numPr>
      </w:pPr>
      <w:r>
        <w:t xml:space="preserve">[ ] Plano do Google Workspace da Copel confirmado com a TI.</w:t>
      </w:r>
    </w:p>
    <w:p>
      <w:pPr>
        <w:pStyle w:val="Compact"/>
        <w:numPr>
          <w:ilvl w:val="0"/>
          <w:numId w:val="1001"/>
        </w:numPr>
      </w:pPr>
      <w:r>
        <w:t xml:space="preserve">[ ] Gemini Notebook ligado pelo admin para os participantes; conferir com a TI a política de dados do Notebook, que tem certificações de conformidade próprias, distintas das do app do Gemini.</w:t>
      </w:r>
    </w:p>
    <w:p>
      <w:pPr>
        <w:pStyle w:val="Compact"/>
        <w:numPr>
          <w:ilvl w:val="0"/>
          <w:numId w:val="1001"/>
        </w:numPr>
      </w:pPr>
      <w:r>
        <w:t xml:space="preserve">[ ] Skills disponíveis nas contas. Se não estiverem, confirmar a criação de Gem e avisar na tela 4 que cada etapa do workflow vai para um Gem.</w:t>
      </w:r>
    </w:p>
    <w:p>
      <w:pPr>
        <w:pStyle w:val="Compact"/>
        <w:numPr>
          <w:ilvl w:val="0"/>
          <w:numId w:val="1001"/>
        </w:numPr>
      </w:pPr>
      <w:r>
        <w:t xml:space="preserve">[ ] Notebook anexado a uma conversa pelo + e três skills chamadas em sequência, testados em uma conta.</w:t>
      </w:r>
    </w:p>
    <w:p>
      <w:pPr>
        <w:pStyle w:val="Compact"/>
        <w:numPr>
          <w:ilvl w:val="0"/>
          <w:numId w:val="1001"/>
        </w:numPr>
      </w:pPr>
      <w:r>
        <w:t xml:space="preserve">[ ] Contas dos dez participantes testadas, na rede da Copel.</w:t>
      </w:r>
    </w:p>
    <w:p>
      <w:pPr>
        <w:pStyle w:val="Compact"/>
        <w:numPr>
          <w:ilvl w:val="0"/>
          <w:numId w:val="1001"/>
        </w:numPr>
      </w:pPr>
      <w:r>
        <w:t xml:space="preserve">[ ] Anexo de .docx e .xlsx testado na conversa e como fonte do notebook. Se o Notebook recusar .docx, converter os documentos de conhecimento para Google Docs ou PDF antes da aula.</w:t>
      </w:r>
    </w:p>
    <w:p>
      <w:pPr>
        <w:pStyle w:val="Compact"/>
        <w:numPr>
          <w:ilvl w:val="0"/>
          <w:numId w:val="1001"/>
        </w:numPr>
      </w:pPr>
      <w:r>
        <w:t xml:space="preserve">[ ] Busca na web e memória entre conversas desativáveis, ou conversa temporária disponível.</w:t>
      </w:r>
    </w:p>
    <w:p>
      <w:pPr>
        <w:pStyle w:val="Compact"/>
        <w:numPr>
          <w:ilvl w:val="0"/>
          <w:numId w:val="1001"/>
        </w:numPr>
      </w:pPr>
      <w:r>
        <w:t xml:space="preserve">[ ] P0 e P1 rodados sobre a minuta A; saídas guardadas na seção 6 deste guia, com a contagem de pontos de cada uma.</w:t>
      </w:r>
    </w:p>
    <w:p>
      <w:pPr>
        <w:pStyle w:val="Compact"/>
        <w:numPr>
          <w:ilvl w:val="0"/>
          <w:numId w:val="1001"/>
        </w:numPr>
      </w:pPr>
      <w:r>
        <w:t xml:space="preserve">[ ] Workflow de referência rodado nos três casos e na proposta B; nota de leitura da proposta B guardado na seção 6, como apoio à discussão de fechamento.</w:t>
      </w:r>
    </w:p>
    <w:p>
      <w:pPr>
        <w:pStyle w:val="Compact"/>
        <w:numPr>
          <w:ilvl w:val="0"/>
          <w:numId w:val="1001"/>
        </w:numPr>
      </w:pPr>
      <w:r>
        <w:t xml:space="preserve">[ ] Página dos papéis (</w:t>
      </w:r>
      <w:r>
        <w:rPr>
          <w:rStyle w:val="VerbatimChar"/>
        </w:rPr>
        <w:t xml:space="preserve">pages/palestras/ferramentas/copel-papeis-do-conselho.html</w:t>
      </w:r>
      <w:r>
        <w:t xml:space="preserve">) aberta em um celular pelo QR code do slide 26. Cada celular recebe um dos dez papéis, sorteado sem repetição pelo Supabase (</w:t>
      </w:r>
      <w:r>
        <w:rPr>
          <w:rStyle w:val="VerbatimChar"/>
        </w:rPr>
        <w:t xml:space="preserve">supabase/conselho-papeis.sql</w:t>
      </w:r>
      <w:r>
        <w:t xml:space="preserve">); quem recarrega vê o mesmo papel, e a partir do 11º celular a página oferece a escolha manual por número. As posições seguem a tabela da seção 4; para mudá-las, acrescente ao endereço do QR code</w:t>
      </w:r>
      <w:r>
        <w:t xml:space="preserve"> </w:t>
      </w:r>
      <w:r>
        <w:rPr>
          <w:rStyle w:val="VerbatimChar"/>
        </w:rPr>
        <w:t xml:space="preserve">#posicoes=</w:t>
      </w:r>
      <w:r>
        <w:t xml:space="preserve"> </w:t>
      </w:r>
      <w:r>
        <w:t xml:space="preserve">e oito letras F ou C, na ordem dos conselheiros 1 a 8.</w:t>
      </w:r>
    </w:p>
    <w:p>
      <w:pPr>
        <w:pStyle w:val="Compact"/>
        <w:numPr>
          <w:ilvl w:val="0"/>
          <w:numId w:val="1001"/>
        </w:numPr>
      </w:pPr>
      <w:r>
        <w:t xml:space="preserve">[ ] Painel do professor: o mesmo endereço com</w:t>
      </w:r>
      <w:r>
        <w:t xml:space="preserve"> </w:t>
      </w:r>
      <w:r>
        <w:rPr>
          <w:rStyle w:val="VerbatimChar"/>
        </w:rPr>
        <w:t xml:space="preserve">#host=</w:t>
      </w:r>
      <w:r>
        <w:t xml:space="preserve"> </w:t>
      </w:r>
      <w:r>
        <w:t xml:space="preserve">seguido do token do professor (combinado fora do repositório). Mostra quantos papéis já foram sorteados e tem o botão Reiniciar o sorteio. Reiniciar depois dos testes e de novo às 9:55, antes de projetar o slide 26.</w:t>
      </w:r>
    </w:p>
    <w:p>
      <w:pPr>
        <w:pStyle w:val="Compact"/>
        <w:numPr>
          <w:ilvl w:val="0"/>
          <w:numId w:val="1001"/>
        </w:numPr>
      </w:pPr>
      <w:r>
        <w:t xml:space="preserve">[ ] Cartões impressos (</w:t>
      </w:r>
      <w:r>
        <w:rPr>
          <w:rStyle w:val="VerbatimChar"/>
        </w:rPr>
        <w:t xml:space="preserve">conselho/cartoes-de-papel.docx</w:t>
      </w:r>
      <w:r>
        <w:t xml:space="preserve">) só como plano B, para o caso de faltar internet.</w:t>
      </w:r>
    </w:p>
    <w:p>
      <w:pPr>
        <w:pStyle w:val="Compact"/>
        <w:numPr>
          <w:ilvl w:val="0"/>
          <w:numId w:val="1001"/>
        </w:numPr>
      </w:pPr>
      <w:r>
        <w:t xml:space="preserve">[ ] Acesso a</w:t>
      </w:r>
      <w:r>
        <w:t xml:space="preserve"> </w:t>
      </w:r>
      <w:r>
        <w:rPr>
          <w:rStyle w:val="VerbatimChar"/>
        </w:rPr>
        <w:t xml:space="preserve">afonsolelis.github.io/aulas</w:t>
      </w:r>
      <w:r>
        <w:t xml:space="preserve"> </w:t>
      </w:r>
      <w:r>
        <w:t xml:space="preserve">e aos arquivos das práticas a partir da rede da Copel.</w:t>
      </w:r>
    </w:p>
    <w:p>
      <w:pPr>
        <w:pStyle w:val="Compact"/>
        <w:numPr>
          <w:ilvl w:val="0"/>
          <w:numId w:val="1001"/>
        </w:numPr>
      </w:pPr>
      <w:r>
        <w:t xml:space="preserve">[ ] Arquivos das práticas em pendrive.</w:t>
      </w:r>
    </w:p>
    <w:p>
      <w:pPr>
        <w:pStyle w:val="Compact"/>
        <w:numPr>
          <w:ilvl w:val="0"/>
          <w:numId w:val="1001"/>
        </w:numPr>
      </w:pPr>
      <w:r>
        <w:t xml:space="preserve">[ ] Três cópias impressas das saídas de referência e da proposta B (plano B).</w:t>
      </w:r>
    </w:p>
    <w:bookmarkEnd w:id="10"/>
    <w:bookmarkStart w:id="11" w:name="roteiro-por-tela"/>
    <w:p>
      <w:pPr>
        <w:pStyle w:val="Heading2"/>
      </w:pPr>
      <w:r>
        <w:t xml:space="preserve">3. Roteiro por tela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Horário</w:t>
            </w:r>
          </w:p>
        </w:tc>
        <w:tc>
          <w:tcPr/>
          <w:p>
            <w:pPr>
              <w:pStyle w:val="Compact"/>
            </w:pPr>
            <w:r>
              <w:t xml:space="preserve">Telas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 – 8:10</w:t>
            </w:r>
          </w:p>
        </w:tc>
        <w:tc>
          <w:tcPr/>
          <w:p>
            <w:pPr>
              <w:pStyle w:val="Compact"/>
            </w:pPr>
            <w:r>
              <w:t xml:space="preserve">1–6</w:t>
            </w:r>
          </w:p>
        </w:tc>
        <w:tc>
          <w:tcPr/>
          <w:p>
            <w:pPr>
              <w:pStyle w:val="Compact"/>
            </w:pPr>
            <w:r>
              <w:t xml:space="preserve">Capa, contrato, agenda, regras de dados e arquivos. Na tela 6, apresentar o caso da Ômega e antecipar que a última hora é uma reunião do conselho.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8:10 – 8:20</w:t>
            </w:r>
          </w:p>
        </w:tc>
        <w:tc>
          <w:tcPr/>
          <w:p>
            <w:pPr>
              <w:pStyle w:val="Compact"/>
            </w:pPr>
            <w:r>
              <w:t xml:space="preserve">7–10</w:t>
            </w:r>
          </w:p>
        </w:tc>
        <w:tc>
          <w:tcPr/>
          <w:p>
            <w:pPr>
              <w:pStyle w:val="Compact"/>
            </w:pPr>
            <w:r>
              <w:t xml:space="preserve">Bloco 1. Espectro, sete peças e o canvas do workflow de leitura crítica de propostas.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8:20 – 8:35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Prática 1. Cronômetro de 15 min; conferir com cada participante o critério que ele sempre cobra, na peça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8:35 – 8:45</w:t>
            </w:r>
          </w:p>
        </w:tc>
        <w:tc>
          <w:tcPr/>
          <w:p>
            <w:pPr>
              <w:pStyle w:val="Compact"/>
            </w:pPr>
            <w:r>
              <w:t xml:space="preserve">12–16</w:t>
            </w:r>
          </w:p>
        </w:tc>
        <w:tc>
          <w:tcPr/>
          <w:p>
            <w:pPr>
              <w:pStyle w:val="Compact"/>
            </w:pPr>
            <w:r>
              <w:t xml:space="preserve">Bloco 2. Não revelar os sete pontos; mostrar a minuta e os dois prompts.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8:45 – 9:00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Prática 2. Confirmar que cada participante usa conversa nova, sem busca na web, e anexa a minuta e o benchmark.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 – 9:10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Devolutiva. Pedir a contagem a três ou quatro participantes antes de clicar em "Mostrar os sete pontos".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9:10 – 9:25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Intervalo de 15 min. Reiniciar o sorteio pelo painel do professor.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9:25 – 9:32</w:t>
            </w:r>
          </w:p>
        </w:tc>
        <w:tc>
          <w:tcPr/>
          <w:p>
            <w:pPr>
              <w:pStyle w:val="Compact"/>
            </w:pPr>
            <w:r>
              <w:t xml:space="preserve">20–22</w:t>
            </w:r>
          </w:p>
        </w:tc>
        <w:tc>
          <w:tcPr/>
          <w:p>
            <w:pPr>
              <w:pStyle w:val="Compact"/>
            </w:pPr>
            <w:r>
              <w:t xml:space="preserve">Bloco 3. As três skills, os três casos e o ciclo de uma mudança por vez.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9:32 – 9:47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Iteração 1. Saídas esperadas antes das skills.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9:47 – 10:00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Iteração 2. Casos de borda e fora da alçada.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 – 10:05</w:t>
            </w:r>
          </w:p>
        </w:tc>
        <w:tc>
          <w:tcPr/>
          <w:p>
            <w:pPr>
              <w:pStyle w:val="Compact"/>
            </w:pPr>
            <w:r>
              <w:t xml:space="preserve">25–26</w:t>
            </w:r>
          </w:p>
        </w:tc>
        <w:tc>
          <w:tcPr/>
          <w:p>
            <w:pPr>
              <w:pStyle w:val="Compact"/>
            </w:pPr>
            <w:r>
              <w:t xml:space="preserve">Abertura da simulação. Pedir que escaneiem o QR code; cada celular recebe um papel sorteado.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10:05 – 10:20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Preparação. Circular pela sala e conferir se cada argumento cita seção ou achado.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10:20 – 10:45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Reunião. O presidente conduz; o facilitador projeta e preenche a 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10:45 – 10:52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Deliberação e 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10:52 – 11:00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Fechamento: quantos argumentos vieram da nota de leitura e o que ficou com o conselheiro.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Pesquisa de avaliação: deixar o QR code projetado enquanto os participantes respondem.</w:t>
            </w:r>
          </w:p>
        </w:tc>
      </w:tr>
    </w:tbl>
    <w:bookmarkEnd w:id="11"/>
    <w:bookmarkStart w:id="12" w:name="papéis-e-posições"/>
    <w:p>
      <w:pPr>
        <w:pStyle w:val="Heading2"/>
      </w:pPr>
      <w:r>
        <w:t xml:space="preserve">4. Papéis e posições</w:t>
      </w:r>
    </w:p>
    <w:p>
      <w:pPr>
        <w:pStyle w:val="FirstParagraph"/>
      </w:pPr>
      <w:r>
        <w:t xml:space="preserve">Sugestão de distribuição, a ajustar ao perfil de cada participante: diretor proponente para quem tiver mais facilidade de exposição; presidente para quem tiver mais experiência de colegiado. Para que a deliberação não seja decidida antes da reunião, dividir os oito conselheiros em quatro a favor e quatro contra, com o presidente desempatando. Uma divisão que dá a cada lado argumentos fortes na própria proposta: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Conselheiro</w:t>
            </w:r>
          </w:p>
        </w:tc>
        <w:tc>
          <w:tcPr/>
          <w:p>
            <w:pPr>
              <w:pStyle w:val="Compact"/>
            </w:pPr>
            <w:r>
              <w:t xml:space="preserve">Perspectiva</w:t>
            </w:r>
          </w:p>
        </w:tc>
        <w:tc>
          <w:tcPr/>
          <w:p>
            <w:pPr>
              <w:pStyle w:val="Compact"/>
            </w:pPr>
            <w:r>
              <w:t xml:space="preserve">Posição sugerida</w:t>
            </w:r>
          </w:p>
        </w:tc>
        <w:tc>
          <w:tcPr/>
          <w:p>
            <w:pPr>
              <w:pStyle w:val="Compact"/>
            </w:pPr>
            <w:r>
              <w:t xml:space="preserve">Onde estão os argumentos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Finanças e retorno</w:t>
            </w:r>
          </w:p>
        </w:tc>
        <w:tc>
          <w:tcPr/>
          <w:p>
            <w:pPr>
              <w:pStyle w:val="Compact"/>
            </w:pPr>
            <w:r>
              <w:t xml:space="preserve">Contra</w:t>
            </w:r>
          </w:p>
        </w:tc>
        <w:tc>
          <w:tcPr/>
          <w:p>
            <w:pPr>
              <w:pStyle w:val="Compact"/>
            </w:pPr>
            <w:r>
              <w:t xml:space="preserve">Payback de 7,5 anos perto do limite; VPL negativo sem reconhecimento tarifário (seção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Regulação e tarifa</w:t>
            </w:r>
          </w:p>
        </w:tc>
        <w:tc>
          <w:tcPr/>
          <w:p>
            <w:pPr>
              <w:pStyle w:val="Compact"/>
            </w:pPr>
            <w:r>
              <w:t xml:space="preserve">Contra</w:t>
            </w:r>
          </w:p>
        </w:tc>
        <w:tc>
          <w:tcPr/>
          <w:p>
            <w:pPr>
              <w:pStyle w:val="Compact"/>
            </w:pPr>
            <w:r>
              <w:t xml:space="preserve">Cenário base de 70% de reconhecimento sem fundamento declarado (seções 6 e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Operação e engenharia</w:t>
            </w:r>
          </w:p>
        </w:tc>
        <w:tc>
          <w:tcPr/>
          <w:p>
            <w:pPr>
              <w:pStyle w:val="Compact"/>
            </w:pPr>
            <w:r>
              <w:t xml:space="preserve">A favor</w:t>
            </w:r>
          </w:p>
        </w:tc>
        <w:tc>
          <w:tcPr/>
          <w:p>
            <w:pPr>
              <w:pStyle w:val="Compact"/>
            </w:pPr>
            <w:r>
              <w:t xml:space="preserve">Piloto medido por balanço do alimentador; religação de 19 h para 2 h (seção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Riscos e cibersegurança</w:t>
            </w:r>
          </w:p>
        </w:tc>
        <w:tc>
          <w:tcPr/>
          <w:p>
            <w:pPr>
              <w:pStyle w:val="Compact"/>
            </w:pPr>
            <w:r>
              <w:t xml:space="preserve">Contra</w:t>
            </w:r>
          </w:p>
        </w:tc>
        <w:tc>
          <w:tcPr/>
          <w:p>
            <w:pPr>
              <w:pStyle w:val="Compact"/>
            </w:pPr>
            <w:r>
              <w:t xml:space="preserve">Fornecedor único na fase 1; mitigação de ataque apenas por edital (seção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Clientes e reputação</w:t>
            </w:r>
          </w:p>
        </w:tc>
        <w:tc>
          <w:tcPr/>
          <w:p>
            <w:pPr>
              <w:pStyle w:val="Compact"/>
            </w:pPr>
            <w:r>
              <w:t xml:space="preserve">A favor</w:t>
            </w:r>
          </w:p>
        </w:tc>
        <w:tc>
          <w:tcPr/>
          <w:p>
            <w:pPr>
              <w:pStyle w:val="Compact"/>
            </w:pPr>
            <w:r>
              <w:t xml:space="preserve">Religação mais rápida; leitura sem visita (seções 1 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Dados e LGPD</w:t>
            </w:r>
          </w:p>
        </w:tc>
        <w:tc>
          <w:tcPr/>
          <w:p>
            <w:pPr>
              <w:pStyle w:val="Compact"/>
            </w:pPr>
            <w:r>
              <w:t xml:space="preserve">Contra</w:t>
            </w:r>
          </w:p>
        </w:tc>
        <w:tc>
          <w:tcPr/>
          <w:p>
            <w:pPr>
              <w:pStyle w:val="Compact"/>
            </w:pPr>
            <w:r>
              <w:t xml:space="preserve">Consumo horário é dado pessoal e não aparece na matriz de riscos (seção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Estratégia e portfólio</w:t>
            </w:r>
          </w:p>
        </w:tc>
        <w:tc>
          <w:tcPr/>
          <w:p>
            <w:pPr>
              <w:pStyle w:val="Compact"/>
            </w:pPr>
            <w:r>
              <w:t xml:space="preserve">A favor</w:t>
            </w:r>
          </w:p>
        </w:tc>
        <w:tc>
          <w:tcPr/>
          <w:p>
            <w:pPr>
              <w:pStyle w:val="Compact"/>
            </w:pPr>
            <w:r>
              <w:t xml:space="preserve">Divisão em fases com gate no mês 18 limita a exposição (seção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Sustentabilidade e longo prazo</w:t>
            </w:r>
          </w:p>
        </w:tc>
        <w:tc>
          <w:tcPr/>
          <w:p>
            <w:pPr>
              <w:pStyle w:val="Compact"/>
            </w:pPr>
            <w:r>
              <w:t xml:space="preserve">A favor</w:t>
            </w:r>
          </w:p>
        </w:tc>
        <w:tc>
          <w:tcPr/>
          <w:p>
            <w:pPr>
              <w:pStyle w:val="Compact"/>
            </w:pPr>
            <w:r>
              <w:t xml:space="preserve">Redução de perdas adotada abaixo da do piloto; vida útil de 13 anos (seções 5 e 6)</w:t>
            </w:r>
          </w:p>
        </w:tc>
      </w:tr>
    </w:tbl>
    <w:p>
      <w:pPr>
        <w:pStyle w:val="BodyText"/>
      </w:pPr>
      <w:r>
        <w:t xml:space="preserve">Um desfecho plausível para uma proposta assim é a aprovação com condições (por exemplo, homologar segundo fornecedor antes da fase 2, incluir o tratamento de dados na matriz, apresentar sensibilidade do VPL ao reconhecimento tarifário). Não antecipar esse desfecho para a sala.</w:t>
      </w:r>
    </w:p>
    <w:bookmarkEnd w:id="12"/>
    <w:bookmarkStart w:id="13" w:name="respostas-aos-boxes-chame-o-professor"/>
    <w:p>
      <w:pPr>
        <w:pStyle w:val="Heading2"/>
      </w:pPr>
      <w:r>
        <w:t xml:space="preserve">5. Respostas aos boxes "Chame o professor"</w:t>
      </w:r>
    </w:p>
    <w:p>
      <w:pPr>
        <w:pStyle w:val="Compact"/>
        <w:numPr>
          <w:ilvl w:val="0"/>
          <w:numId w:val="1002"/>
        </w:numPr>
      </w:pPr>
      <w:r>
        <w:t xml:space="preserve">Prática 1, o participante não sabe que documento a verificação consultaria: perguntar "o que você precisaria ter em mãos para saber se uma proposta está completa?" (política de investimentos, alçadas, modelo de proposta).</w:t>
      </w:r>
    </w:p>
    <w:p>
      <w:pPr>
        <w:pStyle w:val="Compact"/>
        <w:numPr>
          <w:ilvl w:val="0"/>
          <w:numId w:val="1002"/>
        </w:numPr>
      </w:pPr>
      <w:r>
        <w:t xml:space="preserve">Iteração 1, o notebook não aparece no + da conversa: conferir se ele foi criado na mesma conta; se o recurso estiver bloqueado, anexar a política e o benchmark direto na conversa ou colar o conteúdo depois de</w:t>
      </w:r>
      <w:r>
        <w:t xml:space="preserve"> </w:t>
      </w:r>
      <w:r>
        <w:rPr>
          <w:rStyle w:val="VerbatimChar"/>
        </w:rPr>
        <w:t xml:space="preserve">## DADOS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Iteração 1, a conta não tem skills nem Gems: colar as três instruções como mensagens, na ordem, na mesma conversa.</w:t>
      </w:r>
    </w:p>
    <w:p>
      <w:pPr>
        <w:pStyle w:val="Compact"/>
        <w:numPr>
          <w:ilvl w:val="0"/>
          <w:numId w:val="1002"/>
        </w:numPr>
      </w:pPr>
      <w:r>
        <w:t xml:space="preserve">Iteração 2, o workflow estima os valores da proposta C: reforçar na extração a restrição "não informado" e rodar de novo.</w:t>
      </w:r>
    </w:p>
    <w:bookmarkEnd w:id="13"/>
    <w:bookmarkStart w:id="14" w:name="saídas-de-referência"/>
    <w:p>
      <w:pPr>
        <w:pStyle w:val="Heading2"/>
      </w:pPr>
      <w:r>
        <w:t xml:space="preserve">6. Saídas de referência</w:t>
      </w:r>
    </w:p>
    <w:p>
      <w:pPr>
        <w:pStyle w:val="FirstParagraph"/>
      </w:pPr>
      <w:r>
        <w:t xml:space="preserve">Preencher depois do teste do checklist.</w:t>
      </w:r>
    </w:p>
    <w:p>
      <w:pPr>
        <w:pStyle w:val="Compact"/>
        <w:numPr>
          <w:ilvl w:val="0"/>
          <w:numId w:val="1003"/>
        </w:numPr>
      </w:pPr>
      <w:r>
        <w:t xml:space="preserve">Ferramenta e modelo: ______ Data: ______</w:t>
      </w:r>
    </w:p>
    <w:p>
      <w:pPr>
        <w:pStyle w:val="Compact"/>
        <w:numPr>
          <w:ilvl w:val="0"/>
          <w:numId w:val="1003"/>
        </w:numPr>
      </w:pPr>
      <w:r>
        <w:t xml:space="preserve">Saída do P0 sobre a minuta A (resumo e pontos encontrados): ______</w:t>
      </w:r>
    </w:p>
    <w:p>
      <w:pPr>
        <w:pStyle w:val="Compact"/>
        <w:numPr>
          <w:ilvl w:val="0"/>
          <w:numId w:val="1003"/>
        </w:numPr>
      </w:pPr>
      <w:r>
        <w:t xml:space="preserve">Saída do P1 sobre a minuta A (resumo e pontos encontrados): ______</w:t>
      </w:r>
    </w:p>
    <w:p>
      <w:pPr>
        <w:pStyle w:val="Compact"/>
        <w:numPr>
          <w:ilvl w:val="0"/>
          <w:numId w:val="1003"/>
        </w:numPr>
      </w:pPr>
      <w:r>
        <w:t xml:space="preserve">Nota de leitura do workflow de referência sobre a proposta B: ______</w:t>
      </w:r>
    </w:p>
    <w:bookmarkEnd w:id="14"/>
    <w:bookmarkStart w:id="15" w:name="gabarito-estendido"/>
    <w:p>
      <w:pPr>
        <w:pStyle w:val="Heading2"/>
      </w:pPr>
      <w:r>
        <w:t xml:space="preserve">7. Gabarito estendido</w:t>
      </w:r>
    </w:p>
    <w:p>
      <w:pPr>
        <w:pStyle w:val="FirstParagraph"/>
      </w:pPr>
      <w:r>
        <w:t xml:space="preserve">Os sete pontos da minuta A, os pontos adicionais aceitos e a explicação de cada um estão no material, seção 7, no bloco recolhido "Gabarito dos sete pontos". Na contagem da sala, o ponto 6 vale para quem apontar qualquer um dos dois riscos ausentes, e o ponto 7 para quem apontar o indicador que mede o modelo ou a linha de base sem fonte.</w:t>
      </w:r>
    </w:p>
    <w:bookmarkEnd w:id="15"/>
    <w:bookmarkStart w:id="16" w:name="plano-b"/>
    <w:p>
      <w:pPr>
        <w:pStyle w:val="Heading2"/>
      </w:pPr>
      <w:r>
        <w:t xml:space="preserve">8. Plano B</w:t>
      </w:r>
    </w:p>
    <w:p>
      <w:pPr>
        <w:pStyle w:val="Compact"/>
        <w:numPr>
          <w:ilvl w:val="0"/>
          <w:numId w:val="1004"/>
        </w:numPr>
      </w:pPr>
      <w:r>
        <w:t xml:space="preserve">Ferramenta sem anexo: colar os arquivos abaixo do prompt, depois de</w:t>
      </w:r>
      <w:r>
        <w:t xml:space="preserve"> </w:t>
      </w:r>
      <w:r>
        <w:rPr>
          <w:rStyle w:val="VerbatimChar"/>
        </w:rPr>
        <w:t xml:space="preserve">## DADOS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Sem ferramenta: os participantes contam os pontos nas saídas de referência impressas, escrevem as instruções das skills no papel e preparam os argumentos da reunião a partir da nota de leitura de referência impresso.</w:t>
      </w:r>
    </w:p>
    <w:p>
      <w:pPr>
        <w:pStyle w:val="Compact"/>
        <w:numPr>
          <w:ilvl w:val="0"/>
          <w:numId w:val="1004"/>
        </w:numPr>
      </w:pPr>
      <w:r>
        <w:t xml:space="preserve">Skill e Gem bloqueados: conversa comum com o notebook anexado pelo +, e as três instruções coladas como mensagens, na ordem.</w:t>
      </w:r>
    </w:p>
    <w:p>
      <w:pPr>
        <w:pStyle w:val="Compact"/>
        <w:numPr>
          <w:ilvl w:val="0"/>
          <w:numId w:val="1004"/>
        </w:numPr>
      </w:pPr>
      <w:r>
        <w:t xml:space="preserve">Sem rede: arquivos no pendrive e cartões de papel impressos no lugar da página dos papéis.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pBdr>
        <w:top w:val="single" w:sz="4" w:space="6" w:color="A6A6A6"/>
        <w:left w:val="single" w:sz="4" w:space="6" w:color="A6A6A6"/>
        <w:bottom w:val="single" w:sz="4" w:space="6" w:color="A6A6A6"/>
        <w:right w:val="single" w:sz="4" w:space="6" w:color="A6A6A6"/>
      </w:pBdr>
      <w:shd w:val="clear" w:color="auto" w:fill="EDEDED"/>
    </w:pPr>
    <w:rPr>
      <w:sz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2026-10-08T23:55:36Z</dcterms:created>
  <dcterms:modified xsi:type="dcterms:W3CDTF">2026-10-08T23:55:36Z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