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F3F19" w14:textId="3B522C7C" w:rsidR="00FD584D" w:rsidRPr="00FC01D9" w:rsidRDefault="00110DC5" w:rsidP="00990637">
      <w:pPr>
        <w:spacing w:before="100" w:beforeAutospacing="1" w:after="100" w:afterAutospacing="1"/>
        <w:jc w:val="center"/>
        <w:rPr>
          <w:rFonts w:cs="Times New Roman"/>
          <w:b/>
          <w:color w:val="000000"/>
          <w:lang w:eastAsia="en-US"/>
        </w:rPr>
      </w:pPr>
      <w:r w:rsidRPr="00FC01D9">
        <w:rPr>
          <w:rFonts w:cs="Times New Roman"/>
          <w:b/>
          <w:color w:val="000000"/>
          <w:lang w:eastAsia="en-US"/>
        </w:rPr>
        <w:t>Marcion: Anti-Jewish Christian Extremist or Forerunner of Theological Pluralism?</w:t>
      </w:r>
    </w:p>
    <w:p w14:paraId="2A5FA81A" w14:textId="77777777" w:rsidR="00683872" w:rsidRPr="00FC01D9" w:rsidRDefault="00110DC5" w:rsidP="00990637">
      <w:pPr>
        <w:spacing w:before="100" w:beforeAutospacing="1" w:after="100" w:afterAutospacing="1"/>
        <w:contextualSpacing/>
        <w:jc w:val="center"/>
        <w:rPr>
          <w:rFonts w:cs="Times New Roman"/>
          <w:color w:val="000000"/>
          <w:lang w:eastAsia="en-US"/>
        </w:rPr>
      </w:pPr>
      <w:r w:rsidRPr="00FC01D9">
        <w:rPr>
          <w:rFonts w:cs="Times New Roman"/>
          <w:color w:val="000000"/>
          <w:lang w:eastAsia="en-US"/>
        </w:rPr>
        <w:t>Stephen Cooper</w:t>
      </w:r>
    </w:p>
    <w:p w14:paraId="54276606" w14:textId="32C0B441" w:rsidR="00110DC5" w:rsidRDefault="00110DC5" w:rsidP="00990637">
      <w:pPr>
        <w:spacing w:before="100" w:beforeAutospacing="1" w:after="100" w:afterAutospacing="1"/>
        <w:contextualSpacing/>
        <w:jc w:val="center"/>
        <w:rPr>
          <w:rFonts w:cs="Times New Roman"/>
          <w:color w:val="000000"/>
          <w:lang w:eastAsia="en-US"/>
        </w:rPr>
      </w:pPr>
      <w:r w:rsidRPr="00FC01D9">
        <w:rPr>
          <w:rFonts w:cs="Times New Roman"/>
          <w:color w:val="000000"/>
          <w:lang w:eastAsia="en-US"/>
        </w:rPr>
        <w:t>Franklin &amp; Marshall College</w:t>
      </w:r>
    </w:p>
    <w:p w14:paraId="5CC9C779" w14:textId="47EA8BDD" w:rsidR="00E81C61" w:rsidRPr="00FC01D9" w:rsidRDefault="00307B9B" w:rsidP="00990637">
      <w:pPr>
        <w:spacing w:before="100" w:beforeAutospacing="1" w:after="100" w:afterAutospacing="1"/>
        <w:contextualSpacing/>
        <w:jc w:val="center"/>
        <w:rPr>
          <w:rFonts w:cs="Times New Roman"/>
          <w:color w:val="000000"/>
          <w:lang w:eastAsia="en-US"/>
        </w:rPr>
      </w:pPr>
      <w:r>
        <w:rPr>
          <w:rFonts w:cs="Times New Roman"/>
          <w:color w:val="000000"/>
          <w:lang w:eastAsia="en-US"/>
        </w:rPr>
        <w:t>11/</w:t>
      </w:r>
      <w:r w:rsidR="00E81C61">
        <w:rPr>
          <w:rFonts w:cs="Times New Roman"/>
          <w:color w:val="000000"/>
          <w:lang w:eastAsia="en-US"/>
        </w:rPr>
        <w:t>1</w:t>
      </w:r>
      <w:r>
        <w:rPr>
          <w:rFonts w:cs="Times New Roman"/>
          <w:color w:val="000000"/>
          <w:lang w:eastAsia="en-US"/>
        </w:rPr>
        <w:t>5</w:t>
      </w:r>
      <w:r w:rsidR="00E81C61">
        <w:rPr>
          <w:rFonts w:cs="Times New Roman"/>
          <w:color w:val="000000"/>
          <w:lang w:eastAsia="en-US"/>
        </w:rPr>
        <w:t>/13</w:t>
      </w:r>
    </w:p>
    <w:p w14:paraId="01A9082F" w14:textId="77777777" w:rsidR="008F6E3D" w:rsidRPr="00FC01D9" w:rsidRDefault="008F6E3D" w:rsidP="00D3215E">
      <w:pPr>
        <w:spacing w:before="100" w:beforeAutospacing="1" w:after="100" w:afterAutospacing="1" w:line="480" w:lineRule="auto"/>
        <w:contextualSpacing/>
        <w:rPr>
          <w:rFonts w:cs="Times New Roman"/>
          <w:color w:val="000000"/>
          <w:lang w:eastAsia="en-US"/>
        </w:rPr>
      </w:pPr>
    </w:p>
    <w:p w14:paraId="6733CD6E" w14:textId="4B5B1708" w:rsidR="004A505D" w:rsidRDefault="005F0EAE" w:rsidP="00E411D2">
      <w:pPr>
        <w:spacing w:before="100" w:beforeAutospacing="1" w:after="100" w:afterAutospacing="1" w:line="480" w:lineRule="auto"/>
        <w:contextualSpacing/>
        <w:rPr>
          <w:rFonts w:cs="Times New Roman"/>
          <w:color w:val="000000"/>
          <w:lang w:eastAsia="en-US"/>
        </w:rPr>
      </w:pPr>
      <w:r w:rsidRPr="005F0EAE">
        <w:rPr>
          <w:rFonts w:cs="Times New Roman"/>
          <w:color w:val="000000"/>
          <w:lang w:eastAsia="en-US"/>
        </w:rPr>
        <w:t>The struggle over the body of Christ between the church Marcion founded and those who regarded his alternative Christianity as heretical can be framed from the hist</w:t>
      </w:r>
      <w:r w:rsidR="00E53F70">
        <w:rPr>
          <w:rFonts w:cs="Times New Roman"/>
          <w:color w:val="000000"/>
          <w:lang w:eastAsia="en-US"/>
        </w:rPr>
        <w:t xml:space="preserve">orian of religions’ standpoint </w:t>
      </w:r>
      <w:r w:rsidRPr="005F0EAE">
        <w:rPr>
          <w:rFonts w:cs="Times New Roman"/>
          <w:color w:val="000000"/>
          <w:lang w:eastAsia="en-US"/>
        </w:rPr>
        <w:t xml:space="preserve">as </w:t>
      </w:r>
      <w:r w:rsidR="00685CC2">
        <w:rPr>
          <w:rFonts w:cs="Times New Roman"/>
          <w:color w:val="000000"/>
          <w:lang w:eastAsia="en-US"/>
        </w:rPr>
        <w:t xml:space="preserve">a </w:t>
      </w:r>
      <w:r w:rsidRPr="005F0EAE">
        <w:rPr>
          <w:rFonts w:cs="Times New Roman"/>
          <w:color w:val="000000"/>
          <w:lang w:eastAsia="en-US"/>
        </w:rPr>
        <w:t>struggle over how the church would envision and enact its relation to the Judaic religious tradi</w:t>
      </w:r>
      <w:r w:rsidR="00685CC2">
        <w:rPr>
          <w:rFonts w:cs="Times New Roman"/>
          <w:color w:val="000000"/>
          <w:lang w:eastAsia="en-US"/>
        </w:rPr>
        <w:t xml:space="preserve">tion and its inheritance. Marcion’s solution to ‘the problem of Judaism’—a Christian problem, of course, but none the less pressing—was to deny all relation, to sever all ties; </w:t>
      </w:r>
      <w:r w:rsidR="00685CC2" w:rsidRPr="005F0EAE">
        <w:rPr>
          <w:rFonts w:cs="Times New Roman"/>
          <w:color w:val="000000"/>
          <w:lang w:eastAsia="en-US"/>
        </w:rPr>
        <w:t>catholic tradition</w:t>
      </w:r>
      <w:r w:rsidR="00685CC2">
        <w:rPr>
          <w:rFonts w:cs="Times New Roman"/>
          <w:color w:val="000000"/>
          <w:lang w:eastAsia="en-US"/>
        </w:rPr>
        <w:t xml:space="preserve"> opted for a more ambiguous relation to Judaism, one characterized by </w:t>
      </w:r>
      <w:r w:rsidR="00477977">
        <w:rPr>
          <w:rFonts w:cs="Times New Roman"/>
          <w:color w:val="000000"/>
          <w:lang w:eastAsia="en-US"/>
        </w:rPr>
        <w:t xml:space="preserve">both </w:t>
      </w:r>
      <w:r w:rsidR="00685CC2">
        <w:rPr>
          <w:rFonts w:cs="Times New Roman"/>
          <w:color w:val="000000"/>
          <w:lang w:eastAsia="en-US"/>
        </w:rPr>
        <w:t>claiming and disclaiming.</w:t>
      </w:r>
      <w:r w:rsidR="00477977">
        <w:rPr>
          <w:rFonts w:cs="Times New Roman"/>
          <w:color w:val="000000"/>
          <w:lang w:eastAsia="en-US"/>
        </w:rPr>
        <w:t xml:space="preserve"> Or at leas</w:t>
      </w:r>
      <w:r w:rsidR="00B1348C">
        <w:rPr>
          <w:rFonts w:cs="Times New Roman"/>
          <w:color w:val="000000"/>
          <w:lang w:eastAsia="en-US"/>
        </w:rPr>
        <w:t>t this has been the standard way of framing Marcion within a scheme of Christian anti-Judaisms, where he is at one extreme, the catholic having a middle position, and Torah observing Christians on the other extreme. A</w:t>
      </w:r>
      <w:r w:rsidR="00C107D0">
        <w:rPr>
          <w:rFonts w:cs="Times New Roman"/>
          <w:color w:val="000000"/>
          <w:lang w:eastAsia="en-US"/>
        </w:rPr>
        <w:t>mong the issues reconsidered in the quest</w:t>
      </w:r>
      <w:r w:rsidR="00C107D0" w:rsidRPr="00E411D2">
        <w:rPr>
          <w:rFonts w:cs="Times New Roman"/>
          <w:color w:val="000000"/>
          <w:lang w:eastAsia="en-US"/>
        </w:rPr>
        <w:t xml:space="preserve"> to th</w:t>
      </w:r>
      <w:r w:rsidR="00C107D0">
        <w:rPr>
          <w:rFonts w:cs="Times New Roman"/>
          <w:color w:val="000000"/>
          <w:lang w:eastAsia="en-US"/>
        </w:rPr>
        <w:t>ink about Marcion since Harnack or even without Harnack,</w:t>
      </w:r>
      <w:r w:rsidR="00C107D0" w:rsidRPr="00FC01D9">
        <w:rPr>
          <w:rStyle w:val="FootnoteReference"/>
          <w:rFonts w:cs="Times New Roman"/>
          <w:color w:val="000000"/>
          <w:lang w:eastAsia="en-US"/>
        </w:rPr>
        <w:footnoteReference w:id="1"/>
      </w:r>
      <w:r w:rsidR="00C107D0">
        <w:rPr>
          <w:rFonts w:cs="Times New Roman"/>
          <w:color w:val="000000"/>
          <w:lang w:eastAsia="en-US"/>
        </w:rPr>
        <w:t xml:space="preserve"> </w:t>
      </w:r>
      <w:r w:rsidR="00B1348C">
        <w:rPr>
          <w:rFonts w:cs="Times New Roman"/>
          <w:color w:val="000000"/>
          <w:lang w:eastAsia="en-US"/>
        </w:rPr>
        <w:t>this</w:t>
      </w:r>
      <w:r w:rsidR="005178C1">
        <w:rPr>
          <w:rFonts w:cs="Times New Roman"/>
          <w:color w:val="000000"/>
          <w:lang w:eastAsia="en-US"/>
        </w:rPr>
        <w:t xml:space="preserve"> consensus about </w:t>
      </w:r>
      <w:r w:rsidR="00C107D0">
        <w:rPr>
          <w:rFonts w:cs="Times New Roman"/>
          <w:color w:val="000000"/>
          <w:lang w:eastAsia="en-US"/>
        </w:rPr>
        <w:t>Marcion vis-a-vis Judaism has been</w:t>
      </w:r>
      <w:r w:rsidR="00C107D0" w:rsidRPr="00E411D2">
        <w:rPr>
          <w:rFonts w:cs="Times New Roman"/>
          <w:color w:val="000000"/>
          <w:lang w:eastAsia="en-US"/>
        </w:rPr>
        <w:t xml:space="preserve"> </w:t>
      </w:r>
      <w:r w:rsidR="005178C1">
        <w:rPr>
          <w:rFonts w:cs="Times New Roman"/>
          <w:color w:val="000000"/>
          <w:lang w:eastAsia="en-US"/>
        </w:rPr>
        <w:t xml:space="preserve">subject of a number of notable assaults </w:t>
      </w:r>
      <w:r w:rsidR="00C107D0">
        <w:rPr>
          <w:rFonts w:cs="Times New Roman"/>
          <w:color w:val="000000"/>
          <w:lang w:eastAsia="en-US"/>
        </w:rPr>
        <w:t>in the last quarter century</w:t>
      </w:r>
      <w:r w:rsidR="00C107D0" w:rsidRPr="00E411D2">
        <w:rPr>
          <w:rFonts w:cs="Times New Roman"/>
          <w:color w:val="000000"/>
          <w:lang w:eastAsia="en-US"/>
        </w:rPr>
        <w:t>.</w:t>
      </w:r>
      <w:r w:rsidR="005178C1">
        <w:rPr>
          <w:rFonts w:cs="Times New Roman"/>
          <w:color w:val="000000"/>
          <w:lang w:eastAsia="en-US"/>
        </w:rPr>
        <w:t xml:space="preserve"> On this issue </w:t>
      </w:r>
      <w:r w:rsidR="00C107D0">
        <w:rPr>
          <w:rFonts w:cs="Times New Roman"/>
          <w:color w:val="000000"/>
          <w:lang w:eastAsia="en-US"/>
        </w:rPr>
        <w:t>Harnack</w:t>
      </w:r>
      <w:r w:rsidR="005178C1">
        <w:rPr>
          <w:rFonts w:cs="Times New Roman"/>
          <w:color w:val="000000"/>
          <w:lang w:eastAsia="en-US"/>
        </w:rPr>
        <w:t xml:space="preserve"> had simply retailed</w:t>
      </w:r>
      <w:r w:rsidRPr="005F0EAE">
        <w:rPr>
          <w:rFonts w:cs="Times New Roman"/>
          <w:color w:val="000000"/>
          <w:lang w:eastAsia="en-US"/>
        </w:rPr>
        <w:t xml:space="preserve"> an earlier conclusion of scholarship, one expressed </w:t>
      </w:r>
      <w:r>
        <w:rPr>
          <w:rFonts w:cs="Times New Roman"/>
          <w:color w:val="000000"/>
          <w:lang w:eastAsia="en-US"/>
        </w:rPr>
        <w:t>by F. C. Baur as early as 1853:</w:t>
      </w:r>
      <w:r w:rsidR="00E411D2" w:rsidRPr="00E411D2">
        <w:rPr>
          <w:rFonts w:cs="Times New Roman"/>
          <w:color w:val="000000"/>
          <w:lang w:eastAsia="en-US"/>
        </w:rPr>
        <w:t xml:space="preserve"> that Marcionitism was “the manifestation in the ancient church in which Paulinism developed the greatest energy of its anti-Jewish </w:t>
      </w:r>
      <w:r w:rsidR="00E411D2" w:rsidRPr="00E411D2">
        <w:rPr>
          <w:rFonts w:cs="Times New Roman"/>
          <w:color w:val="000000"/>
          <w:lang w:eastAsia="en-US"/>
        </w:rPr>
        <w:lastRenderedPageBreak/>
        <w:t>tendency</w:t>
      </w:r>
      <w:r>
        <w:rPr>
          <w:rFonts w:cs="Times New Roman"/>
          <w:color w:val="000000"/>
          <w:lang w:eastAsia="en-US"/>
        </w:rPr>
        <w:t>.</w:t>
      </w:r>
      <w:r w:rsidR="00E411D2" w:rsidRPr="00E411D2">
        <w:rPr>
          <w:rFonts w:cs="Times New Roman"/>
          <w:color w:val="000000"/>
          <w:lang w:eastAsia="en-US"/>
        </w:rPr>
        <w:t>”</w:t>
      </w:r>
      <w:r w:rsidRPr="00FC01D9">
        <w:rPr>
          <w:rStyle w:val="FootnoteReference"/>
          <w:rFonts w:cs="Times New Roman"/>
          <w:color w:val="000000"/>
          <w:lang w:eastAsia="en-US"/>
        </w:rPr>
        <w:footnoteReference w:id="2"/>
      </w:r>
      <w:r w:rsidR="00C107D0">
        <w:rPr>
          <w:rFonts w:cs="Times New Roman"/>
          <w:color w:val="000000"/>
          <w:lang w:eastAsia="en-US"/>
        </w:rPr>
        <w:t xml:space="preserve"> Some scholars </w:t>
      </w:r>
      <w:r w:rsidR="00C107D0">
        <w:t xml:space="preserve">have gone so far as to raise </w:t>
      </w:r>
      <w:r w:rsidR="004C5AE2">
        <w:t xml:space="preserve">the question as to whether Marcion’s theology and church, had it won the day, might have been less anti-Jewish than </w:t>
      </w:r>
      <w:r w:rsidR="005178C1">
        <w:t xml:space="preserve">Christianity largely </w:t>
      </w:r>
      <w:r w:rsidR="004C5AE2">
        <w:t>turned out to be</w:t>
      </w:r>
      <w:r w:rsidR="005178C1">
        <w:t>. But s</w:t>
      </w:r>
      <w:r w:rsidR="004C5AE2">
        <w:t xml:space="preserve">uch hypotheticals, I believe, escape what level of certainty historical knowledge can afford us; raising questions, however, about comparative Christian anti-Judaisms is a worthy enterprise, particularly since </w:t>
      </w:r>
      <w:r w:rsidR="004C5AE2">
        <w:rPr>
          <w:rFonts w:cs="Times New Roman"/>
          <w:color w:val="000000"/>
          <w:lang w:eastAsia="en-US"/>
        </w:rPr>
        <w:t xml:space="preserve">research into this aspect of church history—and our knowledge </w:t>
      </w:r>
      <w:r w:rsidR="005178C1">
        <w:rPr>
          <w:rFonts w:cs="Times New Roman"/>
          <w:color w:val="000000"/>
          <w:lang w:eastAsia="en-US"/>
        </w:rPr>
        <w:t>of Judaism in the Roman period—</w:t>
      </w:r>
      <w:r w:rsidR="004C5AE2">
        <w:rPr>
          <w:rFonts w:cs="Times New Roman"/>
          <w:color w:val="000000"/>
          <w:lang w:eastAsia="en-US"/>
        </w:rPr>
        <w:t xml:space="preserve">has advanced </w:t>
      </w:r>
      <w:r w:rsidR="005178C1">
        <w:rPr>
          <w:rFonts w:cs="Times New Roman"/>
          <w:color w:val="000000"/>
          <w:lang w:eastAsia="en-US"/>
        </w:rPr>
        <w:t>not in</w:t>
      </w:r>
      <w:r w:rsidR="004C5AE2">
        <w:rPr>
          <w:rFonts w:cs="Times New Roman"/>
          <w:color w:val="000000"/>
          <w:lang w:eastAsia="en-US"/>
        </w:rPr>
        <w:t>significantly since Harnack.</w:t>
      </w:r>
    </w:p>
    <w:p w14:paraId="5265CE1E" w14:textId="67447993" w:rsidR="00E411D2" w:rsidRPr="00832E1E" w:rsidRDefault="00A32B99" w:rsidP="000E7BE7">
      <w:pPr>
        <w:spacing w:before="100" w:beforeAutospacing="1" w:after="100" w:afterAutospacing="1" w:line="480" w:lineRule="auto"/>
        <w:ind w:firstLine="720"/>
        <w:contextualSpacing/>
      </w:pPr>
      <w:r w:rsidRPr="00FC01D9">
        <w:rPr>
          <w:rFonts w:cs="Times New Roman"/>
          <w:color w:val="000000"/>
          <w:lang w:eastAsia="en-US"/>
        </w:rPr>
        <w:t>Harnack</w:t>
      </w:r>
      <w:r w:rsidR="000E7BE7">
        <w:rPr>
          <w:rFonts w:cs="Times New Roman"/>
          <w:color w:val="000000"/>
          <w:lang w:eastAsia="en-US"/>
        </w:rPr>
        <w:t xml:space="preserve"> for his part</w:t>
      </w:r>
      <w:r w:rsidR="00C107D0">
        <w:rPr>
          <w:rFonts w:cs="Times New Roman"/>
          <w:color w:val="000000"/>
          <w:lang w:eastAsia="en-US"/>
        </w:rPr>
        <w:t xml:space="preserve"> maintained that</w:t>
      </w:r>
      <w:r w:rsidRPr="00FC01D9">
        <w:rPr>
          <w:rFonts w:cs="Times New Roman"/>
          <w:color w:val="000000"/>
          <w:lang w:eastAsia="en-US"/>
        </w:rPr>
        <w:t xml:space="preserve"> Marcion </w:t>
      </w:r>
      <w:r w:rsidR="00C107D0">
        <w:rPr>
          <w:rFonts w:cs="Times New Roman"/>
          <w:color w:val="000000"/>
          <w:lang w:eastAsia="en-US"/>
        </w:rPr>
        <w:t>w</w:t>
      </w:r>
      <w:r w:rsidRPr="00FC01D9">
        <w:rPr>
          <w:rFonts w:cs="Times New Roman"/>
          <w:color w:val="000000"/>
          <w:lang w:eastAsia="en-US"/>
        </w:rPr>
        <w:t>as “the sharpes</w:t>
      </w:r>
      <w:r w:rsidR="00C107D0">
        <w:rPr>
          <w:rFonts w:cs="Times New Roman"/>
          <w:color w:val="000000"/>
          <w:lang w:eastAsia="en-US"/>
        </w:rPr>
        <w:t>t adversary of Ju</w:t>
      </w:r>
      <w:r w:rsidR="0027786F">
        <w:rPr>
          <w:rFonts w:cs="Times New Roman"/>
          <w:color w:val="000000"/>
          <w:lang w:eastAsia="en-US"/>
        </w:rPr>
        <w:t>daism” and thought his church had been</w:t>
      </w:r>
      <w:r w:rsidRPr="00FC01D9">
        <w:rPr>
          <w:rFonts w:cs="Times New Roman"/>
          <w:color w:val="000000"/>
          <w:lang w:eastAsia="en-US"/>
        </w:rPr>
        <w:t xml:space="preserve"> built upon </w:t>
      </w:r>
      <w:r w:rsidR="00C107D0">
        <w:rPr>
          <w:rFonts w:cs="Times New Roman"/>
          <w:color w:val="000000"/>
          <w:lang w:eastAsia="en-US"/>
        </w:rPr>
        <w:t>“</w:t>
      </w:r>
      <w:r w:rsidR="00613E27">
        <w:rPr>
          <w:rFonts w:cs="Times New Roman"/>
          <w:color w:val="000000"/>
          <w:lang w:eastAsia="en-US"/>
        </w:rPr>
        <w:t xml:space="preserve">a </w:t>
      </w:r>
      <w:r w:rsidRPr="00FC01D9">
        <w:rPr>
          <w:rFonts w:cs="Times New Roman"/>
          <w:color w:val="000000"/>
          <w:lang w:eastAsia="en-US"/>
        </w:rPr>
        <w:t>resentment toward Judaism and its religion.”</w:t>
      </w:r>
      <w:r w:rsidRPr="00FC01D9">
        <w:rPr>
          <w:rStyle w:val="FootnoteReference"/>
          <w:rFonts w:cs="Times New Roman"/>
          <w:color w:val="000000"/>
          <w:lang w:eastAsia="en-US"/>
        </w:rPr>
        <w:footnoteReference w:id="3"/>
      </w:r>
      <w:r w:rsidR="00C107D0">
        <w:rPr>
          <w:rFonts w:cs="Times New Roman"/>
          <w:color w:val="000000"/>
          <w:lang w:eastAsia="en-US"/>
        </w:rPr>
        <w:t xml:space="preserve"> Walter</w:t>
      </w:r>
      <w:r w:rsidR="00C107D0" w:rsidRPr="00E411D2">
        <w:rPr>
          <w:rFonts w:cs="Times New Roman"/>
          <w:color w:val="000000"/>
          <w:lang w:eastAsia="en-US"/>
        </w:rPr>
        <w:t xml:space="preserve"> Bau</w:t>
      </w:r>
      <w:r w:rsidR="00C107D0">
        <w:rPr>
          <w:rFonts w:cs="Times New Roman"/>
          <w:color w:val="000000"/>
          <w:lang w:eastAsia="en-US"/>
        </w:rPr>
        <w:t>e</w:t>
      </w:r>
      <w:r w:rsidR="00C107D0" w:rsidRPr="00E411D2">
        <w:rPr>
          <w:rFonts w:cs="Times New Roman"/>
          <w:color w:val="000000"/>
          <w:lang w:eastAsia="en-US"/>
        </w:rPr>
        <w:t>r</w:t>
      </w:r>
      <w:r w:rsidR="0027786F">
        <w:rPr>
          <w:rFonts w:cs="Times New Roman"/>
          <w:color w:val="000000"/>
          <w:lang w:eastAsia="en-US"/>
        </w:rPr>
        <w:t>, in h</w:t>
      </w:r>
      <w:r w:rsidR="00562487">
        <w:rPr>
          <w:rFonts w:cs="Times New Roman"/>
          <w:color w:val="000000"/>
          <w:lang w:eastAsia="en-US"/>
        </w:rPr>
        <w:t>i</w:t>
      </w:r>
      <w:r w:rsidR="0027786F">
        <w:rPr>
          <w:rFonts w:cs="Times New Roman"/>
          <w:color w:val="000000"/>
          <w:lang w:eastAsia="en-US"/>
        </w:rPr>
        <w:t>s</w:t>
      </w:r>
      <w:r w:rsidR="00C107D0">
        <w:rPr>
          <w:rFonts w:cs="Times New Roman"/>
          <w:color w:val="000000"/>
          <w:lang w:eastAsia="en-US"/>
        </w:rPr>
        <w:t xml:space="preserve"> lengthy and searching 1923 review of Harnack’s</w:t>
      </w:r>
      <w:r w:rsidR="00C107D0" w:rsidRPr="00E411D2">
        <w:rPr>
          <w:rFonts w:cs="Times New Roman"/>
          <w:color w:val="000000"/>
          <w:lang w:eastAsia="en-US"/>
        </w:rPr>
        <w:t xml:space="preserve"> </w:t>
      </w:r>
      <w:r w:rsidR="00C107D0" w:rsidRPr="00E411D2">
        <w:rPr>
          <w:rFonts w:cs="Times New Roman"/>
          <w:i/>
          <w:color w:val="000000"/>
          <w:lang w:eastAsia="en-US"/>
        </w:rPr>
        <w:t>Marcio</w:t>
      </w:r>
      <w:r w:rsidR="00C107D0">
        <w:rPr>
          <w:rFonts w:cs="Times New Roman"/>
          <w:i/>
          <w:color w:val="000000"/>
          <w:lang w:eastAsia="en-US"/>
        </w:rPr>
        <w:t>n</w:t>
      </w:r>
      <w:r w:rsidR="0027786F">
        <w:rPr>
          <w:rFonts w:cs="Times New Roman"/>
          <w:color w:val="000000"/>
          <w:lang w:eastAsia="en-US"/>
        </w:rPr>
        <w:t>,</w:t>
      </w:r>
      <w:r w:rsidR="00C107D0" w:rsidRPr="00FC01D9">
        <w:rPr>
          <w:rStyle w:val="FootnoteReference"/>
          <w:rFonts w:cs="Times New Roman"/>
          <w:color w:val="000000"/>
          <w:lang w:eastAsia="en-US"/>
        </w:rPr>
        <w:footnoteReference w:id="4"/>
      </w:r>
      <w:r w:rsidR="00C107D0">
        <w:rPr>
          <w:rFonts w:cs="Times New Roman"/>
          <w:color w:val="000000"/>
          <w:lang w:eastAsia="en-US"/>
        </w:rPr>
        <w:t xml:space="preserve"> had no second thoughts on this matter and affirmed that </w:t>
      </w:r>
      <w:r w:rsidR="00C107D0" w:rsidRPr="00FC01D9">
        <w:rPr>
          <w:rFonts w:cs="Times New Roman"/>
          <w:color w:val="000000"/>
          <w:lang w:eastAsia="en-US"/>
        </w:rPr>
        <w:t>the ship-owner</w:t>
      </w:r>
      <w:r w:rsidR="00C107D0" w:rsidRPr="00FC01D9">
        <w:t xml:space="preserve"> (</w:t>
      </w:r>
      <w:r w:rsidR="00C107D0" w:rsidRPr="00FC01D9">
        <w:rPr>
          <w:i/>
        </w:rPr>
        <w:t>nauclerus</w:t>
      </w:r>
      <w:r w:rsidR="00C107D0" w:rsidRPr="00FC01D9">
        <w:t>)</w:t>
      </w:r>
      <w:r w:rsidR="00C107D0" w:rsidRPr="00FC01D9">
        <w:rPr>
          <w:rStyle w:val="FootnoteReference"/>
        </w:rPr>
        <w:footnoteReference w:id="5"/>
      </w:r>
      <w:r w:rsidR="00C107D0" w:rsidRPr="00FC01D9">
        <w:rPr>
          <w:rFonts w:cs="Times New Roman"/>
          <w:color w:val="000000"/>
          <w:lang w:eastAsia="en-US"/>
        </w:rPr>
        <w:t xml:space="preserve"> from Pontus</w:t>
      </w:r>
      <w:r w:rsidR="00613E27">
        <w:rPr>
          <w:rFonts w:cs="Times New Roman"/>
          <w:color w:val="000000"/>
          <w:lang w:eastAsia="en-US"/>
        </w:rPr>
        <w:t xml:space="preserve"> set out from</w:t>
      </w:r>
      <w:r w:rsidR="00C107D0" w:rsidRPr="00E411D2">
        <w:rPr>
          <w:rFonts w:cs="Times New Roman"/>
          <w:color w:val="000000"/>
          <w:lang w:eastAsia="en-US"/>
        </w:rPr>
        <w:t xml:space="preserve"> “</w:t>
      </w:r>
      <w:r w:rsidR="00613E27">
        <w:rPr>
          <w:rFonts w:cs="Times New Roman"/>
          <w:color w:val="000000"/>
          <w:lang w:eastAsia="en-US"/>
        </w:rPr>
        <w:t xml:space="preserve">a </w:t>
      </w:r>
      <w:r w:rsidR="002F2687">
        <w:rPr>
          <w:rFonts w:cs="Times New Roman"/>
          <w:color w:val="000000"/>
          <w:lang w:eastAsia="en-US"/>
        </w:rPr>
        <w:t>pro</w:t>
      </w:r>
      <w:r w:rsidR="00EE588F">
        <w:rPr>
          <w:rFonts w:cs="Times New Roman"/>
          <w:color w:val="000000"/>
          <w:lang w:eastAsia="en-US"/>
        </w:rPr>
        <w:t xml:space="preserve">nounced aversion to </w:t>
      </w:r>
      <w:r w:rsidR="002F2687">
        <w:rPr>
          <w:rFonts w:cs="Times New Roman"/>
          <w:color w:val="000000"/>
          <w:lang w:eastAsia="en-US"/>
        </w:rPr>
        <w:t>Judaism, a harshly antisemitic outlook”</w:t>
      </w:r>
      <w:r w:rsidR="00613E27">
        <w:rPr>
          <w:rFonts w:cs="Times New Roman"/>
          <w:color w:val="000000"/>
          <w:lang w:eastAsia="en-US"/>
        </w:rPr>
        <w:t xml:space="preserve"> which combined with his loa</w:t>
      </w:r>
      <w:r w:rsidR="00562487">
        <w:rPr>
          <w:rFonts w:cs="Times New Roman"/>
          <w:color w:val="000000"/>
          <w:lang w:eastAsia="en-US"/>
        </w:rPr>
        <w:t>thing for material creation produc</w:t>
      </w:r>
      <w:r w:rsidR="00613E27">
        <w:rPr>
          <w:rFonts w:cs="Times New Roman"/>
          <w:color w:val="000000"/>
          <w:lang w:eastAsia="en-US"/>
        </w:rPr>
        <w:t>ed “an enmity against the God of the Jews.”</w:t>
      </w:r>
      <w:r w:rsidR="00C107D0" w:rsidRPr="00FC01D9">
        <w:rPr>
          <w:rStyle w:val="FootnoteReference"/>
          <w:rFonts w:cs="Times New Roman"/>
          <w:color w:val="000000"/>
          <w:lang w:eastAsia="en-US"/>
        </w:rPr>
        <w:footnoteReference w:id="6"/>
      </w:r>
      <w:r w:rsidR="00C107D0">
        <w:rPr>
          <w:rFonts w:cs="Times New Roman"/>
          <w:color w:val="000000"/>
          <w:lang w:eastAsia="en-US"/>
        </w:rPr>
        <w:t xml:space="preserve"> </w:t>
      </w:r>
      <w:r w:rsidR="00F16E0C">
        <w:t>Hans Jonas</w:t>
      </w:r>
      <w:r w:rsidR="00B1348C">
        <w:t xml:space="preserve">, </w:t>
      </w:r>
      <w:r w:rsidR="00613E27">
        <w:t xml:space="preserve">contrary to </w:t>
      </w:r>
      <w:r w:rsidR="00B1348C">
        <w:t>Harnark, presents Marcion as</w:t>
      </w:r>
      <w:r w:rsidR="00613E27">
        <w:t xml:space="preserve"> r</w:t>
      </w:r>
      <w:r w:rsidR="0027786F">
        <w:t>epresentative of</w:t>
      </w:r>
      <w:r w:rsidR="00B1348C">
        <w:t xml:space="preserve"> gnosticism, </w:t>
      </w:r>
      <w:r w:rsidR="00D46165">
        <w:t>charact</w:t>
      </w:r>
      <w:r w:rsidR="00B1348C">
        <w:t>erizing</w:t>
      </w:r>
      <w:r w:rsidR="00D46165">
        <w:t xml:space="preserve"> </w:t>
      </w:r>
      <w:r w:rsidR="0027786F">
        <w:t xml:space="preserve">Marcion as having a </w:t>
      </w:r>
      <w:r w:rsidR="00F16E0C">
        <w:t>“</w:t>
      </w:r>
      <w:r w:rsidR="00F16E0C" w:rsidRPr="00F56BCB">
        <w:t>pitiless contempt of the creator and his work</w:t>
      </w:r>
      <w:r w:rsidR="00F16E0C">
        <w:t>.”</w:t>
      </w:r>
      <w:r w:rsidR="00F16E0C">
        <w:rPr>
          <w:rStyle w:val="FootnoteReference"/>
        </w:rPr>
        <w:footnoteReference w:id="7"/>
      </w:r>
      <w:r w:rsidR="00A97431">
        <w:t xml:space="preserve"> </w:t>
      </w:r>
      <w:r w:rsidR="00B1348C">
        <w:t xml:space="preserve">Against </w:t>
      </w:r>
      <w:r w:rsidR="0027786F">
        <w:t xml:space="preserve">this consensus, </w:t>
      </w:r>
      <w:r w:rsidR="00B1348C">
        <w:t xml:space="preserve"> a number of scholars </w:t>
      </w:r>
      <w:r w:rsidR="0027786F">
        <w:t xml:space="preserve"> have</w:t>
      </w:r>
      <w:r w:rsidR="00B1348C">
        <w:t xml:space="preserve"> recently</w:t>
      </w:r>
      <w:r w:rsidR="0027786F">
        <w:t xml:space="preserve"> </w:t>
      </w:r>
      <w:r w:rsidR="00A97431">
        <w:t>raise</w:t>
      </w:r>
      <w:r w:rsidR="0027786F">
        <w:t>d</w:t>
      </w:r>
      <w:r w:rsidR="00330689">
        <w:t xml:space="preserve"> the possibility that</w:t>
      </w:r>
      <w:r w:rsidR="00A97431">
        <w:t xml:space="preserve"> although Marcion</w:t>
      </w:r>
      <w:r w:rsidR="0027786F">
        <w:t xml:space="preserve"> may have</w:t>
      </w:r>
      <w:r w:rsidR="00A97431">
        <w:t xml:space="preserve"> deprecated all things Old Testament</w:t>
      </w:r>
      <w:r w:rsidR="0027786F">
        <w:t>al</w:t>
      </w:r>
      <w:r w:rsidR="00A97431">
        <w:t xml:space="preserve"> so far as</w:t>
      </w:r>
      <w:r w:rsidR="00330689">
        <w:t xml:space="preserve"> Christian</w:t>
      </w:r>
      <w:r w:rsidR="00A97431">
        <w:t>ity</w:t>
      </w:r>
      <w:r w:rsidR="00B1348C">
        <w:t xml:space="preserve"> was</w:t>
      </w:r>
      <w:r w:rsidR="00A97431">
        <w:t xml:space="preserve"> concerned,</w:t>
      </w:r>
      <w:r w:rsidR="0027786F">
        <w:t xml:space="preserve"> such a position may have</w:t>
      </w:r>
      <w:r w:rsidR="00330689">
        <w:t xml:space="preserve"> entailed no prejudice aga</w:t>
      </w:r>
      <w:r w:rsidR="00A97431">
        <w:t>inst the legitimacy of Torah as the basis for the religion of</w:t>
      </w:r>
      <w:r w:rsidR="00AF3920">
        <w:t xml:space="preserve"> Jews. Along such lines</w:t>
      </w:r>
      <w:r w:rsidR="00330689">
        <w:t xml:space="preserve"> Marcion</w:t>
      </w:r>
      <w:r w:rsidR="00AF3920">
        <w:t xml:space="preserve"> would be a pioneer—as John Marshall has urged in an article published last year</w:t>
      </w:r>
      <w:r w:rsidR="0027786F">
        <w:t xml:space="preserve"> in </w:t>
      </w:r>
      <w:r w:rsidR="0027786F">
        <w:rPr>
          <w:i/>
        </w:rPr>
        <w:t>The Journal of Early Christian Studies</w:t>
      </w:r>
      <w:r w:rsidR="00AF3920">
        <w:t>—</w:t>
      </w:r>
      <w:r w:rsidR="00330689">
        <w:t xml:space="preserve">of the so-called “two-covenant” or </w:t>
      </w:r>
      <w:r w:rsidR="00330689">
        <w:rPr>
          <w:i/>
        </w:rPr>
        <w:t>Sonderweg</w:t>
      </w:r>
      <w:r w:rsidR="0027786F">
        <w:t xml:space="preserve"> (</w:t>
      </w:r>
      <w:r w:rsidR="001C42F2">
        <w:t>more literally, ‘separate ways</w:t>
      </w:r>
      <w:r w:rsidR="0027786F">
        <w:t xml:space="preserve">’) </w:t>
      </w:r>
      <w:r w:rsidR="00330689">
        <w:t xml:space="preserve">solution which reads Paul’s critique of the Law as applying only to attempts to harness it as a means for the salvation of </w:t>
      </w:r>
      <w:r w:rsidR="00330689">
        <w:rPr>
          <w:i/>
        </w:rPr>
        <w:t>gentiles</w:t>
      </w:r>
      <w:r w:rsidR="001C42F2">
        <w:t>.</w:t>
      </w:r>
      <w:r w:rsidR="001C42F2">
        <w:rPr>
          <w:rStyle w:val="FootnoteReference"/>
        </w:rPr>
        <w:footnoteReference w:id="8"/>
      </w:r>
      <w:r w:rsidR="00330689">
        <w:t xml:space="preserve"> Th</w:t>
      </w:r>
      <w:r w:rsidR="00AF3920">
        <w:t xml:space="preserve">us </w:t>
      </w:r>
      <w:r w:rsidR="0027786F">
        <w:t>reconsidering</w:t>
      </w:r>
      <w:r w:rsidR="00330689">
        <w:t xml:space="preserve"> Marcion’s positi</w:t>
      </w:r>
      <w:r w:rsidR="00AF3920">
        <w:t xml:space="preserve">on on Jews and Judaism need not fly in the face of </w:t>
      </w:r>
      <w:r w:rsidR="00330689">
        <w:t>the mass of evidence from Justin, Irenaeus, Tertullian, and other</w:t>
      </w:r>
      <w:r w:rsidR="0027786F">
        <w:t>s</w:t>
      </w:r>
      <w:r w:rsidR="00330689">
        <w:t xml:space="preserve"> which has Marcion engaged in a sustained attack upon the Creator God</w:t>
      </w:r>
      <w:r w:rsidR="00D13EB4">
        <w:t xml:space="preserve"> and his Law</w:t>
      </w:r>
      <w:r w:rsidR="00330689">
        <w:t>.</w:t>
      </w:r>
    </w:p>
    <w:p w14:paraId="26A128F8" w14:textId="4210403A" w:rsidR="00E411D2" w:rsidRPr="00E411D2" w:rsidRDefault="004E16DA" w:rsidP="00D13EB4">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Here I would like</w:t>
      </w:r>
      <w:r w:rsidR="00E411D2" w:rsidRPr="00E411D2">
        <w:rPr>
          <w:rFonts w:cs="Times New Roman"/>
          <w:color w:val="000000"/>
          <w:lang w:eastAsia="en-US"/>
        </w:rPr>
        <w:t xml:space="preserve"> to call into question the validity of the</w:t>
      </w:r>
      <w:r w:rsidR="00D13EB4">
        <w:rPr>
          <w:rFonts w:cs="Times New Roman"/>
          <w:color w:val="000000"/>
          <w:lang w:eastAsia="en-US"/>
        </w:rPr>
        <w:t>se</w:t>
      </w:r>
      <w:r w:rsidR="00E411D2" w:rsidRPr="00E411D2">
        <w:rPr>
          <w:rFonts w:cs="Times New Roman"/>
          <w:color w:val="000000"/>
          <w:lang w:eastAsia="en-US"/>
        </w:rPr>
        <w:t xml:space="preserve"> recent scholarly claims</w:t>
      </w:r>
      <w:r w:rsidR="00832E1E">
        <w:rPr>
          <w:rFonts w:cs="Times New Roman"/>
          <w:color w:val="000000"/>
          <w:lang w:eastAsia="en-US"/>
        </w:rPr>
        <w:t xml:space="preserve"> which have which attempted</w:t>
      </w:r>
      <w:r w:rsidR="00E411D2" w:rsidRPr="00E411D2">
        <w:rPr>
          <w:rFonts w:cs="Times New Roman"/>
          <w:color w:val="000000"/>
          <w:lang w:eastAsia="en-US"/>
        </w:rPr>
        <w:t xml:space="preserve"> to dismantle or mitigate the </w:t>
      </w:r>
      <w:r w:rsidR="00832E1E">
        <w:rPr>
          <w:rFonts w:cs="Times New Roman"/>
          <w:color w:val="000000"/>
          <w:lang w:eastAsia="en-US"/>
        </w:rPr>
        <w:t>traditional</w:t>
      </w:r>
      <w:r w:rsidR="00E411D2" w:rsidRPr="00E411D2">
        <w:rPr>
          <w:rFonts w:cs="Times New Roman"/>
          <w:color w:val="000000"/>
          <w:lang w:eastAsia="en-US"/>
        </w:rPr>
        <w:t xml:space="preserve"> portrait of Marcion as sharply anti-Jewish</w:t>
      </w:r>
      <w:r w:rsidR="00832E1E">
        <w:rPr>
          <w:rFonts w:cs="Times New Roman"/>
          <w:color w:val="000000"/>
          <w:lang w:eastAsia="en-US"/>
        </w:rPr>
        <w:t>. Following the suggestion of David</w:t>
      </w:r>
      <w:r w:rsidR="00E411D2" w:rsidRPr="00E411D2">
        <w:rPr>
          <w:rFonts w:cs="Times New Roman"/>
          <w:color w:val="000000"/>
          <w:lang w:eastAsia="en-US"/>
        </w:rPr>
        <w:t xml:space="preserve"> Balás that “Marcion’s ‘point of departure’ was deeply influenced by his and his fellow Christ</w:t>
      </w:r>
      <w:r w:rsidR="00602DF5">
        <w:rPr>
          <w:rFonts w:cs="Times New Roman"/>
          <w:color w:val="000000"/>
          <w:lang w:eastAsia="en-US"/>
        </w:rPr>
        <w:t>ians’ relationship with Judaism</w:t>
      </w:r>
      <w:r w:rsidR="00E411D2" w:rsidRPr="00E411D2">
        <w:rPr>
          <w:rFonts w:cs="Times New Roman"/>
          <w:color w:val="000000"/>
          <w:lang w:eastAsia="en-US"/>
        </w:rPr>
        <w:t>”</w:t>
      </w:r>
      <w:r w:rsidR="00602DF5">
        <w:rPr>
          <w:rFonts w:cs="Times New Roman"/>
          <w:color w:val="000000"/>
          <w:lang w:eastAsia="en-US"/>
        </w:rPr>
        <w:t xml:space="preserve"> (and that </w:t>
      </w:r>
      <w:r w:rsidR="00602DF5" w:rsidRPr="00E411D2">
        <w:rPr>
          <w:rFonts w:cs="Times New Roman"/>
          <w:color w:val="000000"/>
          <w:lang w:eastAsia="en-US"/>
        </w:rPr>
        <w:t>the Bar Kochba war</w:t>
      </w:r>
      <w:r w:rsidR="00FC24C3">
        <w:rPr>
          <w:rFonts w:cs="Times New Roman"/>
          <w:color w:val="000000"/>
          <w:lang w:eastAsia="en-US"/>
        </w:rPr>
        <w:t xml:space="preserve"> of 134–136</w:t>
      </w:r>
      <w:r w:rsidR="00602DF5">
        <w:rPr>
          <w:rFonts w:cs="Times New Roman"/>
          <w:color w:val="000000"/>
          <w:lang w:eastAsia="en-US"/>
        </w:rPr>
        <w:t xml:space="preserve"> played a role in heightening the motivation for further Christian distancing from Judaism),</w:t>
      </w:r>
      <w:r w:rsidR="00125C88">
        <w:rPr>
          <w:rStyle w:val="FootnoteReference"/>
          <w:rFonts w:cs="Times New Roman"/>
          <w:color w:val="000000"/>
          <w:lang w:eastAsia="en-US"/>
        </w:rPr>
        <w:footnoteReference w:id="9"/>
      </w:r>
      <w:r w:rsidR="00E411D2" w:rsidRPr="00E411D2">
        <w:rPr>
          <w:rFonts w:cs="Times New Roman"/>
          <w:color w:val="000000"/>
          <w:lang w:eastAsia="en-US"/>
        </w:rPr>
        <w:t xml:space="preserve"> I hope to show</w:t>
      </w:r>
      <w:r w:rsidR="001C266D">
        <w:rPr>
          <w:rFonts w:cs="Times New Roman"/>
          <w:color w:val="000000"/>
          <w:lang w:eastAsia="en-US"/>
        </w:rPr>
        <w:t xml:space="preserve"> that</w:t>
      </w:r>
      <w:r w:rsidR="00832E1E">
        <w:rPr>
          <w:rFonts w:cs="Times New Roman"/>
          <w:color w:val="000000"/>
          <w:lang w:eastAsia="en-US"/>
        </w:rPr>
        <w:t xml:space="preserve"> </w:t>
      </w:r>
      <w:r w:rsidR="001C266D">
        <w:rPr>
          <w:rFonts w:cs="Times New Roman"/>
          <w:color w:val="000000"/>
          <w:lang w:eastAsia="en-US"/>
        </w:rPr>
        <w:t xml:space="preserve">a more </w:t>
      </w:r>
      <w:r w:rsidR="00832E1E">
        <w:rPr>
          <w:rFonts w:cs="Times New Roman"/>
          <w:color w:val="000000"/>
          <w:lang w:eastAsia="en-US"/>
        </w:rPr>
        <w:t>probable account</w:t>
      </w:r>
      <w:r w:rsidR="001C266D">
        <w:rPr>
          <w:rFonts w:cs="Times New Roman"/>
          <w:color w:val="000000"/>
          <w:lang w:eastAsia="en-US"/>
        </w:rPr>
        <w:t xml:space="preserve"> of</w:t>
      </w:r>
      <w:r w:rsidR="00E411D2" w:rsidRPr="00E411D2">
        <w:rPr>
          <w:rFonts w:cs="Times New Roman"/>
          <w:color w:val="000000"/>
          <w:lang w:eastAsia="en-US"/>
        </w:rPr>
        <w:t xml:space="preserve"> Marcion’s</w:t>
      </w:r>
      <w:r w:rsidR="00832E1E">
        <w:rPr>
          <w:rFonts w:cs="Times New Roman"/>
          <w:color w:val="000000"/>
          <w:lang w:eastAsia="en-US"/>
        </w:rPr>
        <w:t xml:space="preserve"> alternative version of Christianity</w:t>
      </w:r>
      <w:r w:rsidR="00AB34D3">
        <w:rPr>
          <w:rFonts w:cs="Times New Roman"/>
          <w:color w:val="000000"/>
          <w:lang w:eastAsia="en-US"/>
        </w:rPr>
        <w:t xml:space="preserve"> must suppose that a major component of its success (and continued viability) will have been </w:t>
      </w:r>
      <w:r w:rsidR="00AB34D3" w:rsidRPr="00E411D2">
        <w:rPr>
          <w:rFonts w:cs="Times New Roman"/>
          <w:color w:val="000000"/>
          <w:lang w:eastAsia="en-US"/>
        </w:rPr>
        <w:t>the complete severance of Christianity from Judaism</w:t>
      </w:r>
      <w:r w:rsidR="00AB34D3">
        <w:rPr>
          <w:rFonts w:cs="Times New Roman"/>
          <w:color w:val="000000"/>
          <w:lang w:eastAsia="en-US"/>
        </w:rPr>
        <w:t xml:space="preserve"> presented as the purest form of the gospel.</w:t>
      </w:r>
      <w:r w:rsidR="00B965DA">
        <w:rPr>
          <w:rFonts w:cs="Times New Roman"/>
          <w:color w:val="000000"/>
          <w:lang w:eastAsia="en-US"/>
        </w:rPr>
        <w:t xml:space="preserve"> What was most innovative of Marcion—the total break with Judaism exemplified by his doctrine of Christ’s hitherto unknown Father</w:t>
      </w:r>
      <w:r w:rsidR="00BA7E36">
        <w:rPr>
          <w:rFonts w:cs="Times New Roman"/>
          <w:color w:val="000000"/>
          <w:lang w:eastAsia="en-US"/>
        </w:rPr>
        <w:t xml:space="preserve"> and his ‘New Testament’ that both refle</w:t>
      </w:r>
      <w:r>
        <w:rPr>
          <w:rFonts w:cs="Times New Roman"/>
          <w:color w:val="000000"/>
          <w:lang w:eastAsia="en-US"/>
        </w:rPr>
        <w:t xml:space="preserve">cted and substantiated his anti-Old </w:t>
      </w:r>
      <w:r w:rsidR="00BA7E36">
        <w:rPr>
          <w:rFonts w:cs="Times New Roman"/>
          <w:color w:val="000000"/>
          <w:lang w:eastAsia="en-US"/>
        </w:rPr>
        <w:t>Testamentalism</w:t>
      </w:r>
      <w:r w:rsidR="00BA7E36">
        <w:rPr>
          <w:rStyle w:val="FootnoteReference"/>
          <w:rFonts w:cs="Times New Roman"/>
          <w:color w:val="000000"/>
          <w:lang w:eastAsia="en-US"/>
        </w:rPr>
        <w:footnoteReference w:id="10"/>
      </w:r>
      <w:r w:rsidR="00BA7E36">
        <w:rPr>
          <w:rFonts w:cs="Times New Roman"/>
          <w:color w:val="000000"/>
          <w:lang w:eastAsia="en-US"/>
        </w:rPr>
        <w:t>—</w:t>
      </w:r>
      <w:r w:rsidR="00413F75">
        <w:rPr>
          <w:rFonts w:cs="Times New Roman"/>
          <w:color w:val="000000"/>
          <w:lang w:eastAsia="en-US"/>
        </w:rPr>
        <w:t>what was most innovative about Marcion, I will argue, is best explained as arising from the same socio-historical milieu that produced the forms of anti-J</w:t>
      </w:r>
      <w:r w:rsidR="00556C1E">
        <w:rPr>
          <w:rFonts w:cs="Times New Roman"/>
          <w:color w:val="000000"/>
          <w:lang w:eastAsia="en-US"/>
        </w:rPr>
        <w:t xml:space="preserve">udaism dominating the witnesses to Christianity in the first half of the second century. This thesis is hardly original, but I </w:t>
      </w:r>
      <w:r w:rsidR="0027786F">
        <w:rPr>
          <w:rFonts w:cs="Times New Roman"/>
          <w:color w:val="000000"/>
          <w:lang w:eastAsia="en-US"/>
        </w:rPr>
        <w:t>think it worth reasserting here in light of the move to rethink Marcion on this issue.</w:t>
      </w:r>
      <w:r w:rsidR="00556C1E">
        <w:rPr>
          <w:rFonts w:cs="Times New Roman"/>
          <w:color w:val="000000"/>
          <w:lang w:eastAsia="en-US"/>
        </w:rPr>
        <w:t xml:space="preserve"> Just because Marcion’s Christianity does not correspond to the </w:t>
      </w:r>
      <w:r w:rsidR="00BA1775">
        <w:rPr>
          <w:rFonts w:cs="Times New Roman"/>
          <w:color w:val="000000"/>
          <w:lang w:eastAsia="en-US"/>
        </w:rPr>
        <w:t>typical pattern of anti-Judaism</w:t>
      </w:r>
      <w:r w:rsidR="00556C1E">
        <w:rPr>
          <w:rFonts w:cs="Times New Roman"/>
          <w:color w:val="000000"/>
          <w:lang w:eastAsia="en-US"/>
        </w:rPr>
        <w:t xml:space="preserve"> in this period—which </w:t>
      </w:r>
      <w:r w:rsidR="00DB16F5">
        <w:rPr>
          <w:rFonts w:cs="Times New Roman"/>
          <w:color w:val="000000"/>
          <w:lang w:eastAsia="en-US"/>
        </w:rPr>
        <w:t xml:space="preserve">Marshall has </w:t>
      </w:r>
      <w:r w:rsidR="00DB16F5">
        <w:t>fittingly dubbed “appropriative supersessionis</w:t>
      </w:r>
      <w:r w:rsidR="00556C1E">
        <w:t>m</w:t>
      </w:r>
      <w:r w:rsidR="00DB16F5">
        <w:t>”</w:t>
      </w:r>
      <w:r w:rsidR="00DB16F5" w:rsidRPr="00211DB4">
        <w:rPr>
          <w:vertAlign w:val="superscript"/>
        </w:rPr>
        <w:footnoteReference w:id="11"/>
      </w:r>
      <w:r w:rsidR="00556C1E">
        <w:t>—does not give us sufficient grounds for supposing Marcionitism to have been the kinder, gentler Christian anti-Judaism</w:t>
      </w:r>
      <w:r w:rsidR="00BD74A9">
        <w:t xml:space="preserve"> po</w:t>
      </w:r>
      <w:r w:rsidR="00261A24">
        <w:t>sited by recent scholars</w:t>
      </w:r>
      <w:r w:rsidR="00BD74A9">
        <w:t xml:space="preserve"> I will examine in what follows. Particularly weak, I hope to show, is the central piece of evidence</w:t>
      </w:r>
      <w:r w:rsidR="00FC24C3">
        <w:t xml:space="preserve"> adduced in support of the revisionist claims for </w:t>
      </w:r>
      <w:r w:rsidR="00BD74A9">
        <w:t>Marcion’s putative respect for</w:t>
      </w:r>
      <w:r w:rsidR="00FC24C3">
        <w:t xml:space="preserve"> Jews</w:t>
      </w:r>
      <w:r w:rsidR="00B1348C">
        <w:t xml:space="preserve"> and</w:t>
      </w:r>
      <w:r w:rsidR="00BD74A9">
        <w:t xml:space="preserve"> Judaism: his use of the Old Testament as a reliable witness and his literal mode of interpreting it</w:t>
      </w:r>
      <w:r w:rsidR="009C7501">
        <w:t>.</w:t>
      </w:r>
    </w:p>
    <w:p w14:paraId="3DD19EDD" w14:textId="228444CE" w:rsidR="00A71CFB" w:rsidRPr="00FC01D9" w:rsidRDefault="005F70E0" w:rsidP="00D76349">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I will begin by</w:t>
      </w:r>
      <w:r w:rsidR="00C02CDF">
        <w:rPr>
          <w:rFonts w:cs="Times New Roman"/>
          <w:color w:val="000000"/>
          <w:lang w:eastAsia="en-US"/>
        </w:rPr>
        <w:t xml:space="preserve"> draw</w:t>
      </w:r>
      <w:r>
        <w:rPr>
          <w:rFonts w:cs="Times New Roman"/>
          <w:color w:val="000000"/>
          <w:lang w:eastAsia="en-US"/>
        </w:rPr>
        <w:t>ing</w:t>
      </w:r>
      <w:r w:rsidR="00C02CDF">
        <w:rPr>
          <w:rFonts w:cs="Times New Roman"/>
          <w:color w:val="000000"/>
          <w:lang w:eastAsia="en-US"/>
        </w:rPr>
        <w:t xml:space="preserve"> your attention to</w:t>
      </w:r>
      <w:r w:rsidR="00A71CFB">
        <w:rPr>
          <w:rFonts w:cs="Times New Roman"/>
          <w:color w:val="000000"/>
          <w:lang w:eastAsia="en-US"/>
        </w:rPr>
        <w:t xml:space="preserve"> </w:t>
      </w:r>
      <w:r w:rsidR="00A71CFB" w:rsidRPr="00FC01D9">
        <w:rPr>
          <w:rFonts w:cs="Times New Roman"/>
          <w:color w:val="000000"/>
          <w:lang w:eastAsia="en-US"/>
        </w:rPr>
        <w:t xml:space="preserve">a speculative utterance </w:t>
      </w:r>
      <w:r w:rsidR="00B1348C">
        <w:rPr>
          <w:rFonts w:cs="Times New Roman"/>
          <w:color w:val="000000"/>
          <w:lang w:eastAsia="en-US"/>
        </w:rPr>
        <w:t xml:space="preserve">Harnack </w:t>
      </w:r>
      <w:r w:rsidR="00C02CDF">
        <w:rPr>
          <w:rFonts w:cs="Times New Roman"/>
          <w:color w:val="000000"/>
          <w:lang w:eastAsia="en-US"/>
        </w:rPr>
        <w:t>made</w:t>
      </w:r>
      <w:r w:rsidR="00A71CFB" w:rsidRPr="00FC01D9">
        <w:rPr>
          <w:rFonts w:cs="Times New Roman"/>
          <w:color w:val="000000"/>
          <w:lang w:eastAsia="en-US"/>
        </w:rPr>
        <w:t xml:space="preserve"> in his response to the reviews of the first edition of his Marcion book. </w:t>
      </w:r>
      <w:r w:rsidR="00A71CFB">
        <w:rPr>
          <w:rFonts w:cs="Times New Roman"/>
          <w:color w:val="000000"/>
          <w:lang w:eastAsia="en-US"/>
        </w:rPr>
        <w:t>How</w:t>
      </w:r>
      <w:r w:rsidR="00C02CDF">
        <w:rPr>
          <w:rFonts w:cs="Times New Roman"/>
          <w:color w:val="000000"/>
          <w:lang w:eastAsia="en-US"/>
        </w:rPr>
        <w:t>, he asked,</w:t>
      </w:r>
      <w:r w:rsidR="00A71CFB">
        <w:rPr>
          <w:rFonts w:cs="Times New Roman"/>
          <w:color w:val="000000"/>
          <w:lang w:eastAsia="en-US"/>
        </w:rPr>
        <w:t xml:space="preserve"> can one account for the fact</w:t>
      </w:r>
      <w:r w:rsidR="00AC445D">
        <w:rPr>
          <w:rFonts w:cs="Times New Roman"/>
          <w:color w:val="000000"/>
          <w:lang w:eastAsia="en-US"/>
        </w:rPr>
        <w:t xml:space="preserve"> that Marcion appears</w:t>
      </w:r>
      <w:r w:rsidR="00A71CFB" w:rsidRPr="00FC01D9">
        <w:rPr>
          <w:rFonts w:cs="Times New Roman"/>
          <w:color w:val="000000"/>
          <w:lang w:eastAsia="en-US"/>
        </w:rPr>
        <w:t xml:space="preserve"> to have</w:t>
      </w:r>
      <w:r w:rsidR="00C02CDF">
        <w:rPr>
          <w:rFonts w:cs="Times New Roman"/>
          <w:color w:val="000000"/>
          <w:lang w:eastAsia="en-US"/>
        </w:rPr>
        <w:t xml:space="preserve"> had</w:t>
      </w:r>
      <w:r w:rsidR="00A71CFB" w:rsidRPr="00FC01D9">
        <w:rPr>
          <w:rFonts w:cs="Times New Roman"/>
          <w:color w:val="000000"/>
          <w:lang w:eastAsia="en-US"/>
        </w:rPr>
        <w:t xml:space="preserve"> no interest in pagan mythology, philosophy, mysticism, or gnosis, </w:t>
      </w:r>
      <w:r w:rsidR="00C02CDF">
        <w:rPr>
          <w:rFonts w:cs="Times New Roman"/>
          <w:color w:val="000000"/>
          <w:lang w:eastAsia="en-US"/>
        </w:rPr>
        <w:t xml:space="preserve">quite the </w:t>
      </w:r>
      <w:r w:rsidR="00A71CFB" w:rsidRPr="00FC01D9">
        <w:rPr>
          <w:rFonts w:cs="Times New Roman"/>
          <w:color w:val="000000"/>
          <w:lang w:eastAsia="en-US"/>
        </w:rPr>
        <w:t>contra</w:t>
      </w:r>
      <w:r w:rsidR="00C02CDF">
        <w:rPr>
          <w:rFonts w:cs="Times New Roman"/>
          <w:color w:val="000000"/>
          <w:lang w:eastAsia="en-US"/>
        </w:rPr>
        <w:t xml:space="preserve">ry </w:t>
      </w:r>
      <w:r w:rsidR="00A71CFB">
        <w:rPr>
          <w:rFonts w:cs="Times New Roman"/>
          <w:color w:val="000000"/>
          <w:lang w:eastAsia="en-US"/>
        </w:rPr>
        <w:t>o</w:t>
      </w:r>
      <w:r w:rsidR="00C02CDF">
        <w:rPr>
          <w:rFonts w:cs="Times New Roman"/>
          <w:color w:val="000000"/>
          <w:lang w:eastAsia="en-US"/>
        </w:rPr>
        <w:t>f</w:t>
      </w:r>
      <w:r w:rsidR="00A71CFB">
        <w:rPr>
          <w:rFonts w:cs="Times New Roman"/>
          <w:color w:val="000000"/>
          <w:lang w:eastAsia="en-US"/>
        </w:rPr>
        <w:t xml:space="preserve"> what we see in gnosticism?</w:t>
      </w:r>
      <w:r w:rsidR="00A71CFB" w:rsidRPr="00FC01D9">
        <w:rPr>
          <w:rFonts w:cs="Times New Roman"/>
          <w:color w:val="000000"/>
          <w:lang w:eastAsia="en-US"/>
        </w:rPr>
        <w:t xml:space="preserve"> “An explanation offers itself which I have for a long time entertained in silence, since I cannot prove it: Marcion—or rather, his family—came from Judaism ...</w:t>
      </w:r>
      <w:r w:rsidR="003E3D32">
        <w:rPr>
          <w:rFonts w:cs="Times New Roman"/>
          <w:color w:val="000000"/>
          <w:lang w:eastAsia="en-US"/>
        </w:rPr>
        <w:t>.</w:t>
      </w:r>
      <w:r w:rsidR="00A71CFB" w:rsidRPr="00FC01D9">
        <w:rPr>
          <w:rFonts w:cs="Times New Roman"/>
          <w:color w:val="000000"/>
          <w:lang w:eastAsia="en-US"/>
        </w:rPr>
        <w:t>”</w:t>
      </w:r>
      <w:r w:rsidR="00A71CFB" w:rsidRPr="00FC01D9">
        <w:rPr>
          <w:rStyle w:val="FootnoteReference"/>
          <w:rFonts w:cs="Times New Roman"/>
          <w:color w:val="000000"/>
          <w:lang w:eastAsia="en-US"/>
        </w:rPr>
        <w:footnoteReference w:id="12"/>
      </w:r>
      <w:r w:rsidR="00A71CFB" w:rsidRPr="00FC01D9">
        <w:rPr>
          <w:rFonts w:cs="Times New Roman"/>
          <w:color w:val="000000"/>
          <w:lang w:eastAsia="en-US"/>
        </w:rPr>
        <w:t xml:space="preserve"> As</w:t>
      </w:r>
      <w:r w:rsidR="00C02CDF">
        <w:rPr>
          <w:rFonts w:cs="Times New Roman"/>
          <w:color w:val="000000"/>
          <w:lang w:eastAsia="en-US"/>
        </w:rPr>
        <w:t xml:space="preserve"> admittedly non-probative grounds for </w:t>
      </w:r>
      <w:r w:rsidR="00AC445D">
        <w:rPr>
          <w:rFonts w:cs="Times New Roman"/>
          <w:color w:val="000000"/>
          <w:lang w:eastAsia="en-US"/>
        </w:rPr>
        <w:t>t</w:t>
      </w:r>
      <w:r w:rsidR="00C02CDF">
        <w:rPr>
          <w:rFonts w:cs="Times New Roman"/>
          <w:color w:val="000000"/>
          <w:lang w:eastAsia="en-US"/>
        </w:rPr>
        <w:t>h</w:t>
      </w:r>
      <w:r w:rsidR="00A71CFB" w:rsidRPr="00FC01D9">
        <w:rPr>
          <w:rFonts w:cs="Times New Roman"/>
          <w:color w:val="000000"/>
          <w:lang w:eastAsia="en-US"/>
        </w:rPr>
        <w:t>is sug</w:t>
      </w:r>
      <w:r w:rsidR="008577F6">
        <w:rPr>
          <w:rFonts w:cs="Times New Roman"/>
          <w:color w:val="000000"/>
          <w:lang w:eastAsia="en-US"/>
        </w:rPr>
        <w:t>gestion Harnack offered</w:t>
      </w:r>
      <w:r w:rsidR="00A71CFB" w:rsidRPr="00FC01D9">
        <w:rPr>
          <w:rFonts w:cs="Times New Roman"/>
          <w:color w:val="000000"/>
          <w:lang w:eastAsia="en-US"/>
        </w:rPr>
        <w:t xml:space="preserve"> a nu</w:t>
      </w:r>
      <w:r w:rsidR="008577F6">
        <w:rPr>
          <w:rFonts w:cs="Times New Roman"/>
          <w:color w:val="000000"/>
          <w:lang w:eastAsia="en-US"/>
        </w:rPr>
        <w:t xml:space="preserve">mber of circumstances: </w:t>
      </w:r>
      <w:r w:rsidR="00A71CFB" w:rsidRPr="00FC01D9">
        <w:rPr>
          <w:rFonts w:cs="Times New Roman"/>
          <w:color w:val="000000"/>
          <w:lang w:eastAsia="en-US"/>
        </w:rPr>
        <w:t xml:space="preserve">that the earliest conversions to Christianity were from Judaism; that Marcion’s account of the messiah of Jewish expectation dovetail with that of Jews; that his Christianity arose from the aforementioned resentment against Judaism and its religion; </w:t>
      </w:r>
      <w:r w:rsidR="00C02CDF">
        <w:rPr>
          <w:rFonts w:cs="Times New Roman"/>
          <w:color w:val="000000"/>
          <w:lang w:eastAsia="en-US"/>
        </w:rPr>
        <w:t xml:space="preserve">that Marcion, </w:t>
      </w:r>
      <w:r w:rsidR="00C02CDF" w:rsidRPr="00FC01D9">
        <w:rPr>
          <w:rFonts w:cs="Times New Roman"/>
          <w:color w:val="000000"/>
          <w:lang w:eastAsia="en-US"/>
        </w:rPr>
        <w:t>like Paul,</w:t>
      </w:r>
      <w:r w:rsidR="00C02CDF">
        <w:rPr>
          <w:rFonts w:cs="Times New Roman"/>
          <w:color w:val="000000"/>
          <w:lang w:eastAsia="en-US"/>
        </w:rPr>
        <w:t xml:space="preserve"> probably </w:t>
      </w:r>
      <w:r w:rsidR="00A71CFB" w:rsidRPr="00FC01D9">
        <w:rPr>
          <w:rFonts w:cs="Times New Roman"/>
          <w:color w:val="000000"/>
          <w:lang w:eastAsia="en-US"/>
        </w:rPr>
        <w:t xml:space="preserve">had </w:t>
      </w:r>
      <w:r w:rsidR="00C02CDF">
        <w:rPr>
          <w:rFonts w:cs="Times New Roman"/>
          <w:color w:val="000000"/>
          <w:lang w:eastAsia="en-US"/>
        </w:rPr>
        <w:t>a deep religious experience pushin</w:t>
      </w:r>
      <w:r w:rsidR="00363733">
        <w:rPr>
          <w:rFonts w:cs="Times New Roman"/>
          <w:color w:val="000000"/>
          <w:lang w:eastAsia="en-US"/>
        </w:rPr>
        <w:t>g</w:t>
      </w:r>
      <w:r w:rsidR="00A71CFB" w:rsidRPr="00FC01D9">
        <w:rPr>
          <w:rFonts w:cs="Times New Roman"/>
          <w:color w:val="000000"/>
          <w:lang w:eastAsia="en-US"/>
        </w:rPr>
        <w:t xml:space="preserve"> him even farther away from his own</w:t>
      </w:r>
      <w:r w:rsidR="00A71CFB">
        <w:rPr>
          <w:rFonts w:cs="Times New Roman"/>
          <w:color w:val="000000"/>
          <w:lang w:eastAsia="en-US"/>
        </w:rPr>
        <w:t xml:space="preserve"> people. I recount Harnack’s musings </w:t>
      </w:r>
      <w:r w:rsidR="00363733">
        <w:rPr>
          <w:rFonts w:cs="Times New Roman"/>
          <w:color w:val="000000"/>
          <w:lang w:eastAsia="en-US"/>
        </w:rPr>
        <w:t xml:space="preserve">here </w:t>
      </w:r>
      <w:r w:rsidR="00A71CFB" w:rsidRPr="00FC01D9">
        <w:rPr>
          <w:rFonts w:cs="Times New Roman"/>
          <w:color w:val="000000"/>
          <w:lang w:eastAsia="en-US"/>
        </w:rPr>
        <w:t xml:space="preserve">not only to </w:t>
      </w:r>
      <w:r w:rsidR="00A71CFB">
        <w:rPr>
          <w:rFonts w:cs="Times New Roman"/>
          <w:color w:val="000000"/>
          <w:lang w:eastAsia="en-US"/>
        </w:rPr>
        <w:t xml:space="preserve">highlight </w:t>
      </w:r>
      <w:r w:rsidR="00A71CFB" w:rsidRPr="00FC01D9">
        <w:rPr>
          <w:rFonts w:cs="Times New Roman"/>
          <w:color w:val="000000"/>
          <w:lang w:eastAsia="en-US"/>
        </w:rPr>
        <w:t xml:space="preserve">the groundless nature of this speculation as to Marcion’s ethnic identity but also </w:t>
      </w:r>
      <w:r w:rsidR="00A71CFB">
        <w:rPr>
          <w:rFonts w:cs="Times New Roman"/>
          <w:color w:val="000000"/>
          <w:lang w:eastAsia="en-US"/>
        </w:rPr>
        <w:t xml:space="preserve">to indicate </w:t>
      </w:r>
      <w:r w:rsidR="00A71CFB" w:rsidRPr="00FC01D9">
        <w:rPr>
          <w:rFonts w:cs="Times New Roman"/>
          <w:color w:val="000000"/>
          <w:lang w:eastAsia="en-US"/>
        </w:rPr>
        <w:t>the pitfalls of seek</w:t>
      </w:r>
      <w:r w:rsidR="00A71CFB">
        <w:rPr>
          <w:rFonts w:cs="Times New Roman"/>
          <w:color w:val="000000"/>
          <w:lang w:eastAsia="en-US"/>
        </w:rPr>
        <w:t>ing</w:t>
      </w:r>
      <w:r w:rsidR="003E3D32">
        <w:rPr>
          <w:rFonts w:cs="Times New Roman"/>
          <w:color w:val="000000"/>
          <w:lang w:eastAsia="en-US"/>
        </w:rPr>
        <w:t xml:space="preserve"> biographical e</w:t>
      </w:r>
      <w:r w:rsidR="00A71CFB" w:rsidRPr="00FC01D9">
        <w:rPr>
          <w:rFonts w:cs="Times New Roman"/>
          <w:color w:val="000000"/>
          <w:lang w:eastAsia="en-US"/>
        </w:rPr>
        <w:t>xplanation</w:t>
      </w:r>
      <w:r w:rsidR="003E3D32">
        <w:rPr>
          <w:rFonts w:cs="Times New Roman"/>
          <w:color w:val="000000"/>
          <w:lang w:eastAsia="en-US"/>
        </w:rPr>
        <w:t>s for Marcion through inference</w:t>
      </w:r>
      <w:r w:rsidR="00363733">
        <w:rPr>
          <w:rFonts w:cs="Times New Roman"/>
          <w:color w:val="000000"/>
          <w:lang w:eastAsia="en-US"/>
        </w:rPr>
        <w:t>s</w:t>
      </w:r>
      <w:r w:rsidR="003E3D32">
        <w:rPr>
          <w:rFonts w:cs="Times New Roman"/>
          <w:color w:val="000000"/>
          <w:lang w:eastAsia="en-US"/>
        </w:rPr>
        <w:t xml:space="preserve"> </w:t>
      </w:r>
      <w:r w:rsidR="00A71CFB">
        <w:rPr>
          <w:rFonts w:cs="Times New Roman"/>
          <w:color w:val="000000"/>
          <w:lang w:eastAsia="en-US"/>
        </w:rPr>
        <w:t>which</w:t>
      </w:r>
      <w:r w:rsidR="00AC445D">
        <w:rPr>
          <w:rFonts w:cs="Times New Roman"/>
          <w:color w:val="000000"/>
          <w:lang w:eastAsia="en-US"/>
        </w:rPr>
        <w:t xml:space="preserve"> exceed the slim data (some </w:t>
      </w:r>
      <w:r w:rsidR="003E3D32">
        <w:rPr>
          <w:rFonts w:cs="Times New Roman"/>
          <w:color w:val="000000"/>
          <w:lang w:eastAsia="en-US"/>
        </w:rPr>
        <w:t>quite disputable in nature) furnished by such evidence as survives</w:t>
      </w:r>
      <w:r w:rsidR="00A71CFB" w:rsidRPr="00FC01D9">
        <w:rPr>
          <w:rFonts w:cs="Times New Roman"/>
          <w:color w:val="000000"/>
          <w:lang w:eastAsia="en-US"/>
        </w:rPr>
        <w:t>.</w:t>
      </w:r>
      <w:r w:rsidR="00A71CFB" w:rsidRPr="00FC01D9">
        <w:rPr>
          <w:rStyle w:val="FootnoteReference"/>
          <w:rFonts w:cs="Times New Roman"/>
          <w:color w:val="000000"/>
          <w:lang w:eastAsia="en-US"/>
        </w:rPr>
        <w:footnoteReference w:id="13"/>
      </w:r>
    </w:p>
    <w:p w14:paraId="2C635989" w14:textId="272E2C07" w:rsidR="00A71CFB" w:rsidRDefault="00363733" w:rsidP="006757EE">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 xml:space="preserve">Stephen Wilson’s </w:t>
      </w:r>
      <w:r w:rsidRPr="00FC01D9">
        <w:rPr>
          <w:rFonts w:cs="Times New Roman"/>
          <w:color w:val="000000"/>
          <w:lang w:eastAsia="en-US"/>
        </w:rPr>
        <w:t>1986</w:t>
      </w:r>
      <w:r>
        <w:rPr>
          <w:rFonts w:cs="Times New Roman"/>
          <w:color w:val="000000"/>
          <w:lang w:eastAsia="en-US"/>
        </w:rPr>
        <w:t xml:space="preserve"> contribution</w:t>
      </w:r>
      <w:r w:rsidR="00A71CFB" w:rsidRPr="00FC01D9">
        <w:rPr>
          <w:rFonts w:cs="Times New Roman"/>
          <w:color w:val="000000"/>
          <w:lang w:eastAsia="en-US"/>
        </w:rPr>
        <w:t xml:space="preserve"> “Marcion and the Jews”</w:t>
      </w:r>
      <w:r>
        <w:rPr>
          <w:rFonts w:cs="Times New Roman"/>
          <w:color w:val="000000"/>
          <w:lang w:eastAsia="en-US"/>
        </w:rPr>
        <w:t xml:space="preserve"> has attended better to the limitations of the data. Wilson</w:t>
      </w:r>
      <w:r w:rsidR="00A71CFB" w:rsidRPr="00FC01D9">
        <w:rPr>
          <w:rFonts w:cs="Times New Roman"/>
          <w:color w:val="000000"/>
          <w:lang w:eastAsia="en-US"/>
        </w:rPr>
        <w:t xml:space="preserve"> found it “important to state the obvious: Marcion’s teaching in general contains a profound d</w:t>
      </w:r>
      <w:r>
        <w:rPr>
          <w:rFonts w:cs="Times New Roman"/>
          <w:color w:val="000000"/>
          <w:lang w:eastAsia="en-US"/>
        </w:rPr>
        <w:t>enigration of Judaism,” but added</w:t>
      </w:r>
      <w:r w:rsidR="00A71CFB" w:rsidRPr="00FC01D9">
        <w:rPr>
          <w:rFonts w:cs="Times New Roman"/>
          <w:color w:val="000000"/>
          <w:lang w:eastAsia="en-US"/>
        </w:rPr>
        <w:t xml:space="preserve"> the qualification that there is “little to suggest that Marcion was deliberately anti-Jewish.”</w:t>
      </w:r>
      <w:r w:rsidR="00A71CFB" w:rsidRPr="00FC01D9">
        <w:rPr>
          <w:rStyle w:val="FootnoteReference"/>
          <w:rFonts w:cs="Times New Roman"/>
          <w:color w:val="000000"/>
          <w:lang w:eastAsia="en-US"/>
        </w:rPr>
        <w:footnoteReference w:id="14"/>
      </w:r>
      <w:r w:rsidR="00A71CFB" w:rsidRPr="00FC01D9">
        <w:rPr>
          <w:rFonts w:cs="Times New Roman"/>
          <w:color w:val="000000"/>
          <w:lang w:eastAsia="en-US"/>
        </w:rPr>
        <w:t xml:space="preserve"> Wilson </w:t>
      </w:r>
      <w:r>
        <w:rPr>
          <w:rFonts w:cs="Times New Roman"/>
          <w:color w:val="000000"/>
          <w:lang w:eastAsia="en-US"/>
        </w:rPr>
        <w:t xml:space="preserve">follows </w:t>
      </w:r>
      <w:r w:rsidR="00A71CFB" w:rsidRPr="00FC01D9">
        <w:rPr>
          <w:rFonts w:cs="Times New Roman"/>
          <w:color w:val="000000"/>
          <w:lang w:eastAsia="en-US"/>
        </w:rPr>
        <w:t>others scholars</w:t>
      </w:r>
      <w:r w:rsidR="00652436">
        <w:rPr>
          <w:rFonts w:cs="Times New Roman"/>
          <w:color w:val="000000"/>
          <w:lang w:eastAsia="en-US"/>
        </w:rPr>
        <w:t xml:space="preserve"> in observing </w:t>
      </w:r>
      <w:r w:rsidR="00A71CFB">
        <w:rPr>
          <w:rFonts w:cs="Times New Roman"/>
          <w:color w:val="000000"/>
          <w:lang w:eastAsia="en-US"/>
        </w:rPr>
        <w:t>that “Marcion’s dispute was no</w:t>
      </w:r>
      <w:r w:rsidR="00A71CFB" w:rsidRPr="00FC01D9">
        <w:rPr>
          <w:rFonts w:cs="Times New Roman"/>
          <w:color w:val="000000"/>
          <w:lang w:eastAsia="en-US"/>
        </w:rPr>
        <w:t>t with the Jews as such but rather with (as he saw them) judaizing Catholic Christians.”</w:t>
      </w:r>
      <w:r w:rsidR="00A71CFB" w:rsidRPr="00FC01D9">
        <w:rPr>
          <w:rStyle w:val="FootnoteReference"/>
          <w:rFonts w:cs="Times New Roman"/>
          <w:color w:val="000000"/>
          <w:lang w:eastAsia="en-US"/>
        </w:rPr>
        <w:footnoteReference w:id="15"/>
      </w:r>
      <w:r w:rsidR="00A71CFB">
        <w:rPr>
          <w:rFonts w:cs="Times New Roman"/>
          <w:color w:val="000000"/>
          <w:lang w:eastAsia="en-US"/>
        </w:rPr>
        <w:t xml:space="preserve"> </w:t>
      </w:r>
      <w:r>
        <w:rPr>
          <w:rFonts w:cs="Times New Roman"/>
          <w:color w:val="000000"/>
          <w:lang w:eastAsia="en-US"/>
        </w:rPr>
        <w:t xml:space="preserve">His conclusion </w:t>
      </w:r>
      <w:r w:rsidR="00A71CFB">
        <w:rPr>
          <w:rFonts w:cs="Times New Roman"/>
          <w:color w:val="000000"/>
          <w:lang w:eastAsia="en-US"/>
        </w:rPr>
        <w:t xml:space="preserve">that “both </w:t>
      </w:r>
      <w:r w:rsidR="008577F6">
        <w:rPr>
          <w:rFonts w:cs="Times New Roman"/>
          <w:color w:val="000000"/>
          <w:lang w:eastAsia="en-US"/>
        </w:rPr>
        <w:t>the Marcionite and the Catholic</w:t>
      </w:r>
      <w:r w:rsidR="00A71CFB">
        <w:rPr>
          <w:rFonts w:cs="Times New Roman"/>
          <w:color w:val="000000"/>
          <w:lang w:eastAsia="en-US"/>
        </w:rPr>
        <w:t xml:space="preserve"> positions involve a denigration of Ju</w:t>
      </w:r>
      <w:r>
        <w:rPr>
          <w:rFonts w:cs="Times New Roman"/>
          <w:color w:val="000000"/>
          <w:lang w:eastAsia="en-US"/>
        </w:rPr>
        <w:t>daism</w:t>
      </w:r>
      <w:r w:rsidR="00A71CFB">
        <w:rPr>
          <w:rFonts w:cs="Times New Roman"/>
          <w:color w:val="000000"/>
          <w:lang w:eastAsia="en-US"/>
        </w:rPr>
        <w:t>”</w:t>
      </w:r>
      <w:r w:rsidR="00A71CFB">
        <w:rPr>
          <w:rStyle w:val="FootnoteReference"/>
          <w:rFonts w:cs="Times New Roman"/>
          <w:color w:val="000000"/>
          <w:lang w:eastAsia="en-US"/>
        </w:rPr>
        <w:footnoteReference w:id="16"/>
      </w:r>
      <w:r>
        <w:rPr>
          <w:rFonts w:cs="Times New Roman"/>
          <w:color w:val="000000"/>
          <w:lang w:eastAsia="en-US"/>
        </w:rPr>
        <w:t xml:space="preserve"> seems fair enough and</w:t>
      </w:r>
      <w:r w:rsidR="00A71CFB">
        <w:rPr>
          <w:rFonts w:cs="Times New Roman"/>
          <w:color w:val="000000"/>
          <w:lang w:eastAsia="en-US"/>
        </w:rPr>
        <w:t xml:space="preserve"> sounds a note</w:t>
      </w:r>
      <w:r w:rsidR="00E61BE1">
        <w:rPr>
          <w:rFonts w:cs="Times New Roman"/>
          <w:color w:val="000000"/>
          <w:lang w:eastAsia="en-US"/>
        </w:rPr>
        <w:t xml:space="preserve"> now re-echoed</w:t>
      </w:r>
      <w:r w:rsidR="008577F6">
        <w:rPr>
          <w:rFonts w:cs="Times New Roman"/>
          <w:color w:val="000000"/>
          <w:lang w:eastAsia="en-US"/>
        </w:rPr>
        <w:t xml:space="preserve"> on several sides</w:t>
      </w:r>
      <w:r>
        <w:rPr>
          <w:rFonts w:cs="Times New Roman"/>
          <w:color w:val="000000"/>
          <w:lang w:eastAsia="en-US"/>
        </w:rPr>
        <w:t>,</w:t>
      </w:r>
      <w:r w:rsidR="00A71CFB">
        <w:rPr>
          <w:rFonts w:cs="Times New Roman"/>
          <w:color w:val="000000"/>
          <w:lang w:eastAsia="en-US"/>
        </w:rPr>
        <w:t xml:space="preserve"> that Marcion</w:t>
      </w:r>
      <w:r>
        <w:rPr>
          <w:rFonts w:cs="Times New Roman"/>
          <w:color w:val="000000"/>
          <w:lang w:eastAsia="en-US"/>
        </w:rPr>
        <w:t xml:space="preserve"> ought</w:t>
      </w:r>
      <w:r w:rsidR="00A71CFB">
        <w:rPr>
          <w:rFonts w:cs="Times New Roman"/>
          <w:color w:val="000000"/>
          <w:lang w:eastAsia="en-US"/>
        </w:rPr>
        <w:t xml:space="preserve"> not be scapegoated as a raging anti-Semite, as if thereby to take the onus off the far wider phenomenon of anti-Judaism in the Christian tradition. Thus Heikki Räisänen in his 1997 article “Marcion and the Or</w:t>
      </w:r>
      <w:r w:rsidR="00E61BE1">
        <w:rPr>
          <w:rFonts w:cs="Times New Roman"/>
          <w:color w:val="000000"/>
          <w:lang w:eastAsia="en-US"/>
        </w:rPr>
        <w:t>igins of Christian Anti-Judaism</w:t>
      </w:r>
      <w:r w:rsidR="00A71CFB">
        <w:rPr>
          <w:rFonts w:cs="Times New Roman"/>
          <w:color w:val="000000"/>
          <w:lang w:eastAsia="en-US"/>
        </w:rPr>
        <w:t>” has cautioned that “some of this responsibility is misplaced when Marcion is viewed as the villain in the piece” and that “issues larger than the reputation of an individual are at stake.”</w:t>
      </w:r>
      <w:r w:rsidR="00A71CFB">
        <w:rPr>
          <w:rStyle w:val="FootnoteReference"/>
          <w:rFonts w:cs="Times New Roman"/>
          <w:color w:val="000000"/>
          <w:lang w:eastAsia="en-US"/>
        </w:rPr>
        <w:footnoteReference w:id="17"/>
      </w:r>
      <w:r w:rsidR="00A71CFB">
        <w:rPr>
          <w:rFonts w:cs="Times New Roman"/>
          <w:color w:val="000000"/>
          <w:lang w:eastAsia="en-US"/>
        </w:rPr>
        <w:t xml:space="preserve"> Räisänen vindicates Marcion to the extent that he takes his critique of the Old Testament as having a serious ethical basis t</w:t>
      </w:r>
      <w:r w:rsidR="008577F6">
        <w:rPr>
          <w:rFonts w:cs="Times New Roman"/>
          <w:color w:val="000000"/>
          <w:lang w:eastAsia="en-US"/>
        </w:rPr>
        <w:t>hat has not lost its relevance</w:t>
      </w:r>
      <w:r w:rsidR="00A71CFB">
        <w:rPr>
          <w:rFonts w:cs="Times New Roman"/>
          <w:color w:val="000000"/>
          <w:lang w:eastAsia="en-US"/>
        </w:rPr>
        <w:t xml:space="preserve"> for Christians today.</w:t>
      </w:r>
      <w:r w:rsidR="00A71CFB">
        <w:rPr>
          <w:rStyle w:val="FootnoteReference"/>
          <w:rFonts w:cs="Times New Roman"/>
          <w:color w:val="000000"/>
          <w:lang w:eastAsia="en-US"/>
        </w:rPr>
        <w:footnoteReference w:id="18"/>
      </w:r>
      <w:r w:rsidR="00A71CFB">
        <w:rPr>
          <w:rFonts w:cs="Times New Roman"/>
          <w:color w:val="000000"/>
          <w:lang w:eastAsia="en-US"/>
        </w:rPr>
        <w:t xml:space="preserve"> </w:t>
      </w:r>
    </w:p>
    <w:p w14:paraId="6221EDF2" w14:textId="286E104C" w:rsidR="00A71CFB" w:rsidRPr="00FC01D9" w:rsidRDefault="00096663" w:rsidP="00990637">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T</w:t>
      </w:r>
      <w:r w:rsidR="00A71CFB">
        <w:rPr>
          <w:rFonts w:cs="Times New Roman"/>
          <w:color w:val="000000"/>
          <w:lang w:eastAsia="en-US"/>
        </w:rPr>
        <w:t>he</w:t>
      </w:r>
      <w:r w:rsidR="00E61BE1">
        <w:rPr>
          <w:rFonts w:cs="Times New Roman"/>
          <w:color w:val="000000"/>
          <w:lang w:eastAsia="en-US"/>
        </w:rPr>
        <w:t xml:space="preserve"> more</w:t>
      </w:r>
      <w:r w:rsidR="00A71CFB">
        <w:rPr>
          <w:rFonts w:cs="Times New Roman"/>
          <w:color w:val="000000"/>
          <w:lang w:eastAsia="en-US"/>
        </w:rPr>
        <w:t xml:space="preserve"> recent work of </w:t>
      </w:r>
      <w:r w:rsidR="00A71CFB" w:rsidRPr="00FC01D9">
        <w:rPr>
          <w:rFonts w:cs="Times New Roman"/>
          <w:color w:val="000000"/>
          <w:lang w:eastAsia="en-US"/>
        </w:rPr>
        <w:t xml:space="preserve">Joseph Tyson, whose monograph </w:t>
      </w:r>
      <w:r w:rsidR="00A71CFB" w:rsidRPr="00FC01D9">
        <w:rPr>
          <w:rFonts w:cs="Times New Roman"/>
          <w:i/>
          <w:color w:val="000000"/>
          <w:lang w:eastAsia="en-US"/>
        </w:rPr>
        <w:t>Marcion and Luke-Acts</w:t>
      </w:r>
      <w:r w:rsidR="00A71CFB" w:rsidRPr="00FC01D9">
        <w:rPr>
          <w:rFonts w:cs="Times New Roman"/>
          <w:color w:val="000000"/>
          <w:lang w:eastAsia="en-US"/>
        </w:rPr>
        <w:t xml:space="preserve"> appeared in 2006</w:t>
      </w:r>
      <w:r>
        <w:rPr>
          <w:rFonts w:cs="Times New Roman"/>
          <w:color w:val="000000"/>
          <w:lang w:eastAsia="en-US"/>
        </w:rPr>
        <w:t>,</w:t>
      </w:r>
      <w:r w:rsidR="00A71CFB" w:rsidRPr="00FC01D9">
        <w:rPr>
          <w:rStyle w:val="FootnoteReference"/>
          <w:rFonts w:cs="Times New Roman"/>
          <w:color w:val="000000"/>
          <w:lang w:eastAsia="en-US"/>
        </w:rPr>
        <w:footnoteReference w:id="19"/>
      </w:r>
      <w:r>
        <w:rPr>
          <w:rFonts w:cs="Times New Roman"/>
          <w:color w:val="000000"/>
          <w:lang w:eastAsia="en-US"/>
        </w:rPr>
        <w:t xml:space="preserve"> takes the conscientious concern to share the responsibility for Christian anti-Judaism fai</w:t>
      </w:r>
      <w:r w:rsidR="00E61BE1">
        <w:rPr>
          <w:rFonts w:cs="Times New Roman"/>
          <w:color w:val="000000"/>
          <w:lang w:eastAsia="en-US"/>
        </w:rPr>
        <w:t>rly a</w:t>
      </w:r>
      <w:r>
        <w:rPr>
          <w:rFonts w:cs="Times New Roman"/>
          <w:color w:val="000000"/>
          <w:lang w:eastAsia="en-US"/>
        </w:rPr>
        <w:t xml:space="preserve"> step further. </w:t>
      </w:r>
      <w:r w:rsidR="00A71CFB" w:rsidRPr="00FC01D9">
        <w:rPr>
          <w:rFonts w:cs="Times New Roman"/>
          <w:color w:val="000000"/>
          <w:lang w:eastAsia="en-US"/>
        </w:rPr>
        <w:t>Given the limitations of the present venue, I will not engage Tyson’s central</w:t>
      </w:r>
      <w:r w:rsidR="00E61BE1">
        <w:rPr>
          <w:rFonts w:cs="Times New Roman"/>
          <w:color w:val="000000"/>
          <w:lang w:eastAsia="en-US"/>
        </w:rPr>
        <w:t xml:space="preserve"> and interesting</w:t>
      </w:r>
      <w:r w:rsidR="00A71CFB" w:rsidRPr="00FC01D9">
        <w:rPr>
          <w:rFonts w:cs="Times New Roman"/>
          <w:color w:val="000000"/>
          <w:lang w:eastAsia="en-US"/>
        </w:rPr>
        <w:t xml:space="preserve"> thesis—his revival of his </w:t>
      </w:r>
      <w:r w:rsidR="00A71CFB" w:rsidRPr="00FC01D9">
        <w:rPr>
          <w:rFonts w:cs="Times New Roman"/>
          <w:i/>
          <w:color w:val="000000"/>
          <w:lang w:eastAsia="en-US"/>
        </w:rPr>
        <w:t>Doktorvater</w:t>
      </w:r>
      <w:r w:rsidR="00A71CFB" w:rsidRPr="00FC01D9">
        <w:rPr>
          <w:rFonts w:cs="Times New Roman"/>
          <w:color w:val="000000"/>
          <w:lang w:eastAsia="en-US"/>
        </w:rPr>
        <w:t xml:space="preserve"> John Knox’s claim</w:t>
      </w:r>
      <w:r w:rsidR="00A71CFB" w:rsidRPr="00FC01D9">
        <w:rPr>
          <w:rStyle w:val="FootnoteReference"/>
          <w:rFonts w:cs="Times New Roman"/>
          <w:color w:val="000000"/>
          <w:lang w:eastAsia="en-US"/>
        </w:rPr>
        <w:footnoteReference w:id="20"/>
      </w:r>
      <w:r w:rsidR="00A71CFB" w:rsidRPr="00FC01D9">
        <w:rPr>
          <w:rFonts w:cs="Times New Roman"/>
          <w:color w:val="000000"/>
          <w:lang w:eastAsia="en-US"/>
        </w:rPr>
        <w:t xml:space="preserve"> that Luke and Acts were composed as counter-foils to Mar</w:t>
      </w:r>
      <w:r w:rsidR="008577F6">
        <w:rPr>
          <w:rFonts w:cs="Times New Roman"/>
          <w:color w:val="000000"/>
          <w:lang w:eastAsia="en-US"/>
        </w:rPr>
        <w:t>cion’s New Testament—nor the</w:t>
      </w:r>
      <w:r w:rsidR="00A71CFB" w:rsidRPr="00FC01D9">
        <w:rPr>
          <w:rFonts w:cs="Times New Roman"/>
          <w:color w:val="000000"/>
          <w:lang w:eastAsia="en-US"/>
        </w:rPr>
        <w:t xml:space="preserve"> attempt to plead for an early dating for Marcion’s activity.</w:t>
      </w:r>
      <w:r w:rsidR="00A71CFB">
        <w:rPr>
          <w:rFonts w:cs="Times New Roman"/>
          <w:color w:val="000000"/>
          <w:lang w:eastAsia="en-US"/>
        </w:rPr>
        <w:t xml:space="preserve"> </w:t>
      </w:r>
      <w:r>
        <w:rPr>
          <w:rFonts w:cs="Times New Roman"/>
          <w:color w:val="000000"/>
          <w:lang w:eastAsia="en-US"/>
        </w:rPr>
        <w:t>W</w:t>
      </w:r>
      <w:r w:rsidR="00A71CFB">
        <w:rPr>
          <w:rFonts w:cs="Times New Roman"/>
          <w:color w:val="000000"/>
          <w:lang w:eastAsia="en-US"/>
        </w:rPr>
        <w:t xml:space="preserve">e will </w:t>
      </w:r>
      <w:r>
        <w:rPr>
          <w:rFonts w:cs="Times New Roman"/>
          <w:color w:val="000000"/>
          <w:lang w:eastAsia="en-US"/>
        </w:rPr>
        <w:t>focus on Tyson</w:t>
      </w:r>
      <w:r w:rsidR="00E61BE1">
        <w:rPr>
          <w:rFonts w:cs="Times New Roman"/>
          <w:color w:val="000000"/>
          <w:lang w:eastAsia="en-US"/>
        </w:rPr>
        <w:t xml:space="preserve"> to the extent that he seeks</w:t>
      </w:r>
      <w:r w:rsidR="00A71CFB">
        <w:rPr>
          <w:rFonts w:cs="Times New Roman"/>
          <w:color w:val="000000"/>
          <w:lang w:eastAsia="en-US"/>
        </w:rPr>
        <w:t xml:space="preserve"> to exonerate Marcion from the charge of being at the extreme of early Christian anti-Judaism</w:t>
      </w:r>
      <w:r w:rsidR="00E61BE1">
        <w:rPr>
          <w:rFonts w:cs="Times New Roman"/>
          <w:color w:val="000000"/>
          <w:lang w:eastAsia="en-US"/>
        </w:rPr>
        <w:t xml:space="preserve"> as per the prevailing consensus</w:t>
      </w:r>
      <w:r w:rsidR="00A71CFB">
        <w:rPr>
          <w:rFonts w:cs="Times New Roman"/>
          <w:color w:val="000000"/>
          <w:lang w:eastAsia="en-US"/>
        </w:rPr>
        <w:t>.</w:t>
      </w:r>
    </w:p>
    <w:p w14:paraId="3DBEFD59" w14:textId="5B8454BC" w:rsidR="004863CE" w:rsidRDefault="00A71CFB" w:rsidP="004863CE">
      <w:pPr>
        <w:spacing w:before="100" w:beforeAutospacing="1" w:after="100" w:afterAutospacing="1" w:line="480" w:lineRule="auto"/>
        <w:ind w:firstLine="720"/>
        <w:contextualSpacing/>
        <w:rPr>
          <w:rFonts w:cs="Times New Roman"/>
          <w:color w:val="000000"/>
          <w:lang w:eastAsia="en-US"/>
        </w:rPr>
      </w:pPr>
      <w:r w:rsidRPr="00FC01D9">
        <w:rPr>
          <w:rFonts w:cs="Times New Roman"/>
          <w:color w:val="000000"/>
          <w:lang w:eastAsia="en-US"/>
        </w:rPr>
        <w:t>Tyson has summarized the aspects of his work touch</w:t>
      </w:r>
      <w:r w:rsidR="00164A54">
        <w:rPr>
          <w:rFonts w:cs="Times New Roman"/>
          <w:color w:val="000000"/>
          <w:lang w:eastAsia="en-US"/>
        </w:rPr>
        <w:t>ing</w:t>
      </w:r>
      <w:r w:rsidRPr="00FC01D9">
        <w:rPr>
          <w:rFonts w:cs="Times New Roman"/>
          <w:color w:val="000000"/>
          <w:lang w:eastAsia="en-US"/>
        </w:rPr>
        <w:t xml:space="preserve"> the present topic in an article that appeared concurrently with his book, entitled “Anti-Judaism in Marcion and His Opponents.”</w:t>
      </w:r>
      <w:r w:rsidRPr="00FC01D9">
        <w:rPr>
          <w:rStyle w:val="FootnoteReference"/>
          <w:rFonts w:cs="Times New Roman"/>
          <w:color w:val="000000"/>
          <w:lang w:eastAsia="en-US"/>
        </w:rPr>
        <w:footnoteReference w:id="21"/>
      </w:r>
      <w:r w:rsidRPr="00FC01D9">
        <w:rPr>
          <w:rFonts w:cs="Times New Roman"/>
          <w:color w:val="000000"/>
          <w:lang w:eastAsia="en-US"/>
        </w:rPr>
        <w:t xml:space="preserve"> Here Tyson begins by referencing the reflections of Bart Ehrman in </w:t>
      </w:r>
      <w:r w:rsidR="009B1BA2">
        <w:rPr>
          <w:rFonts w:cs="Times New Roman"/>
          <w:color w:val="000000"/>
          <w:lang w:eastAsia="en-US"/>
        </w:rPr>
        <w:t xml:space="preserve">his 2003 book </w:t>
      </w:r>
      <w:r w:rsidRPr="00FC01D9">
        <w:rPr>
          <w:rFonts w:cs="Times New Roman"/>
          <w:i/>
          <w:color w:val="000000"/>
          <w:lang w:eastAsia="en-US"/>
        </w:rPr>
        <w:t>Lost Christianities</w:t>
      </w:r>
      <w:r w:rsidR="009B1BA2">
        <w:rPr>
          <w:rFonts w:cs="Times New Roman"/>
          <w:color w:val="000000"/>
          <w:lang w:eastAsia="en-US"/>
        </w:rPr>
        <w:t>. H</w:t>
      </w:r>
      <w:r w:rsidRPr="00FC01D9">
        <w:rPr>
          <w:rFonts w:cs="Times New Roman"/>
          <w:color w:val="000000"/>
          <w:lang w:eastAsia="en-US"/>
        </w:rPr>
        <w:t xml:space="preserve">ad the Marcionite church triumphed over their proto-orthodox opponents, </w:t>
      </w:r>
      <w:r w:rsidR="009B1BA2">
        <w:rPr>
          <w:rFonts w:cs="Times New Roman"/>
          <w:color w:val="000000"/>
          <w:lang w:eastAsia="en-US"/>
        </w:rPr>
        <w:t xml:space="preserve">might </w:t>
      </w:r>
      <w:r w:rsidRPr="00FC01D9">
        <w:rPr>
          <w:rFonts w:cs="Times New Roman"/>
          <w:color w:val="000000"/>
          <w:lang w:eastAsia="en-US"/>
        </w:rPr>
        <w:t>the</w:t>
      </w:r>
      <w:r w:rsidR="005C4FA5">
        <w:rPr>
          <w:rFonts w:cs="Times New Roman"/>
          <w:color w:val="000000"/>
          <w:lang w:eastAsia="en-US"/>
        </w:rPr>
        <w:t xml:space="preserve"> lachry</w:t>
      </w:r>
      <w:r w:rsidR="00E61BE1">
        <w:rPr>
          <w:rFonts w:cs="Times New Roman"/>
          <w:color w:val="000000"/>
          <w:lang w:eastAsia="en-US"/>
        </w:rPr>
        <w:t>mo</w:t>
      </w:r>
      <w:r w:rsidR="005C4FA5">
        <w:rPr>
          <w:rFonts w:cs="Times New Roman"/>
          <w:color w:val="000000"/>
          <w:lang w:eastAsia="en-US"/>
        </w:rPr>
        <w:t>se</w:t>
      </w:r>
      <w:r w:rsidRPr="00FC01D9">
        <w:rPr>
          <w:rFonts w:cs="Times New Roman"/>
          <w:color w:val="000000"/>
          <w:lang w:eastAsia="en-US"/>
        </w:rPr>
        <w:t xml:space="preserve"> history of Jewish-Christians r</w:t>
      </w:r>
      <w:r w:rsidR="009B1BA2">
        <w:rPr>
          <w:rFonts w:cs="Times New Roman"/>
          <w:color w:val="000000"/>
          <w:lang w:eastAsia="en-US"/>
        </w:rPr>
        <w:t>elations have been better?</w:t>
      </w:r>
      <w:r w:rsidRPr="00FC01D9">
        <w:rPr>
          <w:rFonts w:cs="Times New Roman"/>
          <w:color w:val="000000"/>
          <w:lang w:eastAsia="en-US"/>
        </w:rPr>
        <w:t xml:space="preserve"> Although “Marcion seems to have hated Jews and e</w:t>
      </w:r>
      <w:r>
        <w:rPr>
          <w:rFonts w:cs="Times New Roman"/>
          <w:color w:val="000000"/>
          <w:lang w:eastAsia="en-US"/>
        </w:rPr>
        <w:t>verything Jewish”—thus Ehrman—“</w:t>
      </w:r>
      <w:r w:rsidRPr="00FC01D9">
        <w:rPr>
          <w:rFonts w:cs="Times New Roman"/>
          <w:color w:val="000000"/>
          <w:lang w:eastAsia="en-US"/>
        </w:rPr>
        <w:t>their religion would have been considered to be of no relevance and certainly no competition for Christians. The entire history of anti-Semitism might have been avoided, ironically, by an anti-Jewish religion.”</w:t>
      </w:r>
      <w:r w:rsidRPr="00FC01D9">
        <w:rPr>
          <w:rStyle w:val="FootnoteReference"/>
          <w:rFonts w:cs="Times New Roman"/>
          <w:color w:val="000000"/>
          <w:lang w:eastAsia="en-US"/>
        </w:rPr>
        <w:footnoteReference w:id="22"/>
      </w:r>
      <w:r w:rsidRPr="00FC01D9">
        <w:rPr>
          <w:rFonts w:cs="Times New Roman"/>
          <w:color w:val="000000"/>
          <w:lang w:eastAsia="en-US"/>
        </w:rPr>
        <w:t xml:space="preserve"> Tyson </w:t>
      </w:r>
      <w:r>
        <w:rPr>
          <w:rFonts w:cs="Times New Roman"/>
          <w:color w:val="000000"/>
          <w:lang w:eastAsia="en-US"/>
        </w:rPr>
        <w:t xml:space="preserve">thinks </w:t>
      </w:r>
      <w:r w:rsidRPr="00FC01D9">
        <w:rPr>
          <w:rFonts w:cs="Times New Roman"/>
          <w:color w:val="000000"/>
          <w:lang w:eastAsia="en-US"/>
        </w:rPr>
        <w:t>Ehrman’s characterization of Marcion’s sentiments i</w:t>
      </w:r>
      <w:r>
        <w:rPr>
          <w:rFonts w:cs="Times New Roman"/>
          <w:color w:val="000000"/>
          <w:lang w:eastAsia="en-US"/>
        </w:rPr>
        <w:t>n regard to Jews and Judaism needs</w:t>
      </w:r>
      <w:r w:rsidRPr="00FC01D9">
        <w:rPr>
          <w:rFonts w:cs="Times New Roman"/>
          <w:color w:val="000000"/>
          <w:lang w:eastAsia="en-US"/>
        </w:rPr>
        <w:t xml:space="preserve"> “to be nuanced much more carefully and assessed in the light of views expressed by those who did in fact win the day, Marcion’s opponents.”</w:t>
      </w:r>
      <w:r w:rsidRPr="00FC01D9">
        <w:rPr>
          <w:rStyle w:val="FootnoteReference"/>
          <w:rFonts w:cs="Times New Roman"/>
          <w:color w:val="000000"/>
          <w:lang w:eastAsia="en-US"/>
        </w:rPr>
        <w:footnoteReference w:id="23"/>
      </w:r>
      <w:r w:rsidR="00A93903">
        <w:rPr>
          <w:rFonts w:cs="Times New Roman"/>
          <w:color w:val="000000"/>
          <w:lang w:eastAsia="en-US"/>
        </w:rPr>
        <w:t xml:space="preserve"> The demand for</w:t>
      </w:r>
      <w:r w:rsidR="00727458">
        <w:rPr>
          <w:rFonts w:cs="Times New Roman"/>
          <w:color w:val="000000"/>
          <w:lang w:eastAsia="en-US"/>
        </w:rPr>
        <w:t xml:space="preserve"> comparative analysis of the varieties of</w:t>
      </w:r>
      <w:r w:rsidR="00A93903">
        <w:rPr>
          <w:rFonts w:cs="Times New Roman"/>
          <w:color w:val="000000"/>
          <w:lang w:eastAsia="en-US"/>
        </w:rPr>
        <w:t xml:space="preserve"> early</w:t>
      </w:r>
      <w:r w:rsidR="00727458">
        <w:rPr>
          <w:rFonts w:cs="Times New Roman"/>
          <w:color w:val="000000"/>
          <w:lang w:eastAsia="en-US"/>
        </w:rPr>
        <w:t xml:space="preserve"> Christian </w:t>
      </w:r>
      <w:r w:rsidR="008577F6">
        <w:rPr>
          <w:rFonts w:cs="Times New Roman"/>
          <w:color w:val="000000"/>
          <w:lang w:eastAsia="en-US"/>
        </w:rPr>
        <w:t xml:space="preserve">anti- </w:t>
      </w:r>
      <w:r w:rsidR="00727458">
        <w:rPr>
          <w:rFonts w:cs="Times New Roman"/>
          <w:color w:val="000000"/>
          <w:lang w:eastAsia="en-US"/>
        </w:rPr>
        <w:t>Judaism is entirely in order</w:t>
      </w:r>
      <w:r w:rsidR="00A93903">
        <w:rPr>
          <w:rFonts w:cs="Times New Roman"/>
          <w:color w:val="000000"/>
          <w:lang w:eastAsia="en-US"/>
        </w:rPr>
        <w:t>; and I agree with Tyson</w:t>
      </w:r>
      <w:r w:rsidR="00727458">
        <w:rPr>
          <w:rFonts w:cs="Times New Roman"/>
          <w:color w:val="000000"/>
          <w:lang w:eastAsia="en-US"/>
        </w:rPr>
        <w:t xml:space="preserve"> </w:t>
      </w:r>
      <w:r w:rsidR="009B1BA2">
        <w:rPr>
          <w:rFonts w:cs="Times New Roman"/>
          <w:color w:val="000000"/>
          <w:lang w:eastAsia="en-US"/>
        </w:rPr>
        <w:t>that that it is too much</w:t>
      </w:r>
      <w:r w:rsidRPr="00FC01D9">
        <w:rPr>
          <w:rFonts w:cs="Times New Roman"/>
          <w:color w:val="000000"/>
          <w:lang w:eastAsia="en-US"/>
        </w:rPr>
        <w:t xml:space="preserve"> to suppose w</w:t>
      </w:r>
      <w:r w:rsidR="00A93903">
        <w:rPr>
          <w:rFonts w:cs="Times New Roman"/>
          <w:color w:val="000000"/>
          <w:lang w:eastAsia="en-US"/>
        </w:rPr>
        <w:t>e know</w:t>
      </w:r>
      <w:r w:rsidR="008577F6" w:rsidRPr="008577F6">
        <w:rPr>
          <w:rFonts w:cs="Times New Roman"/>
          <w:color w:val="000000"/>
          <w:lang w:eastAsia="en-US"/>
        </w:rPr>
        <w:t xml:space="preserve"> </w:t>
      </w:r>
      <w:r w:rsidR="008577F6">
        <w:rPr>
          <w:rFonts w:cs="Times New Roman"/>
          <w:color w:val="000000"/>
          <w:lang w:eastAsia="en-US"/>
        </w:rPr>
        <w:t>Marcion</w:t>
      </w:r>
      <w:r w:rsidR="00A93903">
        <w:rPr>
          <w:rFonts w:cs="Times New Roman"/>
          <w:color w:val="000000"/>
          <w:lang w:eastAsia="en-US"/>
        </w:rPr>
        <w:t xml:space="preserve"> to have hated Jews</w:t>
      </w:r>
      <w:r w:rsidR="009B1BA2">
        <w:rPr>
          <w:rFonts w:cs="Times New Roman"/>
          <w:color w:val="000000"/>
          <w:lang w:eastAsia="en-US"/>
        </w:rPr>
        <w:t xml:space="preserve"> and </w:t>
      </w:r>
      <w:r w:rsidRPr="00FC01D9">
        <w:rPr>
          <w:rFonts w:cs="Times New Roman"/>
          <w:color w:val="000000"/>
          <w:lang w:eastAsia="en-US"/>
        </w:rPr>
        <w:t>“that it is simplistic to judge Marcion as anti-Jewish on the grounds of his a</w:t>
      </w:r>
      <w:r w:rsidR="009B1BA2">
        <w:rPr>
          <w:rFonts w:cs="Times New Roman"/>
          <w:color w:val="000000"/>
          <w:lang w:eastAsia="en-US"/>
        </w:rPr>
        <w:t>ttitude toward the Hebrew Bible</w:t>
      </w:r>
      <w:r w:rsidRPr="00FC01D9">
        <w:rPr>
          <w:rFonts w:cs="Times New Roman"/>
          <w:color w:val="000000"/>
          <w:lang w:eastAsia="en-US"/>
        </w:rPr>
        <w:t>”</w:t>
      </w:r>
      <w:r w:rsidRPr="00FC01D9">
        <w:rPr>
          <w:rStyle w:val="FootnoteReference"/>
          <w:rFonts w:cs="Times New Roman"/>
          <w:color w:val="000000"/>
          <w:lang w:eastAsia="en-US"/>
        </w:rPr>
        <w:footnoteReference w:id="24"/>
      </w:r>
      <w:r>
        <w:rPr>
          <w:rFonts w:cs="Times New Roman"/>
          <w:color w:val="000000"/>
          <w:lang w:eastAsia="en-US"/>
        </w:rPr>
        <w:t xml:space="preserve"> </w:t>
      </w:r>
    </w:p>
    <w:p w14:paraId="3878D4E5" w14:textId="4803BB2E" w:rsidR="00A71CFB" w:rsidRDefault="00727458" w:rsidP="003C5F8C">
      <w:pPr>
        <w:spacing w:line="480" w:lineRule="auto"/>
        <w:ind w:firstLine="720"/>
      </w:pPr>
      <w:r>
        <w:rPr>
          <w:rFonts w:cs="Times New Roman"/>
          <w:color w:val="000000"/>
          <w:lang w:eastAsia="en-US"/>
        </w:rPr>
        <w:t>But</w:t>
      </w:r>
      <w:r w:rsidR="00A93903">
        <w:rPr>
          <w:rFonts w:cs="Times New Roman"/>
          <w:color w:val="000000"/>
          <w:lang w:eastAsia="en-US"/>
        </w:rPr>
        <w:t xml:space="preserve"> where</w:t>
      </w:r>
      <w:r>
        <w:rPr>
          <w:rFonts w:cs="Times New Roman"/>
          <w:color w:val="000000"/>
          <w:lang w:eastAsia="en-US"/>
        </w:rPr>
        <w:t xml:space="preserve"> </w:t>
      </w:r>
      <w:r w:rsidR="00A71CFB">
        <w:rPr>
          <w:rFonts w:cs="Times New Roman"/>
          <w:color w:val="000000"/>
          <w:lang w:eastAsia="en-US"/>
        </w:rPr>
        <w:t>Tyson</w:t>
      </w:r>
      <w:r w:rsidR="00A93903">
        <w:rPr>
          <w:rFonts w:cs="Times New Roman"/>
          <w:color w:val="000000"/>
          <w:lang w:eastAsia="en-US"/>
        </w:rPr>
        <w:t xml:space="preserve"> goes from thes</w:t>
      </w:r>
      <w:r w:rsidR="008577F6">
        <w:rPr>
          <w:rFonts w:cs="Times New Roman"/>
          <w:color w:val="000000"/>
          <w:lang w:eastAsia="en-US"/>
        </w:rPr>
        <w:t>e considerations I cannot tred</w:t>
      </w:r>
      <w:r w:rsidR="00A93903">
        <w:rPr>
          <w:rFonts w:cs="Times New Roman"/>
          <w:color w:val="000000"/>
          <w:lang w:eastAsia="en-US"/>
        </w:rPr>
        <w:t xml:space="preserve">. </w:t>
      </w:r>
      <w:r w:rsidR="00A71CFB">
        <w:rPr>
          <w:rFonts w:cs="Times New Roman"/>
          <w:color w:val="000000"/>
          <w:lang w:eastAsia="en-US"/>
        </w:rPr>
        <w:t xml:space="preserve"> </w:t>
      </w:r>
      <w:r w:rsidR="00A93903">
        <w:rPr>
          <w:rFonts w:cs="Times New Roman"/>
          <w:color w:val="000000"/>
          <w:lang w:eastAsia="en-US"/>
        </w:rPr>
        <w:t>I quote his comments that follow at</w:t>
      </w:r>
      <w:r w:rsidR="00A71CFB">
        <w:rPr>
          <w:rFonts w:cs="Times New Roman"/>
          <w:color w:val="000000"/>
          <w:lang w:eastAsia="en-US"/>
        </w:rPr>
        <w:t xml:space="preserve"> length: </w:t>
      </w:r>
    </w:p>
    <w:p w14:paraId="73C7001A" w14:textId="34D09B6F" w:rsidR="00A71CFB" w:rsidRDefault="00A71CFB" w:rsidP="003C5F8C">
      <w:pPr>
        <w:ind w:left="1080" w:right="1080"/>
      </w:pPr>
      <w:r>
        <w:t>It is not sufficient simply to say that he was anti-Jewish, although he was certain that the morality he saw in the Hebrew Bible was deficient. Inevitably he would judge the religion that was based on these writings as inferior to his own. But apparently he would not question its legitimacy or its right to continue after the appearance of Jesus. He would pity Jews as being kept under the control of the God of creation, but he would regard their expectation of a Messiah as fully conforming to the writings of the Hebrew prophets. Further, his insistence on literal interpretation would, as Tertullian himself observed, create a significant compatibility with Jews.</w:t>
      </w:r>
      <w:r>
        <w:rPr>
          <w:rStyle w:val="FootnoteReference"/>
        </w:rPr>
        <w:footnoteReference w:id="25"/>
      </w:r>
    </w:p>
    <w:p w14:paraId="5EF12AF5" w14:textId="345BD5D7" w:rsidR="00A71CFB" w:rsidRPr="003C5F8C" w:rsidRDefault="00A71CFB" w:rsidP="003C5F8C">
      <w:pPr>
        <w:ind w:left="1080" w:right="1080"/>
      </w:pPr>
      <w:r>
        <w:t xml:space="preserve"> </w:t>
      </w:r>
    </w:p>
    <w:p w14:paraId="20B076F4" w14:textId="736DE651" w:rsidR="00A71CFB" w:rsidRDefault="00A93903" w:rsidP="003C5F8C">
      <w:pPr>
        <w:spacing w:before="100" w:beforeAutospacing="1" w:after="100" w:afterAutospacing="1" w:line="480" w:lineRule="auto"/>
        <w:contextualSpacing/>
        <w:rPr>
          <w:rFonts w:cs="Times New Roman"/>
          <w:color w:val="000000"/>
          <w:lang w:eastAsia="en-US"/>
        </w:rPr>
      </w:pPr>
      <w:r>
        <w:rPr>
          <w:rFonts w:cs="Times New Roman"/>
          <w:color w:val="000000"/>
          <w:lang w:eastAsia="en-US"/>
        </w:rPr>
        <w:t>But without Marcion’s writings before us, are we really able to discern whether his use of Jewish scriptures in a polemical intramural Christian conflict betoken</w:t>
      </w:r>
      <w:r w:rsidR="008577F6">
        <w:rPr>
          <w:rFonts w:cs="Times New Roman"/>
          <w:color w:val="000000"/>
          <w:lang w:eastAsia="en-US"/>
        </w:rPr>
        <w:t>ed</w:t>
      </w:r>
      <w:r>
        <w:rPr>
          <w:rFonts w:cs="Times New Roman"/>
          <w:color w:val="000000"/>
          <w:lang w:eastAsia="en-US"/>
        </w:rPr>
        <w:t xml:space="preserve"> a ge</w:t>
      </w:r>
      <w:r w:rsidR="00B91622">
        <w:rPr>
          <w:rFonts w:cs="Times New Roman"/>
          <w:color w:val="000000"/>
          <w:lang w:eastAsia="en-US"/>
        </w:rPr>
        <w:t>nuine respect for Jews and their</w:t>
      </w:r>
      <w:r>
        <w:rPr>
          <w:rFonts w:cs="Times New Roman"/>
          <w:color w:val="000000"/>
          <w:lang w:eastAsia="en-US"/>
        </w:rPr>
        <w:t xml:space="preserve"> religion or </w:t>
      </w:r>
      <w:r w:rsidR="008577F6">
        <w:rPr>
          <w:rFonts w:cs="Times New Roman"/>
          <w:color w:val="000000"/>
          <w:lang w:eastAsia="en-US"/>
        </w:rPr>
        <w:t xml:space="preserve">was </w:t>
      </w:r>
      <w:r>
        <w:rPr>
          <w:rFonts w:cs="Times New Roman"/>
          <w:color w:val="000000"/>
          <w:lang w:eastAsia="en-US"/>
        </w:rPr>
        <w:t>simply the use of relevant documents</w:t>
      </w:r>
      <w:r w:rsidR="00B91622">
        <w:rPr>
          <w:rFonts w:cs="Times New Roman"/>
          <w:color w:val="000000"/>
          <w:lang w:eastAsia="en-US"/>
        </w:rPr>
        <w:t xml:space="preserve"> for the sake of argumentation</w:t>
      </w:r>
      <w:r>
        <w:rPr>
          <w:rFonts w:cs="Times New Roman"/>
          <w:color w:val="000000"/>
          <w:lang w:eastAsia="en-US"/>
        </w:rPr>
        <w:t>?</w:t>
      </w:r>
      <w:r w:rsidR="00B91622">
        <w:rPr>
          <w:rFonts w:cs="Times New Roman"/>
          <w:color w:val="000000"/>
          <w:lang w:eastAsia="en-US"/>
        </w:rPr>
        <w:t xml:space="preserve"> G</w:t>
      </w:r>
      <w:r w:rsidR="008577F6">
        <w:rPr>
          <w:rFonts w:cs="Times New Roman"/>
          <w:color w:val="000000"/>
          <w:lang w:eastAsia="en-US"/>
        </w:rPr>
        <w:t>iven the fact that such recourse to</w:t>
      </w:r>
      <w:r w:rsidR="00B91622">
        <w:rPr>
          <w:rFonts w:cs="Times New Roman"/>
          <w:color w:val="000000"/>
          <w:lang w:eastAsia="en-US"/>
        </w:rPr>
        <w:t xml:space="preserve"> authoritative documents was recommended by rhetorical theory as a standard strategy</w:t>
      </w:r>
      <w:r w:rsidR="00AD2D9E">
        <w:rPr>
          <w:rFonts w:cs="Times New Roman"/>
          <w:color w:val="000000"/>
          <w:lang w:eastAsia="en-US"/>
        </w:rPr>
        <w:t xml:space="preserve"> in cases involving ambiguities of interpretation</w:t>
      </w:r>
      <w:r w:rsidR="00B91622">
        <w:rPr>
          <w:rFonts w:cs="Times New Roman"/>
          <w:color w:val="000000"/>
          <w:lang w:eastAsia="en-US"/>
        </w:rPr>
        <w:t>,</w:t>
      </w:r>
      <w:r w:rsidR="00AD2D9E">
        <w:rPr>
          <w:rStyle w:val="FootnoteReference"/>
          <w:rFonts w:cs="Times New Roman"/>
          <w:color w:val="000000"/>
          <w:lang w:eastAsia="en-US"/>
        </w:rPr>
        <w:footnoteReference w:id="26"/>
      </w:r>
      <w:r w:rsidR="00B91622">
        <w:rPr>
          <w:rFonts w:cs="Times New Roman"/>
          <w:color w:val="000000"/>
          <w:lang w:eastAsia="en-US"/>
        </w:rPr>
        <w:t xml:space="preserve"> I find no sound basis for any </w:t>
      </w:r>
      <w:r w:rsidR="00562487">
        <w:rPr>
          <w:rFonts w:cs="Times New Roman"/>
          <w:color w:val="000000"/>
          <w:lang w:eastAsia="en-US"/>
        </w:rPr>
        <w:t xml:space="preserve">legitimate </w:t>
      </w:r>
      <w:r w:rsidR="00B91622">
        <w:rPr>
          <w:rFonts w:cs="Times New Roman"/>
          <w:color w:val="000000"/>
          <w:lang w:eastAsia="en-US"/>
        </w:rPr>
        <w:t>inference here. Rather Tyson appears to be following a line of thought essential to Harnack’s</w:t>
      </w:r>
      <w:r w:rsidR="008577F6">
        <w:rPr>
          <w:rFonts w:cs="Times New Roman"/>
          <w:color w:val="000000"/>
          <w:lang w:eastAsia="en-US"/>
        </w:rPr>
        <w:t xml:space="preserve"> profile of Marcion as primarily a</w:t>
      </w:r>
      <w:r w:rsidR="00B91622">
        <w:rPr>
          <w:rFonts w:cs="Times New Roman"/>
          <w:color w:val="000000"/>
          <w:lang w:eastAsia="en-US"/>
        </w:rPr>
        <w:t xml:space="preserve"> biblical theologian</w:t>
      </w:r>
      <w:r w:rsidR="00B91622">
        <w:rPr>
          <w:rStyle w:val="FootnoteReference"/>
          <w:rFonts w:cs="Times New Roman"/>
          <w:color w:val="000000"/>
          <w:lang w:eastAsia="en-US"/>
        </w:rPr>
        <w:footnoteReference w:id="27"/>
      </w:r>
      <w:r w:rsidR="00B91622">
        <w:rPr>
          <w:rFonts w:cs="Times New Roman"/>
          <w:color w:val="000000"/>
          <w:lang w:eastAsia="en-US"/>
        </w:rPr>
        <w:t xml:space="preserve"> with a pench</w:t>
      </w:r>
      <w:r w:rsidR="00562487">
        <w:rPr>
          <w:rFonts w:cs="Times New Roman"/>
          <w:color w:val="000000"/>
          <w:lang w:eastAsia="en-US"/>
        </w:rPr>
        <w:t>ant for literal interpretation.</w:t>
      </w:r>
      <w:r w:rsidR="00B91622">
        <w:rPr>
          <w:rFonts w:cs="Times New Roman"/>
          <w:color w:val="000000"/>
          <w:lang w:eastAsia="en-US"/>
        </w:rPr>
        <w:t xml:space="preserve"> </w:t>
      </w:r>
      <w:r w:rsidR="00A71CFB">
        <w:rPr>
          <w:rFonts w:cs="Times New Roman"/>
          <w:color w:val="000000"/>
          <w:lang w:eastAsia="en-US"/>
        </w:rPr>
        <w:t>As if the mere procedure of literal interpretation, employed to parody and pillory the God of Israel, would have—as Tyson repeats in his conclusion of the article—“</w:t>
      </w:r>
      <w:r w:rsidR="00A71CFB" w:rsidRPr="00E87C89">
        <w:rPr>
          <w:rFonts w:cs="Times New Roman"/>
          <w:color w:val="000000"/>
          <w:lang w:eastAsia="en-US"/>
        </w:rPr>
        <w:t>potentially created a bond of understanding between him and Jews that his opponents could not have achieved.</w:t>
      </w:r>
      <w:r w:rsidR="00A71CFB">
        <w:rPr>
          <w:rFonts w:cs="Times New Roman"/>
          <w:color w:val="000000"/>
          <w:lang w:eastAsia="en-US"/>
        </w:rPr>
        <w:t>”</w:t>
      </w:r>
      <w:r w:rsidR="00A71CFB">
        <w:rPr>
          <w:rStyle w:val="FootnoteReference"/>
          <w:rFonts w:cs="Times New Roman"/>
          <w:color w:val="000000"/>
          <w:lang w:eastAsia="en-US"/>
        </w:rPr>
        <w:footnoteReference w:id="28"/>
      </w:r>
      <w:r w:rsidR="00A71CFB" w:rsidRPr="00E87C89">
        <w:rPr>
          <w:rFonts w:cs="Times New Roman"/>
          <w:color w:val="000000"/>
          <w:lang w:eastAsia="en-US"/>
        </w:rPr>
        <w:t xml:space="preserve"> </w:t>
      </w:r>
      <w:r w:rsidR="00A71CFB" w:rsidRPr="00FC01D9">
        <w:rPr>
          <w:rFonts w:cs="Times New Roman"/>
          <w:color w:val="000000"/>
          <w:lang w:eastAsia="en-US"/>
        </w:rPr>
        <w:t xml:space="preserve"> </w:t>
      </w:r>
      <w:r w:rsidR="00A71CFB">
        <w:rPr>
          <w:rFonts w:cs="Times New Roman"/>
          <w:color w:val="000000"/>
          <w:lang w:eastAsia="en-US"/>
        </w:rPr>
        <w:t>This is also an odd argument to make when Tyson himself is careful to note that Jewish scriptural interpretation in this period was “quite varied” and by no means literalistic, despite the polemical implications of early Christian writers about Jewish ‘literalism.’</w:t>
      </w:r>
      <w:r w:rsidR="00A71CFB">
        <w:rPr>
          <w:rStyle w:val="FootnoteReference"/>
          <w:rFonts w:cs="Times New Roman"/>
          <w:color w:val="000000"/>
          <w:lang w:eastAsia="en-US"/>
        </w:rPr>
        <w:footnoteReference w:id="29"/>
      </w:r>
    </w:p>
    <w:p w14:paraId="2168E275" w14:textId="7D569ED1" w:rsidR="00A71CFB" w:rsidRDefault="00A71CFB" w:rsidP="005117FE">
      <w:pPr>
        <w:spacing w:line="480" w:lineRule="auto"/>
        <w:ind w:firstLine="720"/>
      </w:pPr>
      <w:r>
        <w:rPr>
          <w:rFonts w:cs="Times New Roman"/>
          <w:color w:val="000000"/>
          <w:lang w:eastAsia="en-US"/>
        </w:rPr>
        <w:t xml:space="preserve">The </w:t>
      </w:r>
      <w:r w:rsidR="007643AE">
        <w:rPr>
          <w:rFonts w:cs="Times New Roman"/>
          <w:color w:val="000000"/>
          <w:lang w:eastAsia="en-US"/>
        </w:rPr>
        <w:t>contention of Tyson</w:t>
      </w:r>
      <w:r>
        <w:rPr>
          <w:rFonts w:cs="Times New Roman"/>
          <w:color w:val="000000"/>
          <w:lang w:eastAsia="en-US"/>
        </w:rPr>
        <w:t xml:space="preserve"> that Marcion did not question the “legitimacy” for Jews or their “right” to continue their own religion, moreover, strikes me as an anachronistic perspective</w:t>
      </w:r>
      <w:r w:rsidR="008577F6">
        <w:rPr>
          <w:rFonts w:cs="Times New Roman"/>
          <w:color w:val="000000"/>
          <w:lang w:eastAsia="en-US"/>
        </w:rPr>
        <w:t>, perhaps</w:t>
      </w:r>
      <w:r>
        <w:rPr>
          <w:rFonts w:cs="Times New Roman"/>
          <w:color w:val="000000"/>
          <w:lang w:eastAsia="en-US"/>
        </w:rPr>
        <w:t xml:space="preserve"> born </w:t>
      </w:r>
      <w:r w:rsidR="008577F6">
        <w:rPr>
          <w:rFonts w:cs="Times New Roman"/>
          <w:color w:val="000000"/>
          <w:lang w:eastAsia="en-US"/>
        </w:rPr>
        <w:t xml:space="preserve">f </w:t>
      </w:r>
      <w:r>
        <w:rPr>
          <w:rFonts w:cs="Times New Roman"/>
          <w:color w:val="000000"/>
          <w:lang w:eastAsia="en-US"/>
        </w:rPr>
        <w:t>our own location in a pluralistic society. Such an optic is obtained, I believe, all too easily when one gets into ‘What if ...’ lines of speculation: What if the Marcionite church had triumphed over their proto-orthodox opponents? Wouldn’t the history of the relations betw</w:t>
      </w:r>
      <w:r w:rsidR="008577F6">
        <w:rPr>
          <w:rFonts w:cs="Times New Roman"/>
          <w:color w:val="000000"/>
          <w:lang w:eastAsia="en-US"/>
        </w:rPr>
        <w:t>een Christianity and Judaism have</w:t>
      </w:r>
      <w:r>
        <w:rPr>
          <w:rFonts w:cs="Times New Roman"/>
          <w:color w:val="000000"/>
          <w:lang w:eastAsia="en-US"/>
        </w:rPr>
        <w:t xml:space="preserve"> been quite other? Although Tyson tries to establish some distance from Ehrman’s line of speculation in this regard, he ends up in much the same place. I quote Tyson: </w:t>
      </w:r>
    </w:p>
    <w:p w14:paraId="4FC478D2" w14:textId="52B24C9B" w:rsidR="00A71CFB" w:rsidRDefault="00A71CFB" w:rsidP="005117FE">
      <w:pPr>
        <w:ind w:left="1080" w:right="1080"/>
      </w:pPr>
      <w:r w:rsidRPr="005117FE">
        <w:t>Marcion’s decision to exclude the Hebrew Bible from the Christian canon creates a clear demarcation between Christianity and Judaism, and in this sense he would encourage his followers to regard the survival of Judaism after the time of Jesus as legitimate but theologically irrelevant. Whether this would have led to a diminished degree of anti-Judaism on the part of his followers is, of course, impossible to say, but Ehrman is probably correct to observe that “benign neglect” is at least consistent with Marcionite principles.</w:t>
      </w:r>
      <w:r>
        <w:rPr>
          <w:rStyle w:val="FootnoteReference"/>
        </w:rPr>
        <w:footnoteReference w:id="30"/>
      </w:r>
    </w:p>
    <w:p w14:paraId="3F5BF3B8" w14:textId="77777777" w:rsidR="005117FE" w:rsidRPr="003C5F8C" w:rsidRDefault="005117FE" w:rsidP="005117FE">
      <w:pPr>
        <w:ind w:left="1080" w:right="1080"/>
      </w:pPr>
      <w:r>
        <w:t xml:space="preserve"> </w:t>
      </w:r>
    </w:p>
    <w:p w14:paraId="3F05B3BC" w14:textId="43734E0C" w:rsidR="004863CE" w:rsidRPr="003D2192" w:rsidRDefault="003119EE" w:rsidP="003119EE">
      <w:pPr>
        <w:spacing w:before="100" w:beforeAutospacing="1" w:after="100" w:afterAutospacing="1" w:line="480" w:lineRule="auto"/>
        <w:contextualSpacing/>
        <w:rPr>
          <w:rFonts w:cs="Times New Roman"/>
          <w:color w:val="000000"/>
          <w:lang w:eastAsia="en-US"/>
        </w:rPr>
      </w:pPr>
      <w:r>
        <w:rPr>
          <w:rFonts w:cs="Times New Roman"/>
          <w:color w:val="000000"/>
          <w:lang w:eastAsia="en-US"/>
        </w:rPr>
        <w:t>The point</w:t>
      </w:r>
      <w:r w:rsidR="007643AE">
        <w:rPr>
          <w:rFonts w:cs="Times New Roman"/>
          <w:color w:val="000000"/>
          <w:lang w:eastAsia="en-US"/>
        </w:rPr>
        <w:t xml:space="preserve"> of the ‘what if’ exercise seems a matter of theological</w:t>
      </w:r>
      <w:r>
        <w:rPr>
          <w:rFonts w:cs="Times New Roman"/>
          <w:color w:val="000000"/>
          <w:lang w:eastAsia="en-US"/>
        </w:rPr>
        <w:t xml:space="preserve"> apologetics</w:t>
      </w:r>
      <w:r w:rsidR="007643AE">
        <w:rPr>
          <w:rFonts w:cs="Times New Roman"/>
          <w:color w:val="000000"/>
          <w:lang w:eastAsia="en-US"/>
        </w:rPr>
        <w:t xml:space="preserve"> (which is by no means </w:t>
      </w:r>
      <w:r w:rsidR="007643AE">
        <w:rPr>
          <w:rFonts w:cs="Times New Roman"/>
          <w:i/>
          <w:color w:val="000000"/>
          <w:lang w:eastAsia="en-US"/>
        </w:rPr>
        <w:t>res horrenda</w:t>
      </w:r>
      <w:r w:rsidR="007643AE">
        <w:rPr>
          <w:rFonts w:cs="Times New Roman"/>
          <w:color w:val="000000"/>
          <w:lang w:eastAsia="en-US"/>
        </w:rPr>
        <w:t>), namely</w:t>
      </w:r>
      <w:r w:rsidR="008577F6">
        <w:rPr>
          <w:rFonts w:cs="Times New Roman"/>
          <w:color w:val="000000"/>
          <w:lang w:eastAsia="en-US"/>
        </w:rPr>
        <w:t>,</w:t>
      </w:r>
      <w:r>
        <w:rPr>
          <w:rFonts w:cs="Times New Roman"/>
          <w:color w:val="000000"/>
          <w:lang w:eastAsia="en-US"/>
        </w:rPr>
        <w:t xml:space="preserve"> the desire to say there </w:t>
      </w:r>
      <w:r>
        <w:rPr>
          <w:rFonts w:cs="Times New Roman"/>
          <w:i/>
          <w:color w:val="000000"/>
          <w:lang w:eastAsia="en-US"/>
        </w:rPr>
        <w:t>could</w:t>
      </w:r>
      <w:r>
        <w:rPr>
          <w:rFonts w:cs="Times New Roman"/>
          <w:color w:val="000000"/>
          <w:lang w:eastAsia="en-US"/>
        </w:rPr>
        <w:t xml:space="preserve"> have been a form a Christianity that was less anti-Jewish, etc., that perhaps paradoxically Marcion’s alternative</w:t>
      </w:r>
      <w:r w:rsidR="00EB55C3">
        <w:rPr>
          <w:rFonts w:cs="Times New Roman"/>
          <w:color w:val="000000"/>
          <w:lang w:eastAsia="en-US"/>
        </w:rPr>
        <w:t xml:space="preserve"> church</w:t>
      </w:r>
      <w:r>
        <w:rPr>
          <w:rFonts w:cs="Times New Roman"/>
          <w:color w:val="000000"/>
          <w:lang w:eastAsia="en-US"/>
        </w:rPr>
        <w:t xml:space="preserve"> might have been such</w:t>
      </w:r>
      <w:r w:rsidR="00EB55C3">
        <w:rPr>
          <w:rFonts w:cs="Times New Roman"/>
          <w:color w:val="000000"/>
          <w:lang w:eastAsia="en-US"/>
        </w:rPr>
        <w:t xml:space="preserve"> a version of the faith</w:t>
      </w:r>
      <w:r>
        <w:rPr>
          <w:rFonts w:cs="Times New Roman"/>
          <w:color w:val="000000"/>
          <w:lang w:eastAsia="en-US"/>
        </w:rPr>
        <w:t>.</w:t>
      </w:r>
      <w:r w:rsidR="00D8431D">
        <w:rPr>
          <w:rFonts w:cs="Times New Roman"/>
          <w:color w:val="000000"/>
          <w:lang w:eastAsia="en-US"/>
        </w:rPr>
        <w:t xml:space="preserve"> As pertains to the strict</w:t>
      </w:r>
      <w:r w:rsidR="008577F6">
        <w:rPr>
          <w:rFonts w:cs="Times New Roman"/>
          <w:color w:val="000000"/>
          <w:lang w:eastAsia="en-US"/>
        </w:rPr>
        <w:t>ly history-of-religions concern</w:t>
      </w:r>
      <w:r w:rsidR="00D8431D">
        <w:rPr>
          <w:rFonts w:cs="Times New Roman"/>
          <w:color w:val="000000"/>
          <w:lang w:eastAsia="en-US"/>
        </w:rPr>
        <w:t xml:space="preserve"> to understand the appeal of Marcion in his own time, however, I would urge close attention to the implications of Tyson</w:t>
      </w:r>
      <w:r w:rsidR="00652436">
        <w:rPr>
          <w:rFonts w:cs="Times New Roman"/>
          <w:color w:val="000000"/>
          <w:lang w:eastAsia="en-US"/>
        </w:rPr>
        <w:t>’s</w:t>
      </w:r>
      <w:r w:rsidR="00D8431D">
        <w:rPr>
          <w:rFonts w:cs="Times New Roman"/>
          <w:color w:val="000000"/>
          <w:lang w:eastAsia="en-US"/>
        </w:rPr>
        <w:t xml:space="preserve"> statement about the desirability of “a clear demarcation </w:t>
      </w:r>
      <w:r w:rsidR="00D8431D" w:rsidRPr="005117FE">
        <w:t>between Christianity and Judaism</w:t>
      </w:r>
      <w:r w:rsidR="00D8431D">
        <w:t xml:space="preserve">”: are we indeed to take it that no such clear demarcation was there apart from Marcion’s innovation? </w:t>
      </w:r>
      <w:r w:rsidR="003D2192">
        <w:t>I would prefer a more robust formulation of what</w:t>
      </w:r>
      <w:r w:rsidR="00652436">
        <w:t xml:space="preserve"> it was that</w:t>
      </w:r>
      <w:r w:rsidR="003D2192">
        <w:t xml:space="preserve"> Marcion sought: not merely a </w:t>
      </w:r>
      <w:r w:rsidR="003D2192">
        <w:rPr>
          <w:i/>
        </w:rPr>
        <w:t>clear demarcation</w:t>
      </w:r>
      <w:r w:rsidR="003D2192">
        <w:t xml:space="preserve"> of difference from Judaism but an absolute excision of all things Jewish from the church. This distinction strikes me as significant because it clarifies the specificity of Marcion’s distancing strategy when compared to other attempts of Christian self-definition vis-a-vis Judaism.</w:t>
      </w:r>
    </w:p>
    <w:p w14:paraId="4352B00B" w14:textId="2E0B1CF7" w:rsidR="00727458" w:rsidRDefault="008577F6" w:rsidP="00727458">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But a</w:t>
      </w:r>
      <w:r w:rsidR="004863CE">
        <w:rPr>
          <w:rFonts w:cs="Times New Roman"/>
          <w:color w:val="000000"/>
          <w:lang w:eastAsia="en-US"/>
        </w:rPr>
        <w:t xml:space="preserve"> judgment that Marcion’s movement wa</w:t>
      </w:r>
      <w:r w:rsidR="004863CE" w:rsidRPr="00FC01D9">
        <w:rPr>
          <w:rFonts w:cs="Times New Roman"/>
          <w:color w:val="000000"/>
          <w:lang w:eastAsia="en-US"/>
        </w:rPr>
        <w:t>s anti-Jewish</w:t>
      </w:r>
      <w:r w:rsidR="004863CE">
        <w:rPr>
          <w:rFonts w:cs="Times New Roman"/>
          <w:color w:val="000000"/>
          <w:lang w:eastAsia="en-US"/>
        </w:rPr>
        <w:t xml:space="preserve">, I would argue, can be securely ventured on the basis of </w:t>
      </w:r>
      <w:r w:rsidR="004863CE" w:rsidRPr="00FC01D9">
        <w:rPr>
          <w:rFonts w:cs="Times New Roman"/>
          <w:color w:val="000000"/>
          <w:lang w:eastAsia="en-US"/>
        </w:rPr>
        <w:t>the</w:t>
      </w:r>
      <w:r w:rsidR="004863CE">
        <w:rPr>
          <w:rFonts w:cs="Times New Roman"/>
          <w:color w:val="000000"/>
          <w:lang w:eastAsia="en-US"/>
        </w:rPr>
        <w:t xml:space="preserve"> whole</w:t>
      </w:r>
      <w:r w:rsidR="004863CE" w:rsidRPr="00FC01D9">
        <w:rPr>
          <w:rFonts w:cs="Times New Roman"/>
          <w:color w:val="000000"/>
          <w:lang w:eastAsia="en-US"/>
        </w:rPr>
        <w:t xml:space="preserve"> </w:t>
      </w:r>
      <w:r w:rsidR="004863CE" w:rsidRPr="00FC01D9">
        <w:rPr>
          <w:rFonts w:cs="Times New Roman"/>
          <w:i/>
          <w:color w:val="000000"/>
          <w:lang w:eastAsia="en-US"/>
        </w:rPr>
        <w:t>pattern of religion</w:t>
      </w:r>
      <w:r w:rsidR="00652436">
        <w:rPr>
          <w:rFonts w:cs="Times New Roman"/>
          <w:color w:val="000000"/>
          <w:lang w:eastAsia="en-US"/>
        </w:rPr>
        <w:t xml:space="preserve"> </w:t>
      </w:r>
      <w:r w:rsidR="004863CE" w:rsidRPr="00FC01D9">
        <w:rPr>
          <w:rFonts w:cs="Times New Roman"/>
          <w:color w:val="000000"/>
          <w:lang w:eastAsia="en-US"/>
        </w:rPr>
        <w:t xml:space="preserve">presupposed </w:t>
      </w:r>
      <w:r w:rsidR="004863CE">
        <w:rPr>
          <w:rFonts w:cs="Times New Roman"/>
          <w:color w:val="000000"/>
          <w:lang w:eastAsia="en-US"/>
        </w:rPr>
        <w:t>by the Marcionite canon, church, and particularly by Marcion’s conspiracy theory about the re-judaizing of the gospel by the apost</w:t>
      </w:r>
      <w:r w:rsidR="003A78B8">
        <w:rPr>
          <w:rFonts w:cs="Times New Roman"/>
          <w:color w:val="000000"/>
          <w:lang w:eastAsia="en-US"/>
        </w:rPr>
        <w:t xml:space="preserve">les after the death of Christ. </w:t>
      </w:r>
      <w:r w:rsidR="004863CE">
        <w:rPr>
          <w:rFonts w:cs="Times New Roman"/>
          <w:color w:val="000000"/>
          <w:lang w:eastAsia="en-US"/>
        </w:rPr>
        <w:t>For unless we suppose that</w:t>
      </w:r>
      <w:r w:rsidR="004863CE" w:rsidRPr="00FC01D9">
        <w:rPr>
          <w:rFonts w:cs="Times New Roman"/>
          <w:color w:val="000000"/>
          <w:lang w:eastAsia="en-US"/>
        </w:rPr>
        <w:t xml:space="preserve"> this last element</w:t>
      </w:r>
      <w:r w:rsidR="004863CE">
        <w:rPr>
          <w:rFonts w:cs="Times New Roman"/>
          <w:color w:val="000000"/>
          <w:lang w:eastAsia="en-US"/>
        </w:rPr>
        <w:t xml:space="preserve"> was a kind of </w:t>
      </w:r>
      <w:r w:rsidR="004863CE">
        <w:rPr>
          <w:rFonts w:cs="Times New Roman"/>
          <w:i/>
          <w:color w:val="000000"/>
          <w:lang w:eastAsia="en-US"/>
        </w:rPr>
        <w:t>post hoc</w:t>
      </w:r>
      <w:r w:rsidR="004863CE">
        <w:rPr>
          <w:rFonts w:cs="Times New Roman"/>
          <w:color w:val="000000"/>
          <w:lang w:eastAsia="en-US"/>
        </w:rPr>
        <w:t xml:space="preserve"> justification for </w:t>
      </w:r>
      <w:r w:rsidR="004863CE" w:rsidRPr="00FC01D9">
        <w:rPr>
          <w:rFonts w:cs="Times New Roman"/>
          <w:color w:val="000000"/>
          <w:lang w:eastAsia="en-US"/>
        </w:rPr>
        <w:t>Marcion’s editorial decisions and his</w:t>
      </w:r>
      <w:r w:rsidR="004863CE">
        <w:rPr>
          <w:rFonts w:cs="Times New Roman"/>
          <w:color w:val="000000"/>
          <w:lang w:eastAsia="en-US"/>
        </w:rPr>
        <w:t xml:space="preserve"> creation of a law-free</w:t>
      </w:r>
      <w:r w:rsidR="004863CE" w:rsidRPr="00FC01D9">
        <w:rPr>
          <w:rFonts w:cs="Times New Roman"/>
          <w:color w:val="000000"/>
          <w:lang w:eastAsia="en-US"/>
        </w:rPr>
        <w:t xml:space="preserve"> canon</w:t>
      </w:r>
      <w:r w:rsidR="004863CE">
        <w:rPr>
          <w:rFonts w:cs="Times New Roman"/>
          <w:color w:val="000000"/>
          <w:lang w:eastAsia="en-US"/>
        </w:rPr>
        <w:t>, we must conclude that Marcion was indeed genuinely repulsed by what he rightly perceived as residual Jewish elements in the church at Rome, be it the proto-orthodox church’s acceptanc</w:t>
      </w:r>
      <w:r>
        <w:rPr>
          <w:rFonts w:cs="Times New Roman"/>
          <w:color w:val="000000"/>
          <w:lang w:eastAsia="en-US"/>
        </w:rPr>
        <w:t>e of the LXX</w:t>
      </w:r>
      <w:r w:rsidR="004863CE">
        <w:rPr>
          <w:rFonts w:cs="Times New Roman"/>
          <w:color w:val="000000"/>
          <w:lang w:eastAsia="en-US"/>
        </w:rPr>
        <w:t xml:space="preserve"> as scripture or its more general assertion of continuity with the </w:t>
      </w:r>
      <w:r w:rsidR="004863CE">
        <w:rPr>
          <w:rFonts w:cs="Times New Roman"/>
          <w:i/>
          <w:color w:val="000000"/>
          <w:lang w:eastAsia="en-US"/>
        </w:rPr>
        <w:t>Heilsgeschichte</w:t>
      </w:r>
      <w:r w:rsidR="004863CE">
        <w:rPr>
          <w:rFonts w:cs="Times New Roman"/>
          <w:color w:val="000000"/>
          <w:lang w:eastAsia="en-US"/>
        </w:rPr>
        <w:t xml:space="preserve"> of the Israelite tradition</w:t>
      </w:r>
      <w:r w:rsidR="00652436">
        <w:rPr>
          <w:rFonts w:cs="Times New Roman"/>
          <w:color w:val="000000"/>
          <w:lang w:eastAsia="en-US"/>
        </w:rPr>
        <w:t xml:space="preserve"> (or perhaps even elements of Jewish </w:t>
      </w:r>
      <w:r w:rsidR="003A78B8">
        <w:rPr>
          <w:rFonts w:cs="Times New Roman"/>
          <w:color w:val="000000"/>
          <w:lang w:eastAsia="en-US"/>
        </w:rPr>
        <w:t>practice)</w:t>
      </w:r>
      <w:r w:rsidR="004863CE">
        <w:rPr>
          <w:rFonts w:cs="Times New Roman"/>
          <w:color w:val="000000"/>
          <w:lang w:eastAsia="en-US"/>
        </w:rPr>
        <w:t>. Marcion’s animus toward the God of the Old Testament</w:t>
      </w:r>
      <w:r w:rsidR="004863CE">
        <w:rPr>
          <w:rStyle w:val="FootnoteReference"/>
          <w:rFonts w:cs="Times New Roman"/>
          <w:color w:val="000000"/>
          <w:lang w:eastAsia="en-US"/>
        </w:rPr>
        <w:footnoteReference w:id="31"/>
      </w:r>
      <w:r w:rsidR="004863CE">
        <w:rPr>
          <w:rFonts w:cs="Times New Roman"/>
          <w:color w:val="000000"/>
          <w:lang w:eastAsia="en-US"/>
        </w:rPr>
        <w:t xml:space="preserve"> and his desire to purge the church of all things Jewish must be explained if the phenomenon of Marc</w:t>
      </w:r>
      <w:r w:rsidR="003A78B8">
        <w:rPr>
          <w:rFonts w:cs="Times New Roman"/>
          <w:color w:val="000000"/>
          <w:lang w:eastAsia="en-US"/>
        </w:rPr>
        <w:t>ion is to be understood at all.</w:t>
      </w:r>
    </w:p>
    <w:p w14:paraId="3EAE2C20" w14:textId="7874C2FA" w:rsidR="00EB55C3" w:rsidRDefault="004863CE" w:rsidP="00727458">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Harnack’s solution</w:t>
      </w:r>
      <w:r w:rsidR="00E001BD">
        <w:rPr>
          <w:rFonts w:cs="Times New Roman"/>
          <w:color w:val="000000"/>
          <w:lang w:eastAsia="en-US"/>
        </w:rPr>
        <w:t xml:space="preserve"> to the question of the origins of Marcion’s negative attitude toward Judaism is connected to the element of his work</w:t>
      </w:r>
      <w:r>
        <w:rPr>
          <w:rFonts w:cs="Times New Roman"/>
          <w:color w:val="000000"/>
          <w:lang w:eastAsia="en-US"/>
        </w:rPr>
        <w:t xml:space="preserve"> has been found</w:t>
      </w:r>
      <w:r w:rsidR="00E001BD">
        <w:rPr>
          <w:rFonts w:cs="Times New Roman"/>
          <w:color w:val="000000"/>
          <w:lang w:eastAsia="en-US"/>
        </w:rPr>
        <w:t xml:space="preserve"> most</w:t>
      </w:r>
      <w:r>
        <w:rPr>
          <w:rFonts w:cs="Times New Roman"/>
          <w:color w:val="000000"/>
          <w:lang w:eastAsia="en-US"/>
        </w:rPr>
        <w:t xml:space="preserve"> unsatisfactory,</w:t>
      </w:r>
      <w:r w:rsidR="00E001BD">
        <w:rPr>
          <w:rFonts w:cs="Times New Roman"/>
          <w:color w:val="000000"/>
          <w:lang w:eastAsia="en-US"/>
        </w:rPr>
        <w:t xml:space="preserve"> namely, his insistence</w:t>
      </w:r>
      <w:r>
        <w:rPr>
          <w:rFonts w:cs="Times New Roman"/>
          <w:color w:val="000000"/>
          <w:lang w:eastAsia="en-US"/>
        </w:rPr>
        <w:t xml:space="preserve"> on regarding Marcion in isolation from any of the philosophical and speculative elements of co</w:t>
      </w:r>
      <w:r w:rsidR="00E001BD">
        <w:rPr>
          <w:rFonts w:cs="Times New Roman"/>
          <w:color w:val="000000"/>
          <w:lang w:eastAsia="en-US"/>
        </w:rPr>
        <w:t>ntemporary Christian gnosticism.</w:t>
      </w:r>
      <w:r w:rsidR="00E001BD">
        <w:rPr>
          <w:rStyle w:val="FootnoteReference"/>
          <w:rFonts w:cs="Times New Roman"/>
          <w:color w:val="000000"/>
          <w:lang w:eastAsia="en-US"/>
        </w:rPr>
        <w:footnoteReference w:id="32"/>
      </w:r>
      <w:r w:rsidR="00E001BD">
        <w:rPr>
          <w:rFonts w:cs="Times New Roman"/>
          <w:color w:val="000000"/>
          <w:lang w:eastAsia="en-US"/>
        </w:rPr>
        <w:t xml:space="preserve"> Harnack distanced Marci</w:t>
      </w:r>
      <w:r w:rsidR="00C35C82">
        <w:rPr>
          <w:rFonts w:cs="Times New Roman"/>
          <w:color w:val="000000"/>
          <w:lang w:eastAsia="en-US"/>
        </w:rPr>
        <w:t>on from the gnostic critique of the demiurge,</w:t>
      </w:r>
      <w:r w:rsidR="00C35C82">
        <w:rPr>
          <w:rStyle w:val="FootnoteReference"/>
          <w:rFonts w:cs="Times New Roman"/>
          <w:color w:val="000000"/>
          <w:lang w:eastAsia="en-US"/>
        </w:rPr>
        <w:footnoteReference w:id="33"/>
      </w:r>
      <w:r w:rsidR="00C35C82">
        <w:rPr>
          <w:rFonts w:cs="Times New Roman"/>
          <w:color w:val="000000"/>
          <w:lang w:eastAsia="en-US"/>
        </w:rPr>
        <w:t xml:space="preserve"> maintaining that the former  “</w:t>
      </w:r>
      <w:r>
        <w:rPr>
          <w:rFonts w:cs="Times New Roman"/>
          <w:color w:val="000000"/>
          <w:lang w:eastAsia="en-US"/>
        </w:rPr>
        <w:t>proceeded from different presuppositions, from the Old Testament, from biblical Christianity, from Paul.”</w:t>
      </w:r>
      <w:r>
        <w:rPr>
          <w:rStyle w:val="FootnoteReference"/>
          <w:rFonts w:cs="Times New Roman"/>
          <w:color w:val="000000"/>
          <w:lang w:eastAsia="en-US"/>
        </w:rPr>
        <w:footnoteReference w:id="34"/>
      </w:r>
      <w:r w:rsidR="00DF1CAC">
        <w:rPr>
          <w:rFonts w:cs="Times New Roman"/>
          <w:color w:val="000000"/>
          <w:lang w:eastAsia="en-US"/>
        </w:rPr>
        <w:t xml:space="preserve"> This notion of </w:t>
      </w:r>
      <w:r>
        <w:rPr>
          <w:rFonts w:cs="Times New Roman"/>
          <w:color w:val="000000"/>
          <w:lang w:eastAsia="en-US"/>
        </w:rPr>
        <w:t>Marcion as</w:t>
      </w:r>
      <w:r w:rsidR="008577F6">
        <w:rPr>
          <w:rFonts w:cs="Times New Roman"/>
          <w:color w:val="000000"/>
          <w:lang w:eastAsia="en-US"/>
        </w:rPr>
        <w:t xml:space="preserve"> primarily</w:t>
      </w:r>
      <w:r w:rsidR="00257BD9">
        <w:rPr>
          <w:rFonts w:cs="Times New Roman"/>
          <w:color w:val="000000"/>
          <w:lang w:eastAsia="en-US"/>
        </w:rPr>
        <w:t xml:space="preserve"> mo</w:t>
      </w:r>
      <w:r w:rsidR="00DF1CAC">
        <w:rPr>
          <w:rFonts w:cs="Times New Roman"/>
          <w:color w:val="000000"/>
          <w:lang w:eastAsia="en-US"/>
        </w:rPr>
        <w:t>t</w:t>
      </w:r>
      <w:r w:rsidR="00257BD9">
        <w:rPr>
          <w:rFonts w:cs="Times New Roman"/>
          <w:color w:val="000000"/>
          <w:lang w:eastAsia="en-US"/>
        </w:rPr>
        <w:t>iv</w:t>
      </w:r>
      <w:r w:rsidR="00DF1CAC">
        <w:rPr>
          <w:rFonts w:cs="Times New Roman"/>
          <w:color w:val="000000"/>
          <w:lang w:eastAsia="en-US"/>
        </w:rPr>
        <w:t>a</w:t>
      </w:r>
      <w:r w:rsidR="00257BD9">
        <w:rPr>
          <w:rFonts w:cs="Times New Roman"/>
          <w:color w:val="000000"/>
          <w:lang w:eastAsia="en-US"/>
        </w:rPr>
        <w:t xml:space="preserve">ted by exegetical concerns </w:t>
      </w:r>
      <w:r>
        <w:rPr>
          <w:rFonts w:cs="Times New Roman"/>
          <w:color w:val="000000"/>
          <w:lang w:eastAsia="en-US"/>
        </w:rPr>
        <w:t>I find</w:t>
      </w:r>
      <w:r w:rsidR="00257BD9">
        <w:rPr>
          <w:rFonts w:cs="Times New Roman"/>
          <w:color w:val="000000"/>
          <w:lang w:eastAsia="en-US"/>
        </w:rPr>
        <w:t xml:space="preserve"> a</w:t>
      </w:r>
      <w:r>
        <w:rPr>
          <w:rFonts w:cs="Times New Roman"/>
          <w:color w:val="000000"/>
          <w:lang w:eastAsia="en-US"/>
        </w:rPr>
        <w:t xml:space="preserve"> particularly anachronistic</w:t>
      </w:r>
      <w:r w:rsidR="00257BD9">
        <w:rPr>
          <w:rFonts w:cs="Times New Roman"/>
          <w:color w:val="000000"/>
          <w:lang w:eastAsia="en-US"/>
        </w:rPr>
        <w:t xml:space="preserve"> part of Harnack’s Marcion-portrait</w:t>
      </w:r>
      <w:r>
        <w:rPr>
          <w:rFonts w:cs="Times New Roman"/>
          <w:color w:val="000000"/>
          <w:lang w:eastAsia="en-US"/>
        </w:rPr>
        <w:t>: as if he had spent his youth reading only the Pauline letters in the privacy of his inner chamber, so as to know the God of love and Jesus Christ exclusively from that source, and then had suffered a terrible shock upon entering a church hearing the Old Testament read aloud to discover the God of wra</w:t>
      </w:r>
      <w:r w:rsidR="008577F6">
        <w:rPr>
          <w:rFonts w:cs="Times New Roman"/>
          <w:color w:val="000000"/>
          <w:lang w:eastAsia="en-US"/>
        </w:rPr>
        <w:t>th revealed as the father of that</w:t>
      </w:r>
      <w:r>
        <w:rPr>
          <w:rFonts w:cs="Times New Roman"/>
          <w:color w:val="000000"/>
          <w:lang w:eastAsia="en-US"/>
        </w:rPr>
        <w:t xml:space="preserve"> gentle son!  The intellectualist approach of the ‘Marcion as exegete’ theory recurs in Tyson, who posits a great respect on his part for the Hebrew Bible, on the grounds that his literal method </w:t>
      </w:r>
      <w:r w:rsidR="008577F6">
        <w:rPr>
          <w:rFonts w:cs="Times New Roman"/>
          <w:color w:val="000000"/>
          <w:lang w:eastAsia="en-US"/>
        </w:rPr>
        <w:t xml:space="preserve">of </w:t>
      </w:r>
      <w:r>
        <w:rPr>
          <w:rFonts w:cs="Times New Roman"/>
          <w:color w:val="000000"/>
          <w:lang w:eastAsia="en-US"/>
        </w:rPr>
        <w:t>interpretation presupposed he thought it was “divinely inspired,” and that his criticism of it “</w:t>
      </w:r>
      <w:r w:rsidRPr="00AA0F64">
        <w:rPr>
          <w:rFonts w:cs="Times New Roman"/>
          <w:color w:val="000000"/>
          <w:lang w:eastAsia="en-US"/>
        </w:rPr>
        <w:t>was not directed to its authority but to its morality.</w:t>
      </w:r>
      <w:r>
        <w:rPr>
          <w:rFonts w:cs="Times New Roman"/>
          <w:color w:val="000000"/>
          <w:lang w:eastAsia="en-US"/>
        </w:rPr>
        <w:t>”</w:t>
      </w:r>
      <w:r w:rsidR="003A78B8">
        <w:rPr>
          <w:rStyle w:val="FootnoteReference"/>
          <w:rFonts w:cs="Times New Roman"/>
          <w:color w:val="000000"/>
          <w:lang w:eastAsia="en-US"/>
        </w:rPr>
        <w:footnoteReference w:id="35"/>
      </w:r>
      <w:r>
        <w:rPr>
          <w:rFonts w:cs="Times New Roman"/>
          <w:color w:val="000000"/>
          <w:lang w:eastAsia="en-US"/>
        </w:rPr>
        <w:t xml:space="preserve"> Divinely inspired? Yes—by a divinity who moral teachings Marcion co</w:t>
      </w:r>
      <w:r w:rsidR="00257BD9">
        <w:rPr>
          <w:rFonts w:cs="Times New Roman"/>
          <w:color w:val="000000"/>
          <w:lang w:eastAsia="en-US"/>
        </w:rPr>
        <w:t>nsidered unworthy of Christians!</w:t>
      </w:r>
      <w:r>
        <w:rPr>
          <w:rFonts w:cs="Times New Roman"/>
          <w:color w:val="000000"/>
          <w:lang w:eastAsia="en-US"/>
        </w:rPr>
        <w:t xml:space="preserve"> </w:t>
      </w:r>
      <w:r w:rsidR="003119EE">
        <w:rPr>
          <w:rFonts w:cs="Times New Roman"/>
          <w:color w:val="000000"/>
          <w:lang w:eastAsia="en-US"/>
        </w:rPr>
        <w:t xml:space="preserve"> </w:t>
      </w:r>
    </w:p>
    <w:p w14:paraId="65504B5D" w14:textId="0096F20D" w:rsidR="00D11C78" w:rsidRPr="00FC01D9" w:rsidRDefault="003119EE" w:rsidP="00BA7691">
      <w:pPr>
        <w:pBdr>
          <w:bottom w:val="dotted" w:sz="24" w:space="1" w:color="auto"/>
        </w:pBd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 xml:space="preserve">I am not </w:t>
      </w:r>
      <w:r w:rsidR="008577F6">
        <w:rPr>
          <w:rFonts w:cs="Times New Roman"/>
          <w:color w:val="000000"/>
          <w:lang w:eastAsia="en-US"/>
        </w:rPr>
        <w:t xml:space="preserve">insensitive to the pain of </w:t>
      </w:r>
      <w:r>
        <w:rPr>
          <w:rFonts w:cs="Times New Roman"/>
          <w:color w:val="000000"/>
          <w:lang w:eastAsia="en-US"/>
        </w:rPr>
        <w:t>history from the enlightened Christian side, nor am I unsympathetic to the project of Christian-Jewish dialogue—but I am not convinced one</w:t>
      </w:r>
      <w:r w:rsidR="00EB55C3">
        <w:rPr>
          <w:rFonts w:cs="Times New Roman"/>
          <w:color w:val="000000"/>
          <w:lang w:eastAsia="en-US"/>
        </w:rPr>
        <w:t xml:space="preserve"> makes strides through an approach to the past that is unwilling to focus on what appears most evident fro</w:t>
      </w:r>
      <w:r w:rsidR="00BA7691">
        <w:rPr>
          <w:rFonts w:cs="Times New Roman"/>
          <w:color w:val="000000"/>
          <w:lang w:eastAsia="en-US"/>
        </w:rPr>
        <w:t>m the study of Marcion: that the</w:t>
      </w:r>
      <w:r w:rsidR="00EB55C3">
        <w:rPr>
          <w:rFonts w:cs="Times New Roman"/>
          <w:color w:val="000000"/>
          <w:lang w:eastAsia="en-US"/>
        </w:rPr>
        <w:t xml:space="preserve"> anti-Judaism</w:t>
      </w:r>
      <w:r w:rsidR="00BA7691">
        <w:rPr>
          <w:rFonts w:cs="Times New Roman"/>
          <w:color w:val="000000"/>
          <w:lang w:eastAsia="en-US"/>
        </w:rPr>
        <w:t xml:space="preserve"> of his doctrine, church, and canon </w:t>
      </w:r>
      <w:r w:rsidR="00D11C78" w:rsidRPr="00FC01D9">
        <w:rPr>
          <w:rFonts w:cs="Times New Roman"/>
          <w:color w:val="000000"/>
          <w:lang w:eastAsia="en-US"/>
        </w:rPr>
        <w:t>appeared highly desirable to many Christians</w:t>
      </w:r>
      <w:r w:rsidR="00BA7691">
        <w:rPr>
          <w:rFonts w:cs="Times New Roman"/>
          <w:color w:val="000000"/>
          <w:lang w:eastAsia="en-US"/>
        </w:rPr>
        <w:t xml:space="preserve"> who had already been </w:t>
      </w:r>
      <w:r w:rsidR="002476D2">
        <w:rPr>
          <w:rFonts w:cs="Times New Roman"/>
          <w:color w:val="000000"/>
          <w:lang w:eastAsia="en-US"/>
        </w:rPr>
        <w:t xml:space="preserve">prepared in that regard </w:t>
      </w:r>
      <w:r w:rsidR="00BA7691">
        <w:rPr>
          <w:rFonts w:cs="Times New Roman"/>
          <w:color w:val="000000"/>
          <w:lang w:eastAsia="en-US"/>
        </w:rPr>
        <w:t xml:space="preserve">by </w:t>
      </w:r>
      <w:r w:rsidR="002476D2">
        <w:rPr>
          <w:rFonts w:cs="Times New Roman"/>
          <w:color w:val="000000"/>
          <w:lang w:eastAsia="en-US"/>
        </w:rPr>
        <w:t>many decades of anti-Jewish rhetoric emanating from the birth-pangs of the nascent catholic church.</w:t>
      </w:r>
    </w:p>
    <w:p w14:paraId="2F1001F9" w14:textId="31759F88" w:rsidR="00CA0E5B" w:rsidRDefault="00294E1E" w:rsidP="004E16DA">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(read if there’s time):</w:t>
      </w:r>
      <w:bookmarkStart w:id="0" w:name="_GoBack"/>
      <w:bookmarkEnd w:id="0"/>
    </w:p>
    <w:p w14:paraId="14286EB9" w14:textId="761F5A5A" w:rsidR="00CA0E5B" w:rsidRDefault="00CA0E5B" w:rsidP="004E16DA">
      <w:pPr>
        <w:spacing w:before="100" w:beforeAutospacing="1" w:after="100" w:afterAutospacing="1" w:line="480" w:lineRule="auto"/>
        <w:ind w:firstLine="720"/>
        <w:contextualSpacing/>
        <w:rPr>
          <w:rFonts w:cs="Times New Roman"/>
          <w:color w:val="000000"/>
          <w:lang w:eastAsia="en-US"/>
        </w:rPr>
      </w:pPr>
      <w:r w:rsidRPr="00FC01D9">
        <w:rPr>
          <w:rFonts w:cs="Times New Roman"/>
          <w:color w:val="000000"/>
          <w:lang w:eastAsia="en-US"/>
        </w:rPr>
        <w:t>Given that none of Marcion’s works</w:t>
      </w:r>
      <w:r w:rsidRPr="00FC01D9">
        <w:rPr>
          <w:rFonts w:cs="Times New Roman"/>
          <w:color w:val="000000"/>
          <w:vertAlign w:val="superscript"/>
          <w:lang w:eastAsia="en-US"/>
        </w:rPr>
        <w:footnoteReference w:id="36"/>
      </w:r>
      <w:r w:rsidRPr="00FC01D9">
        <w:rPr>
          <w:rFonts w:cs="Times New Roman"/>
          <w:color w:val="000000"/>
          <w:lang w:eastAsia="en-US"/>
        </w:rPr>
        <w:t xml:space="preserve"> have survived and we have only </w:t>
      </w:r>
      <w:r w:rsidRPr="00FC01D9">
        <w:rPr>
          <w:rFonts w:cs="Times New Roman"/>
          <w:i/>
          <w:color w:val="000000"/>
          <w:lang w:eastAsia="en-US"/>
        </w:rPr>
        <w:t>testimonia</w:t>
      </w:r>
      <w:r w:rsidRPr="00FC01D9">
        <w:rPr>
          <w:rFonts w:cs="Times New Roman"/>
          <w:color w:val="000000"/>
          <w:lang w:eastAsia="en-US"/>
        </w:rPr>
        <w:t xml:space="preserve"> from his opponents (and a single fragment</w:t>
      </w:r>
      <w:r w:rsidRPr="00FC01D9">
        <w:rPr>
          <w:rStyle w:val="FootnoteReference"/>
          <w:rFonts w:cs="Times New Roman"/>
          <w:color w:val="000000"/>
          <w:lang w:eastAsia="en-US"/>
        </w:rPr>
        <w:footnoteReference w:id="37"/>
      </w:r>
      <w:r w:rsidRPr="00FC01D9">
        <w:rPr>
          <w:rFonts w:cs="Times New Roman"/>
          <w:color w:val="000000"/>
          <w:lang w:eastAsia="en-US"/>
        </w:rPr>
        <w:t xml:space="preserve"> from the opening of the </w:t>
      </w:r>
      <w:r w:rsidRPr="00FC01D9">
        <w:rPr>
          <w:rFonts w:cs="Times New Roman"/>
          <w:i/>
          <w:color w:val="000000"/>
          <w:lang w:eastAsia="en-US"/>
        </w:rPr>
        <w:t>Antitheses</w:t>
      </w:r>
      <w:r w:rsidRPr="00FC01D9">
        <w:rPr>
          <w:rFonts w:cs="Times New Roman"/>
          <w:color w:val="000000"/>
          <w:lang w:eastAsia="en-US"/>
        </w:rPr>
        <w:t xml:space="preserve">), </w:t>
      </w:r>
      <w:r>
        <w:rPr>
          <w:rFonts w:cs="Times New Roman"/>
          <w:color w:val="000000"/>
          <w:lang w:eastAsia="en-US"/>
        </w:rPr>
        <w:t xml:space="preserve">we </w:t>
      </w:r>
      <w:r w:rsidRPr="00FC01D9">
        <w:rPr>
          <w:rFonts w:cs="Times New Roman"/>
          <w:color w:val="000000"/>
          <w:lang w:eastAsia="en-US"/>
        </w:rPr>
        <w:t>must move from data on which broad consensus exists to uncert</w:t>
      </w:r>
      <w:r>
        <w:rPr>
          <w:rFonts w:cs="Times New Roman"/>
          <w:color w:val="000000"/>
          <w:lang w:eastAsia="en-US"/>
        </w:rPr>
        <w:t>ain points of interpretation. These sound</w:t>
      </w:r>
      <w:r w:rsidRPr="00FC01D9">
        <w:rPr>
          <w:rFonts w:cs="Times New Roman"/>
          <w:color w:val="000000"/>
          <w:lang w:eastAsia="en-US"/>
        </w:rPr>
        <w:t xml:space="preserve"> points of departure are two: 1) the unmistakable thrust of Marcion’s works—in Harnack’s works—that the gospel “be free from all Judaism”;</w:t>
      </w:r>
      <w:r w:rsidRPr="009D5B91">
        <w:rPr>
          <w:rStyle w:val="FootnoteReference"/>
          <w:rFonts w:cs="Times New Roman"/>
          <w:color w:val="000000"/>
          <w:lang w:eastAsia="en-US"/>
        </w:rPr>
        <w:t xml:space="preserve"> </w:t>
      </w:r>
      <w:r>
        <w:rPr>
          <w:rStyle w:val="FootnoteReference"/>
          <w:rFonts w:cs="Times New Roman"/>
          <w:color w:val="000000"/>
          <w:lang w:eastAsia="en-US"/>
        </w:rPr>
        <w:footnoteReference w:id="38"/>
      </w:r>
      <w:r w:rsidRPr="00FC01D9">
        <w:rPr>
          <w:rFonts w:cs="Times New Roman"/>
          <w:color w:val="000000"/>
          <w:lang w:eastAsia="en-US"/>
        </w:rPr>
        <w:t xml:space="preserve"> and (2) the </w:t>
      </w:r>
      <w:r>
        <w:rPr>
          <w:rFonts w:cs="Times New Roman"/>
          <w:color w:val="000000"/>
          <w:lang w:eastAsia="en-US"/>
        </w:rPr>
        <w:t>date</w:t>
      </w:r>
      <w:r w:rsidRPr="00FC01D9">
        <w:rPr>
          <w:rFonts w:cs="Times New Roman"/>
          <w:color w:val="000000"/>
          <w:lang w:eastAsia="en-US"/>
        </w:rPr>
        <w:t xml:space="preserve"> of Marcion’s activity, the middle of the second century. While this dating has been challenged, I follow the majority line of scholarship in accepting from Tertullian (</w:t>
      </w:r>
      <w:r w:rsidRPr="00FC01D9">
        <w:rPr>
          <w:rFonts w:cs="Times New Roman"/>
          <w:i/>
          <w:color w:val="000000"/>
          <w:lang w:eastAsia="en-US"/>
        </w:rPr>
        <w:t>Adv. Marc.</w:t>
      </w:r>
      <w:r w:rsidRPr="00FC01D9">
        <w:rPr>
          <w:rFonts w:cs="Times New Roman"/>
          <w:color w:val="000000"/>
          <w:lang w:eastAsia="en-US"/>
        </w:rPr>
        <w:t xml:space="preserve"> I.19.2) that the year 144 was held to be of crucial important to the Marcionite church (probably as the date of their founder’s break with the Roman church)</w:t>
      </w:r>
      <w:r>
        <w:rPr>
          <w:rFonts w:cs="Times New Roman"/>
          <w:color w:val="000000"/>
          <w:lang w:eastAsia="en-US"/>
        </w:rPr>
        <w:t>.</w:t>
      </w:r>
      <w:r w:rsidRPr="00FC01D9">
        <w:rPr>
          <w:rStyle w:val="FootnoteReference"/>
          <w:rFonts w:cs="Times New Roman"/>
          <w:color w:val="000000"/>
          <w:lang w:eastAsia="en-US"/>
        </w:rPr>
        <w:footnoteReference w:id="39"/>
      </w:r>
      <w:r>
        <w:rPr>
          <w:rFonts w:cs="Times New Roman"/>
          <w:color w:val="000000"/>
          <w:lang w:eastAsia="en-US"/>
        </w:rPr>
        <w:t xml:space="preserve"> This date coheres</w:t>
      </w:r>
      <w:r w:rsidRPr="00FC01D9">
        <w:rPr>
          <w:rFonts w:cs="Times New Roman"/>
          <w:color w:val="000000"/>
          <w:lang w:eastAsia="en-US"/>
        </w:rPr>
        <w:t xml:space="preserve"> with the testimony of Justin (from shortly after 150) that Marcion “is even now still teaching ...” and that this teaching has persuaded people </w:t>
      </w:r>
      <w:r w:rsidRPr="00FC01D9">
        <w:rPr>
          <w:rFonts w:cs="Times New Roman"/>
          <w:color w:val="000000"/>
        </w:rPr>
        <w:t xml:space="preserve">κατὰ πᾶν γένος ἀνθρώπων, </w:t>
      </w:r>
      <w:r w:rsidRPr="00FC01D9">
        <w:rPr>
          <w:rFonts w:cs="Times New Roman"/>
          <w:color w:val="000000"/>
          <w:lang w:eastAsia="en-US"/>
        </w:rPr>
        <w:t>“across the whole human race” (</w:t>
      </w:r>
      <w:r w:rsidRPr="00FC01D9">
        <w:rPr>
          <w:rFonts w:cs="Times New Roman"/>
          <w:i/>
          <w:color w:val="000000"/>
          <w:lang w:eastAsia="en-US"/>
        </w:rPr>
        <w:t>1 Apol.</w:t>
      </w:r>
      <w:r w:rsidRPr="00FC01D9">
        <w:rPr>
          <w:rFonts w:cs="Times New Roman"/>
          <w:color w:val="000000"/>
          <w:lang w:eastAsia="en-US"/>
        </w:rPr>
        <w:t xml:space="preserve"> 26. 5).</w:t>
      </w:r>
      <w:r w:rsidRPr="00FC01D9">
        <w:rPr>
          <w:rStyle w:val="FootnoteReference"/>
          <w:rFonts w:cs="Times New Roman"/>
          <w:color w:val="000000"/>
          <w:lang w:eastAsia="en-US"/>
        </w:rPr>
        <w:footnoteReference w:id="40"/>
      </w:r>
      <w:r w:rsidRPr="00FC01D9">
        <w:rPr>
          <w:rFonts w:cs="Times New Roman"/>
          <w:color w:val="000000"/>
          <w:lang w:eastAsia="en-US"/>
        </w:rPr>
        <w:t xml:space="preserve"> While Harnack and others have argued</w:t>
      </w:r>
      <w:r>
        <w:rPr>
          <w:rFonts w:cs="Times New Roman"/>
          <w:color w:val="000000"/>
          <w:lang w:eastAsia="en-US"/>
        </w:rPr>
        <w:t xml:space="preserve"> on the basis of a number of ancient witnesses</w:t>
      </w:r>
      <w:r w:rsidRPr="00FC01D9">
        <w:rPr>
          <w:rFonts w:cs="Times New Roman"/>
          <w:color w:val="000000"/>
          <w:lang w:eastAsia="en-US"/>
        </w:rPr>
        <w:t xml:space="preserve"> that we must suppose teaching activity by Marcion in Asia Minor prior to his arrival in Rome,</w:t>
      </w:r>
      <w:r w:rsidRPr="00FC01D9">
        <w:rPr>
          <w:rStyle w:val="FootnoteReference"/>
          <w:rFonts w:cs="Times New Roman"/>
          <w:color w:val="000000"/>
          <w:lang w:eastAsia="en-US"/>
        </w:rPr>
        <w:footnoteReference w:id="41"/>
      </w:r>
      <w:r>
        <w:rPr>
          <w:rFonts w:cs="Times New Roman"/>
          <w:color w:val="000000"/>
          <w:lang w:eastAsia="en-US"/>
        </w:rPr>
        <w:t xml:space="preserve"> more recent scholarship has argued that this evidence can hardly be taken as historically reliable and is better explained as having been generated by the anti-heretical discourse that emerged due to the threat Marcionitism presented to the proto-orthodox church.</w:t>
      </w:r>
      <w:r>
        <w:rPr>
          <w:rStyle w:val="FootnoteReference"/>
          <w:rFonts w:cs="Times New Roman"/>
          <w:color w:val="000000"/>
          <w:lang w:eastAsia="en-US"/>
        </w:rPr>
        <w:footnoteReference w:id="42"/>
      </w:r>
      <w:r>
        <w:rPr>
          <w:rFonts w:cs="Times New Roman"/>
          <w:color w:val="000000"/>
          <w:lang w:eastAsia="en-US"/>
        </w:rPr>
        <w:t xml:space="preserve">  The lines of argument in this paper, however, do not require a conclusive verdict on this matter.</w:t>
      </w:r>
    </w:p>
    <w:p w14:paraId="0307F899" w14:textId="2BFB6D32" w:rsidR="004E16DA" w:rsidRPr="00FC01D9" w:rsidRDefault="00070C58" w:rsidP="004E16DA">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What could have motivated Marcion in</w:t>
      </w:r>
      <w:r w:rsidR="004E16DA" w:rsidRPr="00FC01D9">
        <w:rPr>
          <w:rFonts w:cs="Times New Roman"/>
          <w:color w:val="000000"/>
          <w:lang w:eastAsia="en-US"/>
        </w:rPr>
        <w:t xml:space="preserve"> his truly radical severance of the religion of Christ from all things Jewish?  And what could have led to the rapid growth of this movement and the serious threat it posed to the proto-orthodox church?</w:t>
      </w:r>
      <w:r w:rsidR="004E16DA" w:rsidRPr="00FC01D9">
        <w:rPr>
          <w:rStyle w:val="FootnoteReference"/>
          <w:rFonts w:cs="Times New Roman"/>
        </w:rPr>
        <w:footnoteReference w:id="43"/>
      </w:r>
      <w:r w:rsidR="004E16DA" w:rsidRPr="00FC01D9">
        <w:rPr>
          <w:rFonts w:cs="Times New Roman"/>
        </w:rPr>
        <w:t xml:space="preserve"> </w:t>
      </w:r>
      <w:r w:rsidR="004E16DA" w:rsidRPr="00FC01D9">
        <w:rPr>
          <w:rFonts w:cs="Times New Roman"/>
          <w:color w:val="000000"/>
          <w:lang w:eastAsia="en-US"/>
        </w:rPr>
        <w:t xml:space="preserve">This latter element is attested not only by Marcion’s contemporary Justin, </w:t>
      </w:r>
      <w:r w:rsidR="004E16DA">
        <w:rPr>
          <w:rFonts w:cs="Times New Roman"/>
          <w:color w:val="000000"/>
          <w:lang w:eastAsia="en-US"/>
        </w:rPr>
        <w:t>but also by a lengthy chain of later opponents</w:t>
      </w:r>
      <w:r w:rsidR="004E16DA" w:rsidRPr="00FC01D9">
        <w:rPr>
          <w:rFonts w:cs="Times New Roman"/>
          <w:color w:val="000000"/>
          <w:lang w:eastAsia="en-US"/>
        </w:rPr>
        <w:t>.</w:t>
      </w:r>
      <w:r w:rsidR="004E16DA" w:rsidRPr="00FC01D9">
        <w:rPr>
          <w:rFonts w:cs="Times New Roman"/>
          <w:color w:val="000000"/>
          <w:vertAlign w:val="superscript"/>
          <w:lang w:eastAsia="en-US"/>
        </w:rPr>
        <w:footnoteReference w:id="44"/>
      </w:r>
      <w:r w:rsidR="004E16DA" w:rsidRPr="00FC01D9">
        <w:rPr>
          <w:rFonts w:cs="Times New Roman"/>
          <w:color w:val="000000"/>
          <w:lang w:eastAsia="en-US"/>
        </w:rPr>
        <w:t xml:space="preserve"> Tertullian framed the success of the Marcionite church in a witty if bitter epigram—“Wasps make hives, Marcionites churches” (</w:t>
      </w:r>
      <w:r w:rsidR="004E16DA" w:rsidRPr="00FC01D9">
        <w:rPr>
          <w:rFonts w:cs="Times New Roman"/>
          <w:i/>
          <w:color w:val="000000"/>
          <w:lang w:eastAsia="en-US"/>
        </w:rPr>
        <w:t xml:space="preserve">Marc. </w:t>
      </w:r>
      <w:r w:rsidR="004E16DA" w:rsidRPr="00FC01D9">
        <w:rPr>
          <w:rFonts w:cs="Times New Roman"/>
          <w:color w:val="000000"/>
          <w:lang w:eastAsia="en-US"/>
        </w:rPr>
        <w:t>4.5.3)</w:t>
      </w:r>
      <w:r w:rsidR="004E16DA" w:rsidRPr="00FC01D9">
        <w:rPr>
          <w:rStyle w:val="FootnoteReference"/>
          <w:rFonts w:cs="Times New Roman"/>
          <w:color w:val="000000"/>
          <w:lang w:eastAsia="en-US"/>
        </w:rPr>
        <w:footnoteReference w:id="45"/>
      </w:r>
      <w:r w:rsidR="004E16DA" w:rsidRPr="00FC01D9">
        <w:rPr>
          <w:rFonts w:cs="Times New Roman"/>
          <w:color w:val="000000"/>
          <w:lang w:eastAsia="en-US"/>
        </w:rPr>
        <w:t>—and in the next book all but grants Marcion’s gospel tradition had spread throughout “the whole world” (</w:t>
      </w:r>
      <w:r w:rsidR="004E16DA" w:rsidRPr="00FC01D9">
        <w:rPr>
          <w:rFonts w:cs="Times New Roman"/>
          <w:i/>
          <w:color w:val="000000"/>
          <w:lang w:eastAsia="en-US"/>
        </w:rPr>
        <w:t xml:space="preserve">Marc. </w:t>
      </w:r>
      <w:r w:rsidR="004E16DA" w:rsidRPr="00FC01D9">
        <w:rPr>
          <w:rFonts w:cs="Times New Roman"/>
          <w:color w:val="000000"/>
          <w:lang w:eastAsia="en-US"/>
        </w:rPr>
        <w:t>5.19.2). On the face of it, we are compelled</w:t>
      </w:r>
      <w:r>
        <w:rPr>
          <w:rFonts w:cs="Times New Roman"/>
          <w:color w:val="000000"/>
          <w:lang w:eastAsia="en-US"/>
        </w:rPr>
        <w:t xml:space="preserve"> to assume</w:t>
      </w:r>
      <w:r w:rsidR="004E16DA" w:rsidRPr="00FC01D9">
        <w:rPr>
          <w:rFonts w:cs="Times New Roman"/>
          <w:color w:val="000000"/>
          <w:lang w:eastAsia="en-US"/>
        </w:rPr>
        <w:t xml:space="preserve"> that Marcion’s </w:t>
      </w:r>
      <w:r w:rsidR="004E16DA" w:rsidRPr="00FC01D9">
        <w:rPr>
          <w:rFonts w:cs="Times New Roman"/>
          <w:i/>
          <w:color w:val="000000"/>
          <w:lang w:eastAsia="en-US"/>
        </w:rPr>
        <w:t>Judenfrei</w:t>
      </w:r>
      <w:r w:rsidR="004E16DA" w:rsidRPr="00FC01D9">
        <w:rPr>
          <w:rFonts w:cs="Times New Roman"/>
          <w:color w:val="000000"/>
          <w:lang w:eastAsia="en-US"/>
        </w:rPr>
        <w:t xml:space="preserve"> gospel must have been highly appealing to a substantial number of people who </w:t>
      </w:r>
      <w:r w:rsidR="004E16DA" w:rsidRPr="00FC01D9">
        <w:rPr>
          <w:rFonts w:cs="Times New Roman"/>
          <w:i/>
          <w:color w:val="000000"/>
          <w:lang w:eastAsia="en-US"/>
        </w:rPr>
        <w:t>already were Christian</w:t>
      </w:r>
      <w:r w:rsidR="004E16DA" w:rsidRPr="00FC01D9">
        <w:rPr>
          <w:rFonts w:cs="Times New Roman"/>
          <w:color w:val="000000"/>
          <w:lang w:eastAsia="en-US"/>
        </w:rPr>
        <w:t>—that is, if we take seriously Tertullian’s assertion that teachers like Marcion made converts of those already in churches.</w:t>
      </w:r>
      <w:r w:rsidR="004E16DA" w:rsidRPr="00FC01D9">
        <w:rPr>
          <w:rFonts w:cs="Times New Roman"/>
          <w:color w:val="000000"/>
          <w:vertAlign w:val="superscript"/>
          <w:lang w:eastAsia="en-US"/>
        </w:rPr>
        <w:footnoteReference w:id="46"/>
      </w:r>
    </w:p>
    <w:p w14:paraId="0E761D2D" w14:textId="67A7B4E7" w:rsidR="00070C58" w:rsidRDefault="004E16DA" w:rsidP="00070C58">
      <w:pPr>
        <w:spacing w:before="100" w:beforeAutospacing="1" w:after="100" w:afterAutospacing="1" w:line="480" w:lineRule="auto"/>
        <w:ind w:firstLine="720"/>
        <w:contextualSpacing/>
        <w:rPr>
          <w:rFonts w:cs="Times New Roman"/>
          <w:color w:val="000000"/>
          <w:lang w:eastAsia="en-US"/>
        </w:rPr>
      </w:pPr>
      <w:r w:rsidRPr="00FC01D9">
        <w:rPr>
          <w:rFonts w:cs="Times New Roman"/>
          <w:color w:val="000000"/>
          <w:lang w:eastAsia="en-US"/>
        </w:rPr>
        <w:t xml:space="preserve"> </w:t>
      </w:r>
      <w:r>
        <w:rPr>
          <w:rFonts w:cs="Times New Roman"/>
          <w:color w:val="000000"/>
          <w:lang w:eastAsia="en-US"/>
        </w:rPr>
        <w:t>What recommended Marc</w:t>
      </w:r>
      <w:r w:rsidR="00070C58">
        <w:rPr>
          <w:rFonts w:cs="Times New Roman"/>
          <w:color w:val="000000"/>
          <w:lang w:eastAsia="en-US"/>
        </w:rPr>
        <w:t xml:space="preserve">ion’s gospel and church to so </w:t>
      </w:r>
      <w:r>
        <w:rPr>
          <w:rFonts w:cs="Times New Roman"/>
          <w:color w:val="000000"/>
          <w:lang w:eastAsia="en-US"/>
        </w:rPr>
        <w:t>many people who were</w:t>
      </w:r>
      <w:r w:rsidR="00070C58">
        <w:rPr>
          <w:rFonts w:cs="Times New Roman"/>
          <w:color w:val="000000"/>
          <w:lang w:eastAsia="en-US"/>
        </w:rPr>
        <w:t xml:space="preserve"> generally</w:t>
      </w:r>
      <w:r>
        <w:rPr>
          <w:rFonts w:cs="Times New Roman"/>
          <w:color w:val="000000"/>
          <w:lang w:eastAsia="en-US"/>
        </w:rPr>
        <w:t xml:space="preserve"> attracted to the name of Ch</w:t>
      </w:r>
      <w:r w:rsidR="00413E56">
        <w:rPr>
          <w:rFonts w:cs="Times New Roman"/>
          <w:color w:val="000000"/>
          <w:lang w:eastAsia="en-US"/>
        </w:rPr>
        <w:t xml:space="preserve">rist can be nothing other than </w:t>
      </w:r>
      <w:r>
        <w:rPr>
          <w:rFonts w:cs="Times New Roman"/>
          <w:color w:val="000000"/>
          <w:lang w:eastAsia="en-US"/>
        </w:rPr>
        <w:t>his church’s clean break with Judaism. ‘Not only are we not Jews,’ a Marcionite missionary might say, ‘but we have no truck with those people, their god, and their ways.’ That proto-orthodox Christians might be tempted to decamp to the Marcionite church requires nothing more than that they felt distaste for whatever remnants and reminders of Judaism—the scriptures, the identification with the Israelite tradition, the contestation (if only mental) with Jews over this inheritance—were present in the catholic church. No surviving evidence suggests Marcion thought the church was part of Judaism, rather his protest was directed to the church’s claim to continuity with the Israel</w:t>
      </w:r>
      <w:r w:rsidR="00413E56">
        <w:rPr>
          <w:rFonts w:cs="Times New Roman"/>
          <w:color w:val="000000"/>
          <w:lang w:eastAsia="en-US"/>
        </w:rPr>
        <w:t>ite</w:t>
      </w:r>
      <w:r>
        <w:rPr>
          <w:rFonts w:cs="Times New Roman"/>
          <w:color w:val="000000"/>
          <w:lang w:eastAsia="en-US"/>
        </w:rPr>
        <w:t xml:space="preserve"> tradition (not to contemporary Judaism). </w:t>
      </w:r>
    </w:p>
    <w:p w14:paraId="2ACB9E80" w14:textId="085FD399" w:rsidR="004E16DA" w:rsidRPr="003C3D2B" w:rsidRDefault="004E16DA" w:rsidP="003C3D2B">
      <w:pPr>
        <w:spacing w:before="100" w:beforeAutospacing="1" w:after="100" w:afterAutospacing="1" w:line="480" w:lineRule="auto"/>
        <w:ind w:firstLine="720"/>
        <w:contextualSpacing/>
        <w:rPr>
          <w:rFonts w:cs="Times New Roman"/>
          <w:color w:val="000000"/>
          <w:lang w:eastAsia="en-US"/>
        </w:rPr>
      </w:pPr>
      <w:r>
        <w:rPr>
          <w:rFonts w:cs="Times New Roman"/>
          <w:color w:val="000000"/>
          <w:lang w:eastAsia="en-US"/>
        </w:rPr>
        <w:t xml:space="preserve">This is the sense in which I maintain </w:t>
      </w:r>
      <w:r w:rsidRPr="00FC01D9">
        <w:rPr>
          <w:rFonts w:cs="Times New Roman"/>
          <w:color w:val="000000"/>
          <w:lang w:eastAsia="en-US"/>
        </w:rPr>
        <w:t xml:space="preserve">that the </w:t>
      </w:r>
      <w:r>
        <w:rPr>
          <w:rFonts w:cs="Times New Roman"/>
          <w:color w:val="000000"/>
          <w:lang w:eastAsia="en-US"/>
        </w:rPr>
        <w:t xml:space="preserve">best ground </w:t>
      </w:r>
      <w:r w:rsidRPr="00FC01D9">
        <w:rPr>
          <w:rFonts w:cs="Times New Roman"/>
          <w:color w:val="000000"/>
          <w:lang w:eastAsia="en-US"/>
        </w:rPr>
        <w:t>for understanding Marcion is sociological</w:t>
      </w:r>
      <w:r>
        <w:rPr>
          <w:rFonts w:cs="Times New Roman"/>
          <w:color w:val="000000"/>
          <w:lang w:eastAsia="en-US"/>
        </w:rPr>
        <w:t xml:space="preserve">, namely, </w:t>
      </w:r>
      <w:r w:rsidRPr="00FC01D9">
        <w:rPr>
          <w:rFonts w:cs="Times New Roman"/>
          <w:color w:val="000000"/>
          <w:lang w:eastAsia="en-US"/>
        </w:rPr>
        <w:t>the clear separation of Christianity in most of its manifestations from Judaism.</w:t>
      </w:r>
      <w:r>
        <w:rPr>
          <w:rFonts w:cs="Times New Roman"/>
          <w:color w:val="000000"/>
          <w:lang w:eastAsia="en-US"/>
        </w:rPr>
        <w:t xml:space="preserve"> Elsewhere I have argued at length that the argumentative strategy of Tertullian in </w:t>
      </w:r>
      <w:r>
        <w:rPr>
          <w:rFonts w:cs="Times New Roman"/>
          <w:i/>
          <w:color w:val="000000"/>
          <w:lang w:eastAsia="en-US"/>
        </w:rPr>
        <w:t>Against Marcion</w:t>
      </w:r>
      <w:r>
        <w:rPr>
          <w:rFonts w:cs="Times New Roman"/>
          <w:color w:val="000000"/>
          <w:lang w:eastAsia="en-US"/>
        </w:rPr>
        <w:t xml:space="preserve"> presupposed such a separation; and that the issue was rather the </w:t>
      </w:r>
      <w:r>
        <w:rPr>
          <w:rFonts w:cs="Times New Roman"/>
          <w:i/>
          <w:color w:val="000000"/>
          <w:lang w:eastAsia="en-US"/>
        </w:rPr>
        <w:t>nature of the relation</w:t>
      </w:r>
      <w:r>
        <w:rPr>
          <w:rFonts w:cs="Times New Roman"/>
          <w:color w:val="000000"/>
          <w:lang w:eastAsia="en-US"/>
        </w:rPr>
        <w:t>—partially continuous or totally disjunctive?—between two sociologically distinct entities, the church and Judaism.</w:t>
      </w:r>
      <w:r>
        <w:rPr>
          <w:rStyle w:val="FootnoteReference"/>
          <w:rFonts w:cs="Times New Roman"/>
          <w:color w:val="000000"/>
          <w:lang w:eastAsia="en-US"/>
        </w:rPr>
        <w:footnoteReference w:id="47"/>
      </w:r>
      <w:r w:rsidRPr="00FC01D9">
        <w:rPr>
          <w:rFonts w:cs="Times New Roman"/>
          <w:color w:val="000000"/>
          <w:lang w:eastAsia="en-US"/>
        </w:rPr>
        <w:t xml:space="preserve"> </w:t>
      </w:r>
      <w:r>
        <w:rPr>
          <w:rFonts w:cs="Times New Roman"/>
          <w:color w:val="000000"/>
          <w:lang w:eastAsia="en-US"/>
        </w:rPr>
        <w:t>A</w:t>
      </w:r>
      <w:r w:rsidRPr="00FC01D9">
        <w:rPr>
          <w:rFonts w:cs="Times New Roman"/>
          <w:color w:val="000000"/>
          <w:lang w:eastAsia="en-US"/>
        </w:rPr>
        <w:t xml:space="preserve">n </w:t>
      </w:r>
      <w:r w:rsidRPr="00FC01D9">
        <w:rPr>
          <w:rFonts w:cs="Times New Roman"/>
          <w:i/>
          <w:color w:val="000000"/>
          <w:lang w:eastAsia="en-US"/>
        </w:rPr>
        <w:t>assumed distinction</w:t>
      </w:r>
      <w:r w:rsidRPr="00FC01D9">
        <w:rPr>
          <w:rFonts w:cs="Times New Roman"/>
          <w:color w:val="000000"/>
          <w:lang w:eastAsia="en-US"/>
        </w:rPr>
        <w:t xml:space="preserve"> between Christianity and Judaism among the vast majority of parties </w:t>
      </w:r>
      <w:r>
        <w:rPr>
          <w:rFonts w:cs="Times New Roman"/>
          <w:color w:val="000000"/>
          <w:lang w:eastAsia="en-US"/>
        </w:rPr>
        <w:t xml:space="preserve">claiming the name Christian </w:t>
      </w:r>
      <w:r w:rsidRPr="00FC01D9">
        <w:rPr>
          <w:rFonts w:cs="Times New Roman"/>
          <w:color w:val="000000"/>
          <w:lang w:eastAsia="en-US"/>
        </w:rPr>
        <w:t>is the only context in which the success of Marcion’s church is comprehensible.</w:t>
      </w:r>
      <w:r w:rsidR="00413E56">
        <w:rPr>
          <w:rFonts w:cs="Times New Roman"/>
          <w:color w:val="000000"/>
          <w:lang w:eastAsia="en-US"/>
        </w:rPr>
        <w:t xml:space="preserve"> Only if these two religion we</w:t>
      </w:r>
      <w:r>
        <w:rPr>
          <w:rFonts w:cs="Times New Roman"/>
          <w:color w:val="000000"/>
          <w:lang w:eastAsia="en-US"/>
        </w:rPr>
        <w:t>re perceived as distinct would you insist on an absolute disjunction between everything about the two. This is the implication of Tertullian</w:t>
      </w:r>
      <w:r w:rsidR="00257BD9">
        <w:rPr>
          <w:rFonts w:cs="Times New Roman"/>
          <w:color w:val="000000"/>
          <w:lang w:eastAsia="en-US"/>
        </w:rPr>
        <w:t>’s</w:t>
      </w:r>
      <w:r>
        <w:rPr>
          <w:rFonts w:cs="Times New Roman"/>
          <w:color w:val="000000"/>
          <w:lang w:eastAsia="en-US"/>
        </w:rPr>
        <w:t xml:space="preserve"> statement </w:t>
      </w:r>
      <w:r w:rsidRPr="00FC01D9">
        <w:rPr>
          <w:rFonts w:cs="Times New Roman"/>
          <w:color w:val="000000"/>
          <w:lang w:eastAsia="en-US"/>
        </w:rPr>
        <w:t xml:space="preserve">in </w:t>
      </w:r>
      <w:r w:rsidRPr="00D76349">
        <w:rPr>
          <w:rFonts w:cs="Times New Roman"/>
          <w:i/>
          <w:color w:val="000000"/>
          <w:lang w:eastAsia="en-US"/>
        </w:rPr>
        <w:t>Adversus Marcionem</w:t>
      </w:r>
      <w:r>
        <w:rPr>
          <w:rFonts w:cs="Times New Roman"/>
          <w:color w:val="000000"/>
          <w:lang w:eastAsia="en-US"/>
        </w:rPr>
        <w:t xml:space="preserve"> 1.19.4</w:t>
      </w:r>
      <w:r w:rsidRPr="00FC01D9">
        <w:rPr>
          <w:rFonts w:cs="Times New Roman"/>
          <w:color w:val="000000"/>
          <w:lang w:eastAsia="en-US"/>
        </w:rPr>
        <w:t xml:space="preserve"> that Marcion’s “</w:t>
      </w:r>
      <w:r w:rsidRPr="00D76349">
        <w:rPr>
          <w:rFonts w:cs="Times New Roman"/>
          <w:i/>
          <w:color w:val="000000"/>
          <w:lang w:eastAsia="en-US"/>
        </w:rPr>
        <w:t>proprium et principale opus</w:t>
      </w:r>
      <w:r w:rsidRPr="00FC01D9">
        <w:rPr>
          <w:rFonts w:cs="Times New Roman"/>
          <w:color w:val="000000"/>
          <w:lang w:eastAsia="en-US"/>
        </w:rPr>
        <w:t>” was the “separation of Law and Gospel</w:t>
      </w:r>
      <w:r>
        <w:rPr>
          <w:rFonts w:cs="Times New Roman"/>
          <w:color w:val="000000"/>
          <w:lang w:eastAsia="en-US"/>
        </w:rPr>
        <w:t>.</w:t>
      </w:r>
      <w:r w:rsidRPr="00FC01D9">
        <w:rPr>
          <w:rFonts w:cs="Times New Roman"/>
          <w:color w:val="000000"/>
          <w:lang w:eastAsia="en-US"/>
        </w:rPr>
        <w:t>”</w:t>
      </w:r>
    </w:p>
    <w:sectPr w:rsidR="004E16DA" w:rsidRPr="003C3D2B" w:rsidSect="000E4823">
      <w:headerReference w:type="even" r:id="rId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865B8" w14:textId="77777777" w:rsidR="00B1348C" w:rsidRDefault="00B1348C" w:rsidP="00E00FC1">
      <w:r>
        <w:separator/>
      </w:r>
    </w:p>
  </w:endnote>
  <w:endnote w:type="continuationSeparator" w:id="0">
    <w:p w14:paraId="59E3DEC8" w14:textId="77777777" w:rsidR="00B1348C" w:rsidRDefault="00B1348C" w:rsidP="00E0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halkboard">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1A88E" w14:textId="77777777" w:rsidR="00B1348C" w:rsidRDefault="00B1348C" w:rsidP="00E00FC1">
      <w:r>
        <w:separator/>
      </w:r>
    </w:p>
  </w:footnote>
  <w:footnote w:type="continuationSeparator" w:id="0">
    <w:p w14:paraId="5B1E72A3" w14:textId="77777777" w:rsidR="00B1348C" w:rsidRDefault="00B1348C" w:rsidP="00E00FC1">
      <w:r>
        <w:continuationSeparator/>
      </w:r>
    </w:p>
  </w:footnote>
  <w:footnote w:id="1">
    <w:p w14:paraId="2AA31CD4" w14:textId="77777777" w:rsidR="00B1348C" w:rsidRPr="00125C88" w:rsidRDefault="00B1348C" w:rsidP="00C107D0">
      <w:pPr>
        <w:pStyle w:val="FootnoteText"/>
      </w:pPr>
      <w:r>
        <w:rPr>
          <w:rStyle w:val="FootnoteReference"/>
        </w:rPr>
        <w:footnoteRef/>
      </w:r>
      <w:r>
        <w:t xml:space="preserve"> For the </w:t>
      </w:r>
      <w:r w:rsidRPr="006321A5">
        <w:rPr>
          <w:i/>
        </w:rPr>
        <w:t>status questionis</w:t>
      </w:r>
      <w:r>
        <w:t xml:space="preserve"> of Marcion post-Harnack, we have the comprehensive bibliographic essay by Michel Tardieu, “Marcion depuis Harnark” in Barnard Lauret’s French translation of Harnark, </w:t>
      </w:r>
      <w:r>
        <w:rPr>
          <w:i/>
        </w:rPr>
        <w:t>Marcion: L’évangile du Dieu étranger</w:t>
      </w:r>
      <w:r>
        <w:t xml:space="preserve"> (Paris: Cerf, 2005), 419–561. See also the excellent contributions of Gerhard May on this topic, “Marcion ohne Harnack,” in Gerhard May and Katharina Greschat (eds.), </w:t>
      </w:r>
      <w:r w:rsidRPr="00D00B78">
        <w:rPr>
          <w:i/>
        </w:rPr>
        <w:t>Marcion und seine kirchengeschichtliche</w:t>
      </w:r>
      <w:r>
        <w:rPr>
          <w:i/>
        </w:rPr>
        <w:t xml:space="preserve"> Wirkung</w:t>
      </w:r>
      <w:r>
        <w:t xml:space="preserve"> (Berlin: de Gruyter, 2002), 1–7. May had previously published a study on the question in English, “Marcion in Contemporary Views: Results and Open Questions, </w:t>
      </w:r>
      <w:r>
        <w:rPr>
          <w:i/>
        </w:rPr>
        <w:t>Second Century</w:t>
      </w:r>
      <w:r>
        <w:t xml:space="preserve"> 6 (1987–88), 129–51. May’s various papers on Marcion have been reprinted in his </w:t>
      </w:r>
      <w:r>
        <w:rPr>
          <w:i/>
        </w:rPr>
        <w:t>Markion: Gesammelte Aufsätze</w:t>
      </w:r>
      <w:r>
        <w:t xml:space="preserve"> (eds. Katharine Greschat and Martin Meiser; Mainz: Philipp von Zabern, 2005).</w:t>
      </w:r>
    </w:p>
  </w:footnote>
  <w:footnote w:id="2">
    <w:p w14:paraId="46EA0B4A" w14:textId="77777777" w:rsidR="00B1348C" w:rsidRPr="005C7667" w:rsidRDefault="00B1348C" w:rsidP="005F0EAE">
      <w:pPr>
        <w:pStyle w:val="FootnoteText"/>
        <w:rPr>
          <w:i/>
        </w:rPr>
      </w:pPr>
      <w:r>
        <w:rPr>
          <w:rStyle w:val="FootnoteReference"/>
        </w:rPr>
        <w:footnoteRef/>
      </w:r>
      <w:r>
        <w:t xml:space="preserve"> Ferdinand Christian Baur, </w:t>
      </w:r>
      <w:r w:rsidRPr="005C7667">
        <w:rPr>
          <w:i/>
        </w:rPr>
        <w:t>Das Christenthum</w:t>
      </w:r>
      <w:r>
        <w:rPr>
          <w:i/>
        </w:rPr>
        <w:t xml:space="preserve"> </w:t>
      </w:r>
      <w:r w:rsidRPr="00F67DBC">
        <w:rPr>
          <w:i/>
        </w:rPr>
        <w:t>und die christliche Kirche der drei ersten Jahrhunderte</w:t>
      </w:r>
      <w:r w:rsidRPr="005C7667">
        <w:t xml:space="preserve"> (</w:t>
      </w:r>
      <w:r>
        <w:t>Tübingen: Fues,</w:t>
      </w:r>
      <w:r w:rsidRPr="005C7667">
        <w:t>1853)</w:t>
      </w:r>
      <w:r>
        <w:t>, 74.</w:t>
      </w:r>
    </w:p>
  </w:footnote>
  <w:footnote w:id="3">
    <w:p w14:paraId="3F8A1C65" w14:textId="77777777" w:rsidR="00B1348C" w:rsidRDefault="00B1348C" w:rsidP="00A32B99">
      <w:pPr>
        <w:pStyle w:val="FootnoteText"/>
      </w:pPr>
      <w:r>
        <w:rPr>
          <w:rStyle w:val="FootnoteReference"/>
        </w:rPr>
        <w:footnoteRef/>
      </w:r>
      <w:r>
        <w:t xml:space="preserve"> Harnack, </w:t>
      </w:r>
      <w:r>
        <w:rPr>
          <w:i/>
        </w:rPr>
        <w:t>Marcion: The Gospel</w:t>
      </w:r>
      <w:r>
        <w:t xml:space="preserve">, 15; </w:t>
      </w:r>
      <w:r>
        <w:rPr>
          <w:i/>
        </w:rPr>
        <w:t>Marcion: Das Evangelium</w:t>
      </w:r>
      <w:r>
        <w:t>, 21–22.</w:t>
      </w:r>
    </w:p>
  </w:footnote>
  <w:footnote w:id="4">
    <w:p w14:paraId="3DEAB6DF" w14:textId="77777777" w:rsidR="00B1348C" w:rsidRDefault="00B1348C" w:rsidP="00C107D0">
      <w:pPr>
        <w:pStyle w:val="FootnoteText"/>
      </w:pPr>
      <w:r>
        <w:rPr>
          <w:rStyle w:val="FootnoteReference"/>
        </w:rPr>
        <w:footnoteRef/>
      </w:r>
      <w:r>
        <w:t xml:space="preserve"> Adolph von Harnark, </w:t>
      </w:r>
      <w:r>
        <w:rPr>
          <w:i/>
        </w:rPr>
        <w:t>Marcion: Das Evangelium vom fremden Gott</w:t>
      </w:r>
      <w:r>
        <w:t xml:space="preserve"> (Leipzig: J. C. Hinrichs, 1921; 1</w:t>
      </w:r>
      <w:r w:rsidRPr="00593845">
        <w:rPr>
          <w:vertAlign w:val="superscript"/>
        </w:rPr>
        <w:t>st</w:t>
      </w:r>
      <w:r>
        <w:t xml:space="preserve"> edition). Here I cite the 2</w:t>
      </w:r>
      <w:r w:rsidRPr="00593845">
        <w:rPr>
          <w:vertAlign w:val="superscript"/>
        </w:rPr>
        <w:t>nd</w:t>
      </w:r>
      <w:r>
        <w:t xml:space="preserve"> edition of 1924, reprinted in 1960 by Wissenschaftliche Buchgesellschaft, Darmstadt: </w:t>
      </w:r>
      <w:r w:rsidRPr="00A32B99">
        <w:rPr>
          <w:i/>
        </w:rPr>
        <w:t>Marcion:</w:t>
      </w:r>
      <w:r w:rsidRPr="00593845">
        <w:t xml:space="preserve"> </w:t>
      </w:r>
      <w:r w:rsidRPr="00FA4663">
        <w:rPr>
          <w:i/>
        </w:rPr>
        <w:t>Das Evangelium vom Fremden Gott / Neue Studien zu Marcion</w:t>
      </w:r>
      <w:r>
        <w:t xml:space="preserve">. The second half of this work consists of appendices with page numbers beginning again and marked with an asterisk; there follow </w:t>
      </w:r>
      <w:r w:rsidRPr="00FA4663">
        <w:rPr>
          <w:i/>
        </w:rPr>
        <w:t>Neue Studien zu Marcion</w:t>
      </w:r>
      <w:r>
        <w:t xml:space="preserve">, originally published in 1923 as </w:t>
      </w:r>
      <w:r>
        <w:rPr>
          <w:i/>
        </w:rPr>
        <w:t>Texte und Untersuchungen</w:t>
      </w:r>
      <w:r>
        <w:t>, 44/4 (a 28-page engagement with reviews of the first edition). The first part of Harnack’s work (in the slightly revised 2</w:t>
      </w:r>
      <w:r w:rsidRPr="00FA4663">
        <w:rPr>
          <w:vertAlign w:val="superscript"/>
        </w:rPr>
        <w:t>nd</w:t>
      </w:r>
      <w:r>
        <w:t xml:space="preserve"> edition) has been translated in English by J. E. Steely and L. D. Bierma in 1990 (published by Labyrinth Press) as </w:t>
      </w:r>
      <w:r>
        <w:rPr>
          <w:i/>
        </w:rPr>
        <w:t>Marcion: The Gospel of the Alien God</w:t>
      </w:r>
      <w:r>
        <w:t>. This translation has been reprinted by Wipf &amp; Stock (2007).</w:t>
      </w:r>
    </w:p>
  </w:footnote>
  <w:footnote w:id="5">
    <w:p w14:paraId="70766D0A" w14:textId="77777777" w:rsidR="00B1348C" w:rsidRDefault="00B1348C" w:rsidP="00C107D0">
      <w:pPr>
        <w:pStyle w:val="FootnoteText"/>
      </w:pPr>
      <w:r>
        <w:rPr>
          <w:rStyle w:val="FootnoteReference"/>
        </w:rPr>
        <w:footnoteRef/>
      </w:r>
      <w:r>
        <w:t xml:space="preserve"> This appellation is repeated used by Tertullian (</w:t>
      </w:r>
      <w:r>
        <w:rPr>
          <w:i/>
        </w:rPr>
        <w:t>Praescr</w:t>
      </w:r>
      <w:r>
        <w:t xml:space="preserve">. 30.1; </w:t>
      </w:r>
      <w:r>
        <w:rPr>
          <w:i/>
        </w:rPr>
        <w:t>Marc.</w:t>
      </w:r>
      <w:r>
        <w:t xml:space="preserve"> 1.18.4; 3.6.3; 4.9.2; 5.1.2). A </w:t>
      </w:r>
      <w:r>
        <w:rPr>
          <w:i/>
        </w:rPr>
        <w:t>nauclerus</w:t>
      </w:r>
      <w:r>
        <w:t xml:space="preserve"> “can be an owner or a joint owner of a ship, or he may only be someone commissioned by the owner” (Gerhard May, </w:t>
      </w:r>
      <w:r w:rsidRPr="00125C88">
        <w:t>Marcion in Contemporary Views:</w:t>
      </w:r>
      <w:r>
        <w:t xml:space="preserve"> Results and Open Questions, </w:t>
      </w:r>
      <w:r>
        <w:rPr>
          <w:i/>
        </w:rPr>
        <w:t>Second Century</w:t>
      </w:r>
      <w:r>
        <w:t xml:space="preserve"> 6 (1987–88), 129–51; here, 130). See May’s full discussion in “Der ‘Schiffsreeder’ Markion”, </w:t>
      </w:r>
      <w:r>
        <w:rPr>
          <w:i/>
        </w:rPr>
        <w:t>StPatr</w:t>
      </w:r>
      <w:r>
        <w:t xml:space="preserve"> (1989), 142–54 (repr. in May, </w:t>
      </w:r>
      <w:r>
        <w:rPr>
          <w:i/>
        </w:rPr>
        <w:t>Markion</w:t>
      </w:r>
      <w:r>
        <w:t>).</w:t>
      </w:r>
    </w:p>
  </w:footnote>
  <w:footnote w:id="6">
    <w:p w14:paraId="0A420548" w14:textId="30EF7469" w:rsidR="00B1348C" w:rsidRPr="00CE3C1D" w:rsidRDefault="00B1348C" w:rsidP="00C107D0">
      <w:pPr>
        <w:pStyle w:val="FootnoteText"/>
      </w:pPr>
      <w:r>
        <w:rPr>
          <w:rStyle w:val="FootnoteReference"/>
        </w:rPr>
        <w:footnoteRef/>
      </w:r>
      <w:r>
        <w:t xml:space="preserve"> </w:t>
      </w:r>
      <w:r>
        <w:rPr>
          <w:rFonts w:cs="Times New Roman"/>
          <w:color w:val="000000"/>
          <w:lang w:eastAsia="en-US"/>
        </w:rPr>
        <w:t xml:space="preserve">“ein </w:t>
      </w:r>
      <w:r w:rsidRPr="00E411D2">
        <w:rPr>
          <w:rFonts w:cs="Times New Roman"/>
          <w:color w:val="000000"/>
          <w:lang w:eastAsia="en-US"/>
        </w:rPr>
        <w:t>ausgeprägter Widerwille gegen das Judentum, eine streng antisemitische Einstellung des inneren Menschen</w:t>
      </w:r>
      <w:r>
        <w:rPr>
          <w:rFonts w:cs="Times New Roman"/>
          <w:color w:val="000000"/>
          <w:lang w:eastAsia="en-US"/>
        </w:rPr>
        <w:t>,”</w:t>
      </w:r>
      <w:r w:rsidRPr="00316860">
        <w:rPr>
          <w:rStyle w:val="FootnoteReference"/>
          <w:rFonts w:cs="Times New Roman"/>
          <w:color w:val="000000"/>
          <w:lang w:eastAsia="en-US"/>
        </w:rPr>
        <w:t xml:space="preserve"> </w:t>
      </w:r>
      <w:r>
        <w:t xml:space="preserve">Walter Bauer, review of Harnack, </w:t>
      </w:r>
      <w:r>
        <w:rPr>
          <w:i/>
        </w:rPr>
        <w:t>Marcion: Das Evangelium</w:t>
      </w:r>
      <w:r>
        <w:t xml:space="preserve"> (1</w:t>
      </w:r>
      <w:r w:rsidRPr="00CE3C1D">
        <w:rPr>
          <w:vertAlign w:val="superscript"/>
        </w:rPr>
        <w:t>st</w:t>
      </w:r>
      <w:r>
        <w:t xml:space="preserve"> ed.), in </w:t>
      </w:r>
      <w:r>
        <w:rPr>
          <w:i/>
        </w:rPr>
        <w:t>Göttingische gelehrte Anzeigen</w:t>
      </w:r>
      <w:r>
        <w:t xml:space="preserve"> 185 (1923), 1–14 (here, 7).</w:t>
      </w:r>
    </w:p>
  </w:footnote>
  <w:footnote w:id="7">
    <w:p w14:paraId="0E67BBDC" w14:textId="2675A646" w:rsidR="00B1348C" w:rsidRPr="00F56BCB" w:rsidRDefault="00B1348C" w:rsidP="00F16E0C">
      <w:pPr>
        <w:pStyle w:val="FootnoteText"/>
        <w:rPr>
          <w:i/>
        </w:rPr>
      </w:pPr>
      <w:r>
        <w:rPr>
          <w:rStyle w:val="FootnoteReference"/>
        </w:rPr>
        <w:footnoteRef/>
      </w:r>
      <w:r>
        <w:t xml:space="preserve"> </w:t>
      </w:r>
      <w:r>
        <w:rPr>
          <w:i/>
        </w:rPr>
        <w:t>The Gnostic Religion: The Message of An Alien God and The Beginnings of Christianity</w:t>
      </w:r>
      <w:r>
        <w:t>, 2</w:t>
      </w:r>
      <w:r w:rsidRPr="00F56BCB">
        <w:rPr>
          <w:vertAlign w:val="superscript"/>
        </w:rPr>
        <w:t>rd</w:t>
      </w:r>
      <w:r>
        <w:t xml:space="preserve"> ed. (Boston: Beacon Press, 1963), 254. Jonas’ had written similarly in the earlier German version of this book (1</w:t>
      </w:r>
      <w:r w:rsidRPr="00CE4EFC">
        <w:rPr>
          <w:vertAlign w:val="superscript"/>
        </w:rPr>
        <w:t>st</w:t>
      </w:r>
      <w:r>
        <w:t>. ed., 1934) of “die marcionistische Welt- und Schöpferverachtung” (</w:t>
      </w:r>
      <w:r>
        <w:rPr>
          <w:i/>
        </w:rPr>
        <w:t>Gnosis und spätantike Geist: Die mythologische Gnosis</w:t>
      </w:r>
      <w:r>
        <w:t xml:space="preserve"> [2</w:t>
      </w:r>
      <w:r w:rsidRPr="00CE4EFC">
        <w:rPr>
          <w:vertAlign w:val="superscript"/>
        </w:rPr>
        <w:t>nd</w:t>
      </w:r>
      <w:r>
        <w:t>. ed.; Göttingen: Vendenhoek &amp; Ruprecht, 1954], 155).</w:t>
      </w:r>
      <w:r>
        <w:rPr>
          <w:i/>
        </w:rPr>
        <w:t xml:space="preserve"> </w:t>
      </w:r>
    </w:p>
  </w:footnote>
  <w:footnote w:id="8">
    <w:p w14:paraId="03CB4DD6" w14:textId="31801C0F" w:rsidR="00B1348C" w:rsidRPr="001C42F2" w:rsidRDefault="00B1348C" w:rsidP="001C42F2">
      <w:pPr>
        <w:pStyle w:val="FootnoteText"/>
      </w:pPr>
      <w:r>
        <w:rPr>
          <w:rStyle w:val="FootnoteReference"/>
        </w:rPr>
        <w:footnoteRef/>
      </w:r>
      <w:r>
        <w:t xml:space="preserve"> John W. Marshall, “Misunderstanding the New Paul: Marcion’s Transformation of the </w:t>
      </w:r>
      <w:r w:rsidRPr="006F1182">
        <w:rPr>
          <w:i/>
        </w:rPr>
        <w:t>Sonderzeit</w:t>
      </w:r>
      <w:r>
        <w:t xml:space="preserve"> Paul,” </w:t>
      </w:r>
      <w:r>
        <w:rPr>
          <w:i/>
        </w:rPr>
        <w:t>JECS</w:t>
      </w:r>
      <w:r>
        <w:t xml:space="preserve"> 20 (2012), 1–29. </w:t>
      </w:r>
      <w:r>
        <w:rPr>
          <w:i/>
        </w:rPr>
        <w:t>Sonderweg</w:t>
      </w:r>
      <w:r>
        <w:t xml:space="preserve"> expresses the reading of Paul pioneer by Lloyd Gaston, John Gager, and Stanly Stowers. Marshall himself prefers the term </w:t>
      </w:r>
      <w:r>
        <w:rPr>
          <w:i/>
        </w:rPr>
        <w:t>Sonderzeit</w:t>
      </w:r>
      <w:r>
        <w:t>, in that it “emphasizes the eschatological thinking in Paul’s letters (</w:t>
      </w:r>
      <w:r>
        <w:rPr>
          <w:i/>
        </w:rPr>
        <w:t>ibid.</w:t>
      </w:r>
      <w:r>
        <w:t xml:space="preserve"> 5). Marshall’s article merits fuller discussion than permitted in this paper.</w:t>
      </w:r>
    </w:p>
  </w:footnote>
  <w:footnote w:id="9">
    <w:p w14:paraId="30358ACE" w14:textId="372F8E76" w:rsidR="00B1348C" w:rsidRDefault="00B1348C">
      <w:pPr>
        <w:pStyle w:val="FootnoteText"/>
      </w:pPr>
      <w:r>
        <w:rPr>
          <w:rStyle w:val="FootnoteReference"/>
        </w:rPr>
        <w:footnoteRef/>
      </w:r>
      <w:r>
        <w:t xml:space="preserve"> David Balás, “Marcion Revisited: A ‘Post-Harnack’ Perspective,” in Eugene March (ed.), </w:t>
      </w:r>
      <w:r>
        <w:rPr>
          <w:i/>
        </w:rPr>
        <w:t>Texts and Testaments: Critical Essays on the Bible and Early Church Fathers</w:t>
      </w:r>
      <w:r>
        <w:t xml:space="preserve"> (San Antonio, TX: Trinity University Press, 1980), 95–108. Robert M. Grant, </w:t>
      </w:r>
      <w:r>
        <w:rPr>
          <w:i/>
        </w:rPr>
        <w:t>Gnosticism and Early Christianity</w:t>
      </w:r>
      <w:r>
        <w:t xml:space="preserve"> (New York: Harper &amp; Row, 1959), 27–38.</w:t>
      </w:r>
    </w:p>
  </w:footnote>
  <w:footnote w:id="10">
    <w:p w14:paraId="09354268" w14:textId="343872F9" w:rsidR="00B1348C" w:rsidRDefault="00B1348C">
      <w:pPr>
        <w:pStyle w:val="FootnoteText"/>
      </w:pPr>
      <w:r>
        <w:rPr>
          <w:rStyle w:val="FootnoteReference"/>
        </w:rPr>
        <w:footnoteRef/>
      </w:r>
      <w:r>
        <w:t xml:space="preserve"> I resort to this term to describe the phenomena in a way that could be endorsed by those whose views I am arguing against here. </w:t>
      </w:r>
    </w:p>
  </w:footnote>
  <w:footnote w:id="11">
    <w:p w14:paraId="54516626" w14:textId="77777777" w:rsidR="00B1348C" w:rsidRPr="006F1182" w:rsidRDefault="00B1348C" w:rsidP="00DB16F5">
      <w:pPr>
        <w:pStyle w:val="FootnoteText"/>
      </w:pPr>
      <w:r>
        <w:rPr>
          <w:rStyle w:val="FootnoteReference"/>
        </w:rPr>
        <w:footnoteRef/>
      </w:r>
      <w:r>
        <w:t xml:space="preserve"> “Misunderstanding the New Paul: Marcion’s Transformation of the </w:t>
      </w:r>
      <w:r w:rsidRPr="006F1182">
        <w:rPr>
          <w:i/>
        </w:rPr>
        <w:t>Sonderzeit</w:t>
      </w:r>
      <w:r>
        <w:t xml:space="preserve"> Paul,” </w:t>
      </w:r>
      <w:r>
        <w:rPr>
          <w:i/>
        </w:rPr>
        <w:t>JECS</w:t>
      </w:r>
      <w:r>
        <w:t xml:space="preserve"> 20 (2012), 1–29, here, 16.</w:t>
      </w:r>
    </w:p>
  </w:footnote>
  <w:footnote w:id="12">
    <w:p w14:paraId="0EFEE579" w14:textId="2877BB2E" w:rsidR="00B1348C" w:rsidRPr="00093623" w:rsidRDefault="00B1348C" w:rsidP="00521E70">
      <w:pPr>
        <w:pStyle w:val="FootnoteText"/>
      </w:pPr>
      <w:r>
        <w:rPr>
          <w:rStyle w:val="FootnoteReference"/>
        </w:rPr>
        <w:footnoteRef/>
      </w:r>
      <w:r>
        <w:t xml:space="preserve"> Harnack, </w:t>
      </w:r>
      <w:r>
        <w:rPr>
          <w:i/>
        </w:rPr>
        <w:t>Neue Studien zu Markion</w:t>
      </w:r>
      <w:r>
        <w:t>, 15.</w:t>
      </w:r>
    </w:p>
  </w:footnote>
  <w:footnote w:id="13">
    <w:p w14:paraId="53468E13" w14:textId="28B3D846" w:rsidR="00B1348C" w:rsidRDefault="00B1348C" w:rsidP="00521E70">
      <w:pPr>
        <w:pStyle w:val="FootnoteText"/>
      </w:pPr>
      <w:r>
        <w:rPr>
          <w:rStyle w:val="FootnoteReference"/>
        </w:rPr>
        <w:footnoteRef/>
      </w:r>
      <w:r>
        <w:t xml:space="preserve"> </w:t>
      </w:r>
      <w:r>
        <w:rPr>
          <w:rFonts w:cs="Times New Roman"/>
          <w:color w:val="000000"/>
          <w:lang w:eastAsia="en-US"/>
        </w:rPr>
        <w:t xml:space="preserve">Accordingly </w:t>
      </w:r>
      <w:r w:rsidRPr="00FC01D9">
        <w:rPr>
          <w:rFonts w:cs="Times New Roman"/>
          <w:color w:val="000000"/>
          <w:lang w:eastAsia="en-US"/>
        </w:rPr>
        <w:t xml:space="preserve">I will not engage the attempt of R. J. Hoffmann’s highly problematic 1982 dissertation </w:t>
      </w:r>
      <w:r>
        <w:rPr>
          <w:rFonts w:cs="Times New Roman"/>
          <w:color w:val="000000"/>
          <w:lang w:eastAsia="en-US"/>
        </w:rPr>
        <w:t>to dissolve</w:t>
      </w:r>
      <w:r w:rsidRPr="00FC01D9">
        <w:rPr>
          <w:rFonts w:cs="Times New Roman"/>
          <w:color w:val="000000"/>
          <w:lang w:eastAsia="en-US"/>
        </w:rPr>
        <w:t xml:space="preserve"> the whole notion of Marcion’s anti-Judaism</w:t>
      </w:r>
      <w:r>
        <w:rPr>
          <w:rFonts w:cs="Times New Roman"/>
          <w:color w:val="000000"/>
          <w:lang w:eastAsia="en-US"/>
        </w:rPr>
        <w:t>. W</w:t>
      </w:r>
      <w:r w:rsidRPr="00FC01D9">
        <w:rPr>
          <w:rFonts w:cs="Times New Roman"/>
          <w:color w:val="000000"/>
          <w:lang w:eastAsia="en-US"/>
        </w:rPr>
        <w:t>hat Harnack had offered as a tentative suggestion devoid of real proof, Hoffmann found good to state as fact, referring to Marcion as “a convert from</w:t>
      </w:r>
      <w:r>
        <w:rPr>
          <w:rFonts w:cs="Times New Roman"/>
          <w:color w:val="000000"/>
          <w:lang w:eastAsia="en-US"/>
        </w:rPr>
        <w:t xml:space="preserve"> the Jewish community in Pontus</w:t>
      </w:r>
      <w:r w:rsidRPr="00FC01D9">
        <w:rPr>
          <w:rFonts w:cs="Times New Roman"/>
          <w:color w:val="000000"/>
          <w:lang w:eastAsia="en-US"/>
        </w:rPr>
        <w:t>”</w:t>
      </w:r>
      <w:r>
        <w:t xml:space="preserve"> (</w:t>
      </w:r>
      <w:r>
        <w:rPr>
          <w:i/>
        </w:rPr>
        <w:t>Marcion: On the Restitution of Christianity</w:t>
      </w:r>
      <w:r>
        <w:t xml:space="preserve"> [Chico, CA: Scholar’s Press, 1984], 29). I follow the advice of Gerhard May’s concluding statement in his review of Hoffmann’s work (“Ein neues Markionbild?” </w:t>
      </w:r>
      <w:r>
        <w:rPr>
          <w:i/>
        </w:rPr>
        <w:t>Theologische Rundschau</w:t>
      </w:r>
      <w:r>
        <w:t xml:space="preserve"> 51 [1986], 404–413: “H.’s Buch erreicht nicht das Nirveau, das man heute von einer historischen Untersuchung verlangen kann. Man kann leider nur wünschen, daß es bald vergessen wird und nicht eine lange, unfruchtbare Auseinandersetzung mit ihm in Gang kommt.” One bad review is of course not grounds for </w:t>
      </w:r>
      <w:r>
        <w:rPr>
          <w:i/>
        </w:rPr>
        <w:t>damnatio memoriae</w:t>
      </w:r>
      <w:r>
        <w:t xml:space="preserve">, but May’s judgment is confirmed by the perhaps even more devastating review of Caroline Bammel in </w:t>
      </w:r>
      <w:r>
        <w:rPr>
          <w:i/>
        </w:rPr>
        <w:t>JTS</w:t>
      </w:r>
      <w:r>
        <w:t xml:space="preserve"> 39 (1988), 227–32: “The first two chapters of the book, the most ‘historical’ in subject matter, are much the worst and are enough to put off all but the most naïve readers from feeling any confidence in so incompetent a guide.” (p. 229).</w:t>
      </w:r>
    </w:p>
  </w:footnote>
  <w:footnote w:id="14">
    <w:p w14:paraId="6EF14360" w14:textId="3D7CBD9E" w:rsidR="00B1348C" w:rsidRPr="007436AC" w:rsidRDefault="00B1348C" w:rsidP="00521E70">
      <w:pPr>
        <w:pStyle w:val="FootnoteText"/>
      </w:pPr>
      <w:r>
        <w:rPr>
          <w:rStyle w:val="FootnoteReference"/>
        </w:rPr>
        <w:footnoteRef/>
      </w:r>
      <w:r>
        <w:t xml:space="preserve"> </w:t>
      </w:r>
      <w:r w:rsidRPr="00FA3FE5">
        <w:t xml:space="preserve">Stephen G. Wilson, </w:t>
      </w:r>
      <w:r w:rsidRPr="00FA3FE5">
        <w:rPr>
          <w:rFonts w:cs="Times New Roman"/>
          <w:color w:val="000000"/>
          <w:lang w:eastAsia="en-US"/>
        </w:rPr>
        <w:t xml:space="preserve">“Marcion and the Jews,” in </w:t>
      </w:r>
      <w:r w:rsidRPr="00FA3FE5">
        <w:rPr>
          <w:rFonts w:cs="Times New Roman"/>
          <w:i/>
          <w:color w:val="000000"/>
          <w:lang w:eastAsia="en-US"/>
        </w:rPr>
        <w:t>idem</w:t>
      </w:r>
      <w:r w:rsidRPr="00FA3FE5">
        <w:rPr>
          <w:rFonts w:cs="Times New Roman"/>
          <w:color w:val="000000"/>
          <w:lang w:eastAsia="en-US"/>
        </w:rPr>
        <w:t xml:space="preserve"> (ed.), </w:t>
      </w:r>
      <w:r w:rsidRPr="00FA3FE5">
        <w:rPr>
          <w:rFonts w:cs="Times New Roman"/>
          <w:i/>
          <w:color w:val="000000"/>
          <w:lang w:eastAsia="en-US"/>
        </w:rPr>
        <w:t xml:space="preserve">Anti-Judaism in Early Christianity </w:t>
      </w:r>
      <w:r w:rsidRPr="00FA3FE5">
        <w:rPr>
          <w:rFonts w:cs="Times New Roman"/>
          <w:color w:val="000000"/>
          <w:lang w:eastAsia="en-US"/>
        </w:rPr>
        <w:t xml:space="preserve"> (vol. 2):  </w:t>
      </w:r>
      <w:r w:rsidRPr="00FA3FE5">
        <w:rPr>
          <w:rFonts w:cs="Times New Roman"/>
          <w:i/>
          <w:color w:val="000000"/>
          <w:lang w:eastAsia="en-US"/>
        </w:rPr>
        <w:t>Separation and Polemic</w:t>
      </w:r>
      <w:r w:rsidRPr="00FA3FE5">
        <w:rPr>
          <w:rFonts w:cs="Times New Roman"/>
          <w:color w:val="000000"/>
          <w:lang w:eastAsia="en-US"/>
        </w:rPr>
        <w:t xml:space="preserve"> (Waterloo, Ontario: Wilfrid Laurier University Press, 1986), 45-58, here, 52–53.</w:t>
      </w:r>
    </w:p>
  </w:footnote>
  <w:footnote w:id="15">
    <w:p w14:paraId="6BEE764E" w14:textId="33DC7EE6" w:rsidR="00B1348C" w:rsidRDefault="00B1348C" w:rsidP="00521E70">
      <w:pPr>
        <w:pStyle w:val="FootnoteText"/>
      </w:pPr>
      <w:r>
        <w:rPr>
          <w:rStyle w:val="FootnoteReference"/>
        </w:rPr>
        <w:footnoteRef/>
      </w:r>
      <w:r>
        <w:t xml:space="preserve"> </w:t>
      </w:r>
      <w:r w:rsidRPr="00FA3FE5">
        <w:t xml:space="preserve">Wilson, </w:t>
      </w:r>
      <w:r w:rsidRPr="00FA3FE5">
        <w:rPr>
          <w:rFonts w:cs="Times New Roman"/>
          <w:color w:val="000000"/>
          <w:lang w:eastAsia="en-US"/>
        </w:rPr>
        <w:t>“Marcion and the Jews,”</w:t>
      </w:r>
      <w:r>
        <w:rPr>
          <w:rFonts w:cs="Times New Roman"/>
          <w:color w:val="000000"/>
          <w:lang w:eastAsia="en-US"/>
        </w:rPr>
        <w:t xml:space="preserve"> 55.</w:t>
      </w:r>
    </w:p>
  </w:footnote>
  <w:footnote w:id="16">
    <w:p w14:paraId="5283393D" w14:textId="499FAE91" w:rsidR="00B1348C" w:rsidRDefault="00B1348C" w:rsidP="00521E70">
      <w:pPr>
        <w:pStyle w:val="FootnoteText"/>
      </w:pPr>
      <w:r>
        <w:rPr>
          <w:rStyle w:val="FootnoteReference"/>
        </w:rPr>
        <w:footnoteRef/>
      </w:r>
      <w:r>
        <w:t xml:space="preserve"> </w:t>
      </w:r>
      <w:r w:rsidRPr="00FA3FE5">
        <w:t xml:space="preserve">Wilson, </w:t>
      </w:r>
      <w:r w:rsidRPr="00FA3FE5">
        <w:rPr>
          <w:rFonts w:cs="Times New Roman"/>
          <w:color w:val="000000"/>
          <w:lang w:eastAsia="en-US"/>
        </w:rPr>
        <w:t>“Marcion and the Jews,”</w:t>
      </w:r>
      <w:r>
        <w:rPr>
          <w:rFonts w:cs="Times New Roman"/>
          <w:color w:val="000000"/>
          <w:lang w:eastAsia="en-US"/>
        </w:rPr>
        <w:t xml:space="preserve"> 58.</w:t>
      </w:r>
    </w:p>
  </w:footnote>
  <w:footnote w:id="17">
    <w:p w14:paraId="343E76FD" w14:textId="257CBA30" w:rsidR="00B1348C" w:rsidRPr="00355237" w:rsidRDefault="00B1348C" w:rsidP="00521E70">
      <w:pPr>
        <w:pStyle w:val="FootnoteText"/>
      </w:pPr>
      <w:r>
        <w:rPr>
          <w:rStyle w:val="FootnoteReference"/>
        </w:rPr>
        <w:footnoteRef/>
      </w:r>
      <w:r>
        <w:t xml:space="preserve"> </w:t>
      </w:r>
      <w:r>
        <w:rPr>
          <w:rFonts w:cs="Times New Roman"/>
          <w:color w:val="000000"/>
          <w:lang w:eastAsia="en-US"/>
        </w:rPr>
        <w:t xml:space="preserve">Heikki Räisänen, “Marcion and the Origins of Christian Anti-Judaism: A Reappraisal,” </w:t>
      </w:r>
      <w:r>
        <w:rPr>
          <w:rFonts w:cs="Times New Roman"/>
          <w:i/>
          <w:color w:val="000000"/>
          <w:lang w:eastAsia="en-US"/>
        </w:rPr>
        <w:t>Temenos</w:t>
      </w:r>
      <w:r>
        <w:rPr>
          <w:rFonts w:cs="Times New Roman"/>
          <w:color w:val="000000"/>
          <w:lang w:eastAsia="en-US"/>
        </w:rPr>
        <w:t xml:space="preserve"> 33 (1997), 121–35, here, 121.</w:t>
      </w:r>
    </w:p>
  </w:footnote>
  <w:footnote w:id="18">
    <w:p w14:paraId="1E6BE481" w14:textId="5449C04E" w:rsidR="00B1348C" w:rsidRDefault="00B1348C" w:rsidP="00521E70">
      <w:pPr>
        <w:pStyle w:val="FootnoteText"/>
      </w:pPr>
      <w:r>
        <w:rPr>
          <w:rStyle w:val="FootnoteReference"/>
        </w:rPr>
        <w:footnoteRef/>
      </w:r>
      <w:r>
        <w:t xml:space="preserve"> </w:t>
      </w:r>
      <w:r>
        <w:rPr>
          <w:rFonts w:cs="Times New Roman"/>
          <w:color w:val="000000"/>
          <w:lang w:eastAsia="en-US"/>
        </w:rPr>
        <w:t>Räisänen, “Marcion and the Origins of Christian Anti-Judaism,” 132.</w:t>
      </w:r>
    </w:p>
  </w:footnote>
  <w:footnote w:id="19">
    <w:p w14:paraId="5A0440AE" w14:textId="0A231622" w:rsidR="00B1348C" w:rsidRPr="004D1256" w:rsidRDefault="00B1348C" w:rsidP="00521E70">
      <w:pPr>
        <w:pStyle w:val="FootnoteText"/>
      </w:pPr>
      <w:r>
        <w:rPr>
          <w:rStyle w:val="FootnoteReference"/>
        </w:rPr>
        <w:footnoteRef/>
      </w:r>
      <w:r>
        <w:t xml:space="preserve"> Joseph B.</w:t>
      </w:r>
      <w:r w:rsidRPr="004D1256">
        <w:t xml:space="preserve"> </w:t>
      </w:r>
      <w:r>
        <w:t xml:space="preserve">Tyson, </w:t>
      </w:r>
      <w:r>
        <w:rPr>
          <w:i/>
        </w:rPr>
        <w:t>Marcion and Luke-Acts: A Defining Struggle</w:t>
      </w:r>
      <w:r>
        <w:t xml:space="preserve"> (Columbia, SC: University of South Carolina Press, 2006).</w:t>
      </w:r>
    </w:p>
  </w:footnote>
  <w:footnote w:id="20">
    <w:p w14:paraId="7264143D" w14:textId="09A62C10" w:rsidR="00B1348C" w:rsidRPr="00E00FC1" w:rsidRDefault="00B1348C" w:rsidP="00521E70">
      <w:pPr>
        <w:pStyle w:val="FootnoteText"/>
      </w:pPr>
      <w:r>
        <w:rPr>
          <w:rStyle w:val="FootnoteReference"/>
        </w:rPr>
        <w:footnoteRef/>
      </w:r>
      <w:r>
        <w:t xml:space="preserve"> John Knox, </w:t>
      </w:r>
      <w:r w:rsidRPr="00BB1525">
        <w:rPr>
          <w:i/>
        </w:rPr>
        <w:t>Marcion and the New Testament</w:t>
      </w:r>
      <w:r w:rsidRPr="00BB1525">
        <w:rPr>
          <w:b/>
          <w:bCs/>
          <w:i/>
        </w:rPr>
        <w:t>: </w:t>
      </w:r>
      <w:r w:rsidRPr="00BB1525">
        <w:rPr>
          <w:i/>
        </w:rPr>
        <w:t>An Essay in the Early History of the Canon</w:t>
      </w:r>
      <w:r>
        <w:t xml:space="preserve">. Chicago: Chicago University Press, 1942. </w:t>
      </w:r>
    </w:p>
  </w:footnote>
  <w:footnote w:id="21">
    <w:p w14:paraId="178713AB" w14:textId="55099671" w:rsidR="00B1348C" w:rsidRDefault="00B1348C" w:rsidP="00521E70">
      <w:pPr>
        <w:pStyle w:val="FootnoteText"/>
      </w:pPr>
      <w:r>
        <w:rPr>
          <w:rStyle w:val="FootnoteReference"/>
        </w:rPr>
        <w:footnoteRef/>
      </w:r>
      <w:r>
        <w:t xml:space="preserve"> In: </w:t>
      </w:r>
      <w:r w:rsidRPr="00F26835">
        <w:rPr>
          <w:i/>
        </w:rPr>
        <w:t>Studies in Christian-Jewish Relations</w:t>
      </w:r>
      <w:r>
        <w:t xml:space="preserve"> 1 (2005–2006): 196-208 (accessible at: </w:t>
      </w:r>
      <w:hyperlink r:id="rId1" w:history="1">
        <w:r w:rsidRPr="00F26835">
          <w:rPr>
            <w:rStyle w:val="Hyperlink"/>
          </w:rPr>
          <w:t>http://escholarship.bc.edu/scjr/vol1/iss1/art21</w:t>
        </w:r>
      </w:hyperlink>
      <w:r>
        <w:t>).</w:t>
      </w:r>
    </w:p>
  </w:footnote>
  <w:footnote w:id="22">
    <w:p w14:paraId="4B164662" w14:textId="6AA99582" w:rsidR="00B1348C" w:rsidRDefault="00B1348C" w:rsidP="00521E70">
      <w:pPr>
        <w:pStyle w:val="FootnoteText"/>
      </w:pPr>
      <w:r>
        <w:rPr>
          <w:rStyle w:val="FootnoteReference"/>
        </w:rPr>
        <w:footnoteRef/>
      </w:r>
      <w:r>
        <w:t xml:space="preserve"> </w:t>
      </w:r>
      <w:r w:rsidRPr="002D2D56">
        <w:t xml:space="preserve">Bart D. Ehrman, </w:t>
      </w:r>
      <w:r w:rsidRPr="002D2D56">
        <w:rPr>
          <w:i/>
        </w:rPr>
        <w:t xml:space="preserve">Lost Christianities: The Battles for Scripture and the Faiths We Never Knew </w:t>
      </w:r>
      <w:r w:rsidRPr="002D2D56">
        <w:t>(Oxford: Oxfo</w:t>
      </w:r>
      <w:r>
        <w:t>rd University Press, 2003), 111 (cited in Tyson, “Anti-Judaism in Marcion,” 197).</w:t>
      </w:r>
    </w:p>
  </w:footnote>
  <w:footnote w:id="23">
    <w:p w14:paraId="072F61EC" w14:textId="4C7980F6" w:rsidR="00B1348C" w:rsidRDefault="00B1348C" w:rsidP="00521E70">
      <w:pPr>
        <w:pStyle w:val="FootnoteText"/>
      </w:pPr>
      <w:r>
        <w:rPr>
          <w:rStyle w:val="FootnoteReference"/>
        </w:rPr>
        <w:footnoteRef/>
      </w:r>
      <w:r>
        <w:t xml:space="preserve"> Tyson, “Anti-Judaism in Marcion,” 197. Similar material to what I cite here and in the other references below to this article is found in Tyson, </w:t>
      </w:r>
      <w:r>
        <w:rPr>
          <w:i/>
        </w:rPr>
        <w:t>Marcion and Luke-Acts</w:t>
      </w:r>
      <w:r>
        <w:t>, 121–131.</w:t>
      </w:r>
    </w:p>
  </w:footnote>
  <w:footnote w:id="24">
    <w:p w14:paraId="3174AA73" w14:textId="014093AD" w:rsidR="00B1348C" w:rsidRDefault="00B1348C" w:rsidP="00521E70">
      <w:pPr>
        <w:pStyle w:val="FootnoteText"/>
      </w:pPr>
      <w:r>
        <w:rPr>
          <w:rStyle w:val="FootnoteReference"/>
        </w:rPr>
        <w:footnoteRef/>
      </w:r>
      <w:r>
        <w:t xml:space="preserve"> Tyson, “Anti-Judaism in Marcion,” 201–202.</w:t>
      </w:r>
    </w:p>
  </w:footnote>
  <w:footnote w:id="25">
    <w:p w14:paraId="79EF126F" w14:textId="1F925E52" w:rsidR="00B1348C" w:rsidRDefault="00B1348C" w:rsidP="00521E70">
      <w:pPr>
        <w:pStyle w:val="FootnoteText"/>
      </w:pPr>
      <w:r>
        <w:rPr>
          <w:rStyle w:val="FootnoteReference"/>
        </w:rPr>
        <w:footnoteRef/>
      </w:r>
      <w:r>
        <w:t xml:space="preserve"> Tyson, “Anti-Judaism in Marcion,” 202.</w:t>
      </w:r>
    </w:p>
  </w:footnote>
  <w:footnote w:id="26">
    <w:p w14:paraId="44B60E28" w14:textId="751BA89F" w:rsidR="00B1348C" w:rsidRPr="00AD2D9E" w:rsidRDefault="00B1348C">
      <w:pPr>
        <w:pStyle w:val="FootnoteText"/>
      </w:pPr>
      <w:r>
        <w:rPr>
          <w:rStyle w:val="FootnoteReference"/>
        </w:rPr>
        <w:footnoteRef/>
      </w:r>
      <w:r>
        <w:t xml:space="preserve"> See Cicero, </w:t>
      </w:r>
      <w:r>
        <w:rPr>
          <w:i/>
        </w:rPr>
        <w:t>De inventione</w:t>
      </w:r>
      <w:r>
        <w:t xml:space="preserve"> II, §166 ff. (LCL, Cicero II [London: Heinemann, 1949], 285).</w:t>
      </w:r>
    </w:p>
  </w:footnote>
  <w:footnote w:id="27">
    <w:p w14:paraId="25E82BD2" w14:textId="72CE6410" w:rsidR="00B1348C" w:rsidRDefault="00B1348C" w:rsidP="00B91622">
      <w:pPr>
        <w:pStyle w:val="FootnoteText"/>
      </w:pPr>
      <w:r>
        <w:rPr>
          <w:rStyle w:val="FootnoteReference"/>
        </w:rPr>
        <w:footnoteRef/>
      </w:r>
      <w:r>
        <w:t xml:space="preserve"> This is part of Harnack’s attempt to distance Marcion </w:t>
      </w:r>
      <w:r>
        <w:rPr>
          <w:i/>
        </w:rPr>
        <w:t xml:space="preserve">toto </w:t>
      </w:r>
      <w:r w:rsidRPr="00B91622">
        <w:t>caelo</w:t>
      </w:r>
      <w:r>
        <w:t xml:space="preserve"> from gnosticism: </w:t>
      </w:r>
      <w:r>
        <w:rPr>
          <w:rFonts w:cs="Times New Roman"/>
          <w:color w:val="000000"/>
          <w:lang w:eastAsia="en-US"/>
        </w:rPr>
        <w:t>“He proceeded from different presuppositions, from the Old Testament, from biblical Christianity, from Paul.” (</w:t>
      </w:r>
      <w:r w:rsidRPr="00B91622">
        <w:t>Marcion</w:t>
      </w:r>
      <w:r>
        <w:rPr>
          <w:i/>
        </w:rPr>
        <w:t>: The Gospel</w:t>
      </w:r>
      <w:r>
        <w:t xml:space="preserve">, 3; </w:t>
      </w:r>
      <w:r>
        <w:rPr>
          <w:i/>
        </w:rPr>
        <w:t>Marcion: Das Evangelium</w:t>
      </w:r>
      <w:r>
        <w:t>, 4).</w:t>
      </w:r>
    </w:p>
  </w:footnote>
  <w:footnote w:id="28">
    <w:p w14:paraId="6666B6AB" w14:textId="08E8CFE1" w:rsidR="00B1348C" w:rsidRDefault="00B1348C" w:rsidP="00521E70">
      <w:pPr>
        <w:pStyle w:val="FootnoteText"/>
      </w:pPr>
      <w:r>
        <w:rPr>
          <w:rStyle w:val="FootnoteReference"/>
        </w:rPr>
        <w:footnoteRef/>
      </w:r>
      <w:r>
        <w:t xml:space="preserve"> Tyson, “Anti-Judaism in Marcion,” 208.</w:t>
      </w:r>
    </w:p>
  </w:footnote>
  <w:footnote w:id="29">
    <w:p w14:paraId="2A9223E8" w14:textId="112BFC5A" w:rsidR="00B1348C" w:rsidRDefault="00B1348C" w:rsidP="00521E70">
      <w:pPr>
        <w:pStyle w:val="FootnoteText"/>
      </w:pPr>
      <w:r>
        <w:rPr>
          <w:rStyle w:val="FootnoteReference"/>
        </w:rPr>
        <w:footnoteRef/>
      </w:r>
      <w:r>
        <w:t xml:space="preserve"> Tyson, “Anti-Judaism in Marcion,” 207, n. 51. </w:t>
      </w:r>
    </w:p>
  </w:footnote>
  <w:footnote w:id="30">
    <w:p w14:paraId="67ADAFC9" w14:textId="77777777" w:rsidR="00B1348C" w:rsidRDefault="00B1348C" w:rsidP="00521E70">
      <w:pPr>
        <w:pStyle w:val="FootnoteText"/>
      </w:pPr>
      <w:r>
        <w:rPr>
          <w:rStyle w:val="FootnoteReference"/>
        </w:rPr>
        <w:footnoteRef/>
      </w:r>
      <w:r>
        <w:t xml:space="preserve"> Tyson, “Anti-Judaism in Marcion,” 202.</w:t>
      </w:r>
    </w:p>
  </w:footnote>
  <w:footnote w:id="31">
    <w:p w14:paraId="3AFCA6B7" w14:textId="77777777" w:rsidR="00B1348C" w:rsidRDefault="00B1348C" w:rsidP="004863CE">
      <w:pPr>
        <w:pStyle w:val="FootnoteText"/>
      </w:pPr>
      <w:r>
        <w:rPr>
          <w:rStyle w:val="FootnoteReference"/>
        </w:rPr>
        <w:footnoteRef/>
      </w:r>
      <w:r>
        <w:t xml:space="preserve"> </w:t>
      </w:r>
      <w:r>
        <w:rPr>
          <w:rFonts w:cs="Times New Roman"/>
          <w:color w:val="000000"/>
          <w:lang w:eastAsia="en-US"/>
        </w:rPr>
        <w:t>I use this last term deliberately to indicate once again the intra-mural intention of Marcion’s criticism.</w:t>
      </w:r>
    </w:p>
  </w:footnote>
  <w:footnote w:id="32">
    <w:p w14:paraId="187763CC" w14:textId="77777777" w:rsidR="00B1348C" w:rsidRPr="000643AB" w:rsidRDefault="00B1348C" w:rsidP="00E001BD">
      <w:pPr>
        <w:pStyle w:val="FootnoteText"/>
      </w:pPr>
      <w:r>
        <w:rPr>
          <w:rStyle w:val="FootnoteReference"/>
        </w:rPr>
        <w:footnoteRef/>
      </w:r>
      <w:r>
        <w:t xml:space="preserve"> E.g., Ugo Bianchi, “Marcion: theologien biblique ou docteur gnostique?”  </w:t>
      </w:r>
      <w:r>
        <w:rPr>
          <w:i/>
        </w:rPr>
        <w:t>VC</w:t>
      </w:r>
      <w:r>
        <w:t xml:space="preserve"> 21 (1967), 141–149; John G. Gager, “Marcion and Philosophy,” </w:t>
      </w:r>
      <w:r>
        <w:rPr>
          <w:i/>
        </w:rPr>
        <w:t>VC</w:t>
      </w:r>
      <w:r>
        <w:t xml:space="preserve"> 26 (1972), 53–59.</w:t>
      </w:r>
    </w:p>
  </w:footnote>
  <w:footnote w:id="33">
    <w:p w14:paraId="45620711" w14:textId="129BD3C9" w:rsidR="00B1348C" w:rsidRDefault="00B1348C">
      <w:pPr>
        <w:pStyle w:val="FootnoteText"/>
      </w:pPr>
      <w:r>
        <w:rPr>
          <w:rStyle w:val="FootnoteReference"/>
        </w:rPr>
        <w:footnoteRef/>
      </w:r>
      <w:r>
        <w:t xml:space="preserve"> This is the aspect of ‘gnosticism’ that Michael Allen Williams has dubbed “biblical demiurgy” in </w:t>
      </w:r>
      <w:r w:rsidRPr="00C35C82">
        <w:rPr>
          <w:i/>
        </w:rPr>
        <w:t>Rethinking “Gnosticism”: An Argument for Dismantling a Dubious Category</w:t>
      </w:r>
      <w:r>
        <w:t xml:space="preserve"> (</w:t>
      </w:r>
      <w:r w:rsidRPr="00C35C82">
        <w:t>Princeton: Princeton University Press, 1996</w:t>
      </w:r>
      <w:r>
        <w:t>), 51</w:t>
      </w:r>
      <w:r w:rsidRPr="00C35C82">
        <w:t>.</w:t>
      </w:r>
    </w:p>
  </w:footnote>
  <w:footnote w:id="34">
    <w:p w14:paraId="20450AEB" w14:textId="77777777" w:rsidR="00B1348C" w:rsidRDefault="00B1348C" w:rsidP="004863CE">
      <w:pPr>
        <w:pStyle w:val="FootnoteText"/>
      </w:pPr>
      <w:r>
        <w:rPr>
          <w:rStyle w:val="FootnoteReference"/>
        </w:rPr>
        <w:footnoteRef/>
      </w:r>
      <w:r>
        <w:t xml:space="preserve"> Harnack, </w:t>
      </w:r>
      <w:r>
        <w:rPr>
          <w:i/>
        </w:rPr>
        <w:t>Marcion: The Gospel</w:t>
      </w:r>
      <w:r>
        <w:t xml:space="preserve">, 3; </w:t>
      </w:r>
      <w:r>
        <w:rPr>
          <w:i/>
        </w:rPr>
        <w:t>Marcion: Das Evangelium</w:t>
      </w:r>
      <w:r>
        <w:t>, 4.</w:t>
      </w:r>
    </w:p>
  </w:footnote>
  <w:footnote w:id="35">
    <w:p w14:paraId="5EC931F1" w14:textId="0C37B7AF" w:rsidR="00B1348C" w:rsidRDefault="00B1348C">
      <w:pPr>
        <w:pStyle w:val="FootnoteText"/>
      </w:pPr>
      <w:r>
        <w:rPr>
          <w:rStyle w:val="FootnoteReference"/>
        </w:rPr>
        <w:footnoteRef/>
      </w:r>
      <w:r>
        <w:t xml:space="preserve"> Tyson, “Anti-Judaism in Marcion,” 202.</w:t>
      </w:r>
    </w:p>
  </w:footnote>
  <w:footnote w:id="36">
    <w:p w14:paraId="39063769" w14:textId="77777777" w:rsidR="00B1348C" w:rsidRPr="0073048C" w:rsidRDefault="00B1348C" w:rsidP="00CA0E5B">
      <w:pPr>
        <w:pStyle w:val="FootnoteText"/>
      </w:pPr>
      <w:r>
        <w:rPr>
          <w:rStyle w:val="FootnoteReference"/>
        </w:rPr>
        <w:footnoteRef/>
      </w:r>
      <w:r>
        <w:t xml:space="preserve"> The </w:t>
      </w:r>
      <w:r w:rsidRPr="0054241E">
        <w:rPr>
          <w:i/>
        </w:rPr>
        <w:t>Antitheses</w:t>
      </w:r>
      <w:r>
        <w:t xml:space="preserve"> apparently functioned </w:t>
      </w:r>
      <w:r w:rsidRPr="0054241E">
        <w:t>as a preface</w:t>
      </w:r>
      <w:r>
        <w:t xml:space="preserve"> to Marcion’s</w:t>
      </w:r>
      <w:r w:rsidRPr="0054241E">
        <w:t xml:space="preserve"> two-part canonical collection consisting of his </w:t>
      </w:r>
      <w:r w:rsidRPr="0054241E">
        <w:rPr>
          <w:i/>
        </w:rPr>
        <w:t xml:space="preserve">Evangelikon </w:t>
      </w:r>
      <w:r>
        <w:t>(</w:t>
      </w:r>
      <w:r w:rsidRPr="0054241E">
        <w:t>a version of Luke which</w:t>
      </w:r>
      <w:r>
        <w:t xml:space="preserve"> </w:t>
      </w:r>
      <w:r>
        <w:rPr>
          <w:i/>
        </w:rPr>
        <w:t>ex hypothesi</w:t>
      </w:r>
      <w:r w:rsidRPr="0054241E">
        <w:t xml:space="preserve"> Marcion had edited by severing its opening chapters and removing other elements connecting Christ to the g</w:t>
      </w:r>
      <w:r>
        <w:t xml:space="preserve">od of the Law and the Prophets) </w:t>
      </w:r>
      <w:r w:rsidRPr="0054241E">
        <w:t xml:space="preserve">and the </w:t>
      </w:r>
      <w:r w:rsidRPr="0054241E">
        <w:rPr>
          <w:i/>
        </w:rPr>
        <w:t>Apostolikon</w:t>
      </w:r>
      <w:r w:rsidRPr="0054241E">
        <w:t>, a collection of ten Pauline letters, likewise redacted along similar lines.</w:t>
      </w:r>
    </w:p>
  </w:footnote>
  <w:footnote w:id="37">
    <w:p w14:paraId="3E887DA7" w14:textId="34FFE535" w:rsidR="00B1348C" w:rsidRPr="00EB6B06" w:rsidRDefault="00B1348C" w:rsidP="00CA0E5B">
      <w:pPr>
        <w:pStyle w:val="FootnoteText"/>
      </w:pPr>
      <w:r>
        <w:rPr>
          <w:rStyle w:val="FootnoteReference"/>
        </w:rPr>
        <w:footnoteRef/>
      </w:r>
      <w:r>
        <w:t xml:space="preserve"> “O wonder beyond wonders, rapture, power, and amazement is it, that one can say nothing at all about the gospel, nor even conceive of it, nor compare it with anything” (Harnack, </w:t>
      </w:r>
      <w:r>
        <w:rPr>
          <w:i/>
        </w:rPr>
        <w:t>Marcion: The Gospel</w:t>
      </w:r>
      <w:r>
        <w:t xml:space="preserve">, 59). Harnark, </w:t>
      </w:r>
      <w:r>
        <w:rPr>
          <w:i/>
        </w:rPr>
        <w:t>Marcion: Das Evangelium</w:t>
      </w:r>
      <w:r>
        <w:t xml:space="preserve">, 256* cited this fragment in the German translation (from Armenian) of Josoph Schäfers, </w:t>
      </w:r>
      <w:r w:rsidRPr="00EB6B06">
        <w:rPr>
          <w:i/>
        </w:rPr>
        <w:t>Eine altsyrische antimarkionitische Erklärung von Parabeln des Herrn und zwei andere altsyrische Abhandlungen zu Texten des Evangeliums</w:t>
      </w:r>
      <w:r>
        <w:t xml:space="preserve"> (Münster</w:t>
      </w:r>
      <w:r w:rsidRPr="00EB6B06">
        <w:t>: Aschendorff</w:t>
      </w:r>
      <w:r>
        <w:t xml:space="preserve">, 1917), 3f. </w:t>
      </w:r>
    </w:p>
  </w:footnote>
  <w:footnote w:id="38">
    <w:p w14:paraId="15494696" w14:textId="77777777" w:rsidR="00B1348C" w:rsidRPr="00BF3CD8" w:rsidRDefault="00B1348C" w:rsidP="00CA0E5B">
      <w:pPr>
        <w:pStyle w:val="FootnoteText"/>
      </w:pPr>
      <w:r>
        <w:rPr>
          <w:rStyle w:val="FootnoteReference"/>
        </w:rPr>
        <w:footnoteRef/>
      </w:r>
      <w:r>
        <w:t xml:space="preserve"> Harnack, </w:t>
      </w:r>
      <w:r>
        <w:rPr>
          <w:i/>
        </w:rPr>
        <w:t>Marcion: The Gospel</w:t>
      </w:r>
      <w:r>
        <w:t xml:space="preserve">, 25–26; </w:t>
      </w:r>
      <w:r>
        <w:rPr>
          <w:i/>
        </w:rPr>
        <w:t>Marcion: Das Evangelium</w:t>
      </w:r>
      <w:r>
        <w:t>, 36.</w:t>
      </w:r>
    </w:p>
  </w:footnote>
  <w:footnote w:id="39">
    <w:p w14:paraId="3725B6F1" w14:textId="77777777" w:rsidR="00B1348C" w:rsidRPr="00CC31C8" w:rsidRDefault="00B1348C" w:rsidP="00CA0E5B">
      <w:pPr>
        <w:pStyle w:val="FootnoteText"/>
      </w:pPr>
      <w:r>
        <w:rPr>
          <w:rStyle w:val="FootnoteReference"/>
        </w:rPr>
        <w:footnoteRef/>
      </w:r>
      <w:r>
        <w:t xml:space="preserve"> See Harnack’s Beilage 1 in </w:t>
      </w:r>
      <w:r>
        <w:rPr>
          <w:i/>
        </w:rPr>
        <w:t>Marcion: Das Evangelium</w:t>
      </w:r>
      <w:r>
        <w:t>, 3*–30* for discussion of the sources pertaining to dating Marcion. The only ancient source that would suggest a far earlier dating for Marcion is Clement of Alexandria (</w:t>
      </w:r>
      <w:r>
        <w:rPr>
          <w:i/>
        </w:rPr>
        <w:t>Strom.</w:t>
      </w:r>
      <w:r>
        <w:t xml:space="preserve"> VII.17), which has him in Rome during the reign of Hadrian (i.e., shortly after 117), standing as an “elder” among “younger” heretics such as Basilides and Valentinus. Harnack accepted this evidence and assigned Marcion’s birth to c. 85 CE on that basis (</w:t>
      </w:r>
      <w:r>
        <w:rPr>
          <w:i/>
        </w:rPr>
        <w:t>Das Evangelium</w:t>
      </w:r>
      <w:r>
        <w:t xml:space="preserve">, 14*–15). Gerhard May has presented the grounds for following Tertullian’s dating (the only evidence that purports to follow a Marcionite source) and rejecting any early dating of Marcion that would make him contemporary with Polcarp, in “Ein neues Markionbild?” </w:t>
      </w:r>
      <w:r>
        <w:rPr>
          <w:i/>
        </w:rPr>
        <w:t>Theologische Rundschau</w:t>
      </w:r>
      <w:r>
        <w:t xml:space="preserve"> 51 (1986), 404–413 (here, 406–408). </w:t>
      </w:r>
    </w:p>
  </w:footnote>
  <w:footnote w:id="40">
    <w:p w14:paraId="3CE81C35" w14:textId="7F8AC40C" w:rsidR="00B1348C" w:rsidRPr="00E807C1" w:rsidRDefault="00B1348C" w:rsidP="00CA0E5B">
      <w:pPr>
        <w:pStyle w:val="FootnoteText"/>
      </w:pPr>
      <w:r>
        <w:rPr>
          <w:rStyle w:val="FootnoteReference"/>
        </w:rPr>
        <w:footnoteRef/>
      </w:r>
      <w:r>
        <w:t xml:space="preserve"> Ed. E. J. Goodspeed, </w:t>
      </w:r>
      <w:r w:rsidRPr="00E807C1">
        <w:rPr>
          <w:i/>
        </w:rPr>
        <w:t>Die ältesten Apologeten</w:t>
      </w:r>
      <w:r w:rsidRPr="00E807C1">
        <w:t xml:space="preserve"> </w:t>
      </w:r>
      <w:r>
        <w:t>(</w:t>
      </w:r>
      <w:r w:rsidRPr="00E807C1">
        <w:t>Gött</w:t>
      </w:r>
      <w:r>
        <w:t>ingen:</w:t>
      </w:r>
      <w:r w:rsidRPr="00E807C1">
        <w:t> Vandenhoeck &amp; Ruprecht, 1915</w:t>
      </w:r>
      <w:r>
        <w:t>)</w:t>
      </w:r>
      <w:r w:rsidRPr="00E807C1">
        <w:t>, 26–77.</w:t>
      </w:r>
      <w:r>
        <w:t xml:space="preserve"> §5 of chapter 26 reads: </w:t>
      </w:r>
      <w:r w:rsidRPr="00E807C1">
        <w:t>Μαρκίωνα δέ τινα Ποντικόν, ὃς καὶ νῦν ἔτι ἐστὶ διδάσκων τοὺς πειθομένους, ἄλλον τινὰ νομίζειν μείζονα τοῦ δημιουργοῦ θεόν· ὃς κατὰ πᾶν γένος ἀνθρώπων διὰ τῆς τῶν δαιμόνων συλλήψεως πολλοὺς πεποίηκε βλασφημίας λέγειν καὶ ἀρνεῖσθαι τὸν ποιητὴν τοῦδε τοῦ παντὸς θεόν, ἄλλον δέ τινα, ὡς ὄντα μείζονα, τὰ μείζονα παρὰ τοῦτον ὁμολογεῖν πεποιηκέναι.</w:t>
      </w:r>
      <w:r>
        <w:t xml:space="preserve"> Justin also mentions Marcion in </w:t>
      </w:r>
      <w:r>
        <w:rPr>
          <w:i/>
        </w:rPr>
        <w:t>Apology</w:t>
      </w:r>
      <w:r>
        <w:t xml:space="preserve"> 58</w:t>
      </w:r>
      <w:r>
        <w:rPr>
          <w:i/>
        </w:rPr>
        <w:t>.</w:t>
      </w:r>
    </w:p>
  </w:footnote>
  <w:footnote w:id="41">
    <w:p w14:paraId="2F8F033C" w14:textId="3EC7DED6" w:rsidR="00B1348C" w:rsidRPr="00DB7303" w:rsidRDefault="00B1348C" w:rsidP="00CA0E5B">
      <w:pPr>
        <w:pStyle w:val="FootnoteText"/>
      </w:pPr>
      <w:r>
        <w:rPr>
          <w:rStyle w:val="FootnoteReference"/>
        </w:rPr>
        <w:footnoteRef/>
      </w:r>
      <w:r>
        <w:t xml:space="preserve"> Harnack: “probably as a mature man, during the approximately five years between 139 and 144, Marcion created his New Testament and his </w:t>
      </w:r>
      <w:r>
        <w:rPr>
          <w:i/>
        </w:rPr>
        <w:t>Antitheses</w:t>
      </w:r>
      <w:r>
        <w:t xml:space="preserve"> in Rome; still the possibility must be left open that this had already been done during his stay in Asia Minor” (</w:t>
      </w:r>
      <w:r>
        <w:rPr>
          <w:i/>
        </w:rPr>
        <w:t>Marcion: The Gospel</w:t>
      </w:r>
      <w:r>
        <w:t xml:space="preserve">, 16–18; </w:t>
      </w:r>
      <w:r>
        <w:rPr>
          <w:i/>
        </w:rPr>
        <w:t>Marcion: Das Evangelium</w:t>
      </w:r>
      <w:r>
        <w:t>, 24–26.</w:t>
      </w:r>
    </w:p>
  </w:footnote>
  <w:footnote w:id="42">
    <w:p w14:paraId="1C7BD071" w14:textId="08C1D710" w:rsidR="00B1348C" w:rsidRDefault="00B1348C" w:rsidP="00CA0E5B">
      <w:pPr>
        <w:pStyle w:val="FootnoteText"/>
      </w:pPr>
      <w:r>
        <w:rPr>
          <w:rStyle w:val="FootnoteReference"/>
        </w:rPr>
        <w:footnoteRef/>
      </w:r>
      <w:r>
        <w:t xml:space="preserve"> The fullest recent discussion of the sources for the biographical data of Marcion is Sebastian Moll, </w:t>
      </w:r>
      <w:r>
        <w:rPr>
          <w:i/>
        </w:rPr>
        <w:t>The Arch-Heretic Marcion</w:t>
      </w:r>
      <w:r>
        <w:t xml:space="preserve"> (Tübingen: Mohr Siebeck, 2010). Moll rejects the attempts to date Marcion earlier enough to be contemporary with Polycarp and places his birth date between 100 and 110 (</w:t>
      </w:r>
      <w:r>
        <w:rPr>
          <w:i/>
        </w:rPr>
        <w:t>ibid.</w:t>
      </w:r>
      <w:r>
        <w:t xml:space="preserve"> 26), which is later than Harnack’s guess of “85 or somewhat later” (</w:t>
      </w:r>
      <w:r w:rsidRPr="004F61C3">
        <w:rPr>
          <w:i/>
        </w:rPr>
        <w:t>Marcion: The Gospel</w:t>
      </w:r>
      <w:r>
        <w:t xml:space="preserve">, 15). </w:t>
      </w:r>
    </w:p>
  </w:footnote>
  <w:footnote w:id="43">
    <w:p w14:paraId="32BFBB8E" w14:textId="77777777" w:rsidR="00B1348C" w:rsidRPr="006A52AA" w:rsidRDefault="00B1348C" w:rsidP="004E16DA">
      <w:pPr>
        <w:pStyle w:val="FootnoteText"/>
      </w:pPr>
      <w:r>
        <w:rPr>
          <w:rStyle w:val="FootnoteReference"/>
        </w:rPr>
        <w:footnoteRef/>
      </w:r>
      <w:r>
        <w:t xml:space="preserve"> Ernest Evans posed this question in his excellent translation of Tertullian’s five-volume </w:t>
      </w:r>
      <w:r>
        <w:rPr>
          <w:i/>
        </w:rPr>
        <w:t>Against Marcion</w:t>
      </w:r>
      <w:r>
        <w:t>: “What had … he to say that was of interest to so many?” (</w:t>
      </w:r>
      <w:r>
        <w:rPr>
          <w:i/>
        </w:rPr>
        <w:t>Tertullian</w:t>
      </w:r>
      <w:r>
        <w:t xml:space="preserve">, </w:t>
      </w:r>
      <w:r w:rsidRPr="00EC027D">
        <w:rPr>
          <w:i/>
        </w:rPr>
        <w:t>Adversus Marcionem</w:t>
      </w:r>
      <w:r>
        <w:t>, 2 vols. [</w:t>
      </w:r>
      <w:r w:rsidRPr="00EC027D">
        <w:t>Oxford</w:t>
      </w:r>
      <w:r>
        <w:t>: Oxford University Press, 1972], xii). I cite Evans’ translation of this work except when otherwise noted.</w:t>
      </w:r>
    </w:p>
  </w:footnote>
  <w:footnote w:id="44">
    <w:p w14:paraId="008B044A" w14:textId="2E9DFCC0" w:rsidR="00B1348C" w:rsidRPr="00AA7CD4" w:rsidRDefault="00B1348C" w:rsidP="004E16DA">
      <w:pPr>
        <w:pStyle w:val="FootnoteText"/>
      </w:pPr>
      <w:r>
        <w:rPr>
          <w:rStyle w:val="FootnoteReference"/>
        </w:rPr>
        <w:footnoteRef/>
      </w:r>
      <w:r>
        <w:t xml:space="preserve"> For the full list and discussion of those who opposed Marcion through the fifth century, see Harnack’s appendix VI in </w:t>
      </w:r>
      <w:r>
        <w:rPr>
          <w:i/>
        </w:rPr>
        <w:t>Marcion: Das Evangelium</w:t>
      </w:r>
      <w:r>
        <w:t>, 314*–380*.</w:t>
      </w:r>
    </w:p>
  </w:footnote>
  <w:footnote w:id="45">
    <w:p w14:paraId="70304C38" w14:textId="77777777" w:rsidR="00B1348C" w:rsidRDefault="00B1348C" w:rsidP="004E16DA">
      <w:pPr>
        <w:pStyle w:val="FootnoteText"/>
      </w:pPr>
      <w:r>
        <w:rPr>
          <w:rStyle w:val="FootnoteReference"/>
        </w:rPr>
        <w:footnoteRef/>
      </w:r>
      <w:r>
        <w:t xml:space="preserve"> Translation my own.</w:t>
      </w:r>
    </w:p>
  </w:footnote>
  <w:footnote w:id="46">
    <w:p w14:paraId="07E8E92C" w14:textId="77777777" w:rsidR="00B1348C" w:rsidRPr="000B5A6C" w:rsidRDefault="00B1348C" w:rsidP="004E16DA">
      <w:pPr>
        <w:pStyle w:val="FootnoteText"/>
      </w:pPr>
      <w:r>
        <w:rPr>
          <w:rStyle w:val="FootnoteReference"/>
        </w:rPr>
        <w:footnoteRef/>
      </w:r>
      <w:r>
        <w:t xml:space="preserve"> See Tertullian’s telling remark in </w:t>
      </w:r>
      <w:r>
        <w:rPr>
          <w:i/>
        </w:rPr>
        <w:t>Praescr.</w:t>
      </w:r>
      <w:r>
        <w:t xml:space="preserve"> 41.1 about the targets of the heretics’ preaching (he names Valentinus and Marcion in ch. 39 of the same work): </w:t>
      </w:r>
      <w:r w:rsidRPr="002112C5">
        <w:rPr>
          <w:i/>
        </w:rPr>
        <w:t>hoc sit negotium illis, non ethnicos conuertendi sed nostros euertendi</w:t>
      </w:r>
      <w:r>
        <w:t>. Greenslade (</w:t>
      </w:r>
      <w:r>
        <w:rPr>
          <w:i/>
        </w:rPr>
        <w:t>Early Latin Theology</w:t>
      </w:r>
      <w:r>
        <w:t>, 62) translates thus: “Their concern is not to convert the heathen, but to subvert our folk.”</w:t>
      </w:r>
    </w:p>
  </w:footnote>
  <w:footnote w:id="47">
    <w:p w14:paraId="0D460080" w14:textId="77777777" w:rsidR="00B1348C" w:rsidRDefault="00B1348C" w:rsidP="004E16DA">
      <w:pPr>
        <w:pStyle w:val="FootnoteText"/>
      </w:pPr>
      <w:r>
        <w:rPr>
          <w:rStyle w:val="FootnoteReference"/>
        </w:rPr>
        <w:footnoteRef/>
      </w:r>
      <w:r>
        <w:t xml:space="preserve"> </w:t>
      </w:r>
      <w:r w:rsidRPr="00CC11EA">
        <w:t>“</w:t>
      </w:r>
      <w:r w:rsidRPr="00CC11EA">
        <w:rPr>
          <w:i/>
        </w:rPr>
        <w:t>Communis magister Paulus</w:t>
      </w:r>
      <w:r w:rsidRPr="00CC11EA">
        <w:t>:</w:t>
      </w:r>
      <w:r>
        <w:t xml:space="preserve"> </w:t>
      </w:r>
      <w:r w:rsidRPr="00CC11EA">
        <w:t xml:space="preserve">Altercation over the Gospel in Tertullian’s </w:t>
      </w:r>
      <w:r w:rsidRPr="00CC11EA">
        <w:rPr>
          <w:i/>
        </w:rPr>
        <w:t>Against Marcion</w:t>
      </w:r>
      <w:r w:rsidRPr="00CC11EA">
        <w:t xml:space="preserve">”, ch. 9 in Todd D. Still and David Wilhite (eds.) </w:t>
      </w:r>
      <w:r w:rsidRPr="00CC11EA">
        <w:rPr>
          <w:i/>
        </w:rPr>
        <w:t>Tertullian and Paul</w:t>
      </w:r>
      <w:r w:rsidRPr="00CC11EA">
        <w:t xml:space="preserve"> (London: T&amp;T Clark International,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DEBF7" w14:textId="77777777" w:rsidR="00B1348C" w:rsidRDefault="00B1348C" w:rsidP="000E482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C97081" w14:textId="77777777" w:rsidR="00B1348C" w:rsidRDefault="00B134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EA901" w14:textId="77777777" w:rsidR="00B1348C" w:rsidRDefault="00B1348C" w:rsidP="000E482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4E1E">
      <w:rPr>
        <w:rStyle w:val="PageNumber"/>
        <w:noProof/>
      </w:rPr>
      <w:t>12</w:t>
    </w:r>
    <w:r>
      <w:rPr>
        <w:rStyle w:val="PageNumber"/>
      </w:rPr>
      <w:fldChar w:fldCharType="end"/>
    </w:r>
  </w:p>
  <w:p w14:paraId="0DFE82DA" w14:textId="77777777" w:rsidR="00B1348C" w:rsidRDefault="00B134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78"/>
    <w:rsid w:val="00002573"/>
    <w:rsid w:val="00024115"/>
    <w:rsid w:val="00031E46"/>
    <w:rsid w:val="000643AB"/>
    <w:rsid w:val="00070C58"/>
    <w:rsid w:val="00077A72"/>
    <w:rsid w:val="00077DEC"/>
    <w:rsid w:val="00093623"/>
    <w:rsid w:val="00096663"/>
    <w:rsid w:val="000A4B18"/>
    <w:rsid w:val="000B0442"/>
    <w:rsid w:val="000B0CDB"/>
    <w:rsid w:val="000D25D8"/>
    <w:rsid w:val="000E20CA"/>
    <w:rsid w:val="000E233A"/>
    <w:rsid w:val="000E3D3C"/>
    <w:rsid w:val="000E4823"/>
    <w:rsid w:val="000E7BE7"/>
    <w:rsid w:val="000F15B6"/>
    <w:rsid w:val="001107B3"/>
    <w:rsid w:val="00110DC5"/>
    <w:rsid w:val="001250F7"/>
    <w:rsid w:val="00125C88"/>
    <w:rsid w:val="0013525B"/>
    <w:rsid w:val="00142691"/>
    <w:rsid w:val="00146BE5"/>
    <w:rsid w:val="001527A7"/>
    <w:rsid w:val="00164A54"/>
    <w:rsid w:val="001702C4"/>
    <w:rsid w:val="0017692E"/>
    <w:rsid w:val="001810CA"/>
    <w:rsid w:val="00182CD0"/>
    <w:rsid w:val="0019596C"/>
    <w:rsid w:val="001A532C"/>
    <w:rsid w:val="001B31D2"/>
    <w:rsid w:val="001C266D"/>
    <w:rsid w:val="001C42F2"/>
    <w:rsid w:val="001D0B66"/>
    <w:rsid w:val="001D3B5E"/>
    <w:rsid w:val="00203538"/>
    <w:rsid w:val="00203A00"/>
    <w:rsid w:val="00206F15"/>
    <w:rsid w:val="002209AB"/>
    <w:rsid w:val="00233864"/>
    <w:rsid w:val="002476D2"/>
    <w:rsid w:val="002525A6"/>
    <w:rsid w:val="00257BD9"/>
    <w:rsid w:val="00261A24"/>
    <w:rsid w:val="00270D1F"/>
    <w:rsid w:val="0027786F"/>
    <w:rsid w:val="00294321"/>
    <w:rsid w:val="002948AA"/>
    <w:rsid w:val="00294E1E"/>
    <w:rsid w:val="002A231C"/>
    <w:rsid w:val="002B557A"/>
    <w:rsid w:val="002C2B53"/>
    <w:rsid w:val="002D2D56"/>
    <w:rsid w:val="002D3E1B"/>
    <w:rsid w:val="002D6A2E"/>
    <w:rsid w:val="002E2619"/>
    <w:rsid w:val="002F2687"/>
    <w:rsid w:val="002F3B22"/>
    <w:rsid w:val="00300A56"/>
    <w:rsid w:val="00307B9B"/>
    <w:rsid w:val="003119EE"/>
    <w:rsid w:val="00316860"/>
    <w:rsid w:val="00322461"/>
    <w:rsid w:val="00330689"/>
    <w:rsid w:val="00330BF2"/>
    <w:rsid w:val="00355237"/>
    <w:rsid w:val="00363733"/>
    <w:rsid w:val="00367647"/>
    <w:rsid w:val="00371D63"/>
    <w:rsid w:val="003721E1"/>
    <w:rsid w:val="0037463D"/>
    <w:rsid w:val="00390402"/>
    <w:rsid w:val="00391E1A"/>
    <w:rsid w:val="0039477F"/>
    <w:rsid w:val="003979F9"/>
    <w:rsid w:val="003A20FC"/>
    <w:rsid w:val="003A4137"/>
    <w:rsid w:val="003A78B8"/>
    <w:rsid w:val="003C3D2B"/>
    <w:rsid w:val="003C5F8C"/>
    <w:rsid w:val="003D2192"/>
    <w:rsid w:val="003D7696"/>
    <w:rsid w:val="003E3D32"/>
    <w:rsid w:val="00410A62"/>
    <w:rsid w:val="00413E56"/>
    <w:rsid w:val="00413F75"/>
    <w:rsid w:val="00444B76"/>
    <w:rsid w:val="00454CED"/>
    <w:rsid w:val="00457443"/>
    <w:rsid w:val="00471309"/>
    <w:rsid w:val="00476DF7"/>
    <w:rsid w:val="00477977"/>
    <w:rsid w:val="0048213C"/>
    <w:rsid w:val="004863CE"/>
    <w:rsid w:val="0049594D"/>
    <w:rsid w:val="004A505D"/>
    <w:rsid w:val="004C0F1F"/>
    <w:rsid w:val="004C4AC4"/>
    <w:rsid w:val="004C5AE2"/>
    <w:rsid w:val="004D1256"/>
    <w:rsid w:val="004E16DA"/>
    <w:rsid w:val="004F2F88"/>
    <w:rsid w:val="004F61C3"/>
    <w:rsid w:val="00501810"/>
    <w:rsid w:val="005117FE"/>
    <w:rsid w:val="00512813"/>
    <w:rsid w:val="00517025"/>
    <w:rsid w:val="005178C1"/>
    <w:rsid w:val="005201F2"/>
    <w:rsid w:val="00521E70"/>
    <w:rsid w:val="00535182"/>
    <w:rsid w:val="005371E0"/>
    <w:rsid w:val="0054241E"/>
    <w:rsid w:val="00550B1C"/>
    <w:rsid w:val="00556C1E"/>
    <w:rsid w:val="00562487"/>
    <w:rsid w:val="00562C52"/>
    <w:rsid w:val="005702DA"/>
    <w:rsid w:val="005712B8"/>
    <w:rsid w:val="00576565"/>
    <w:rsid w:val="00576FC5"/>
    <w:rsid w:val="00581300"/>
    <w:rsid w:val="00593845"/>
    <w:rsid w:val="00595F89"/>
    <w:rsid w:val="005C4FA5"/>
    <w:rsid w:val="005C7667"/>
    <w:rsid w:val="005D04C4"/>
    <w:rsid w:val="005D1110"/>
    <w:rsid w:val="005D1E97"/>
    <w:rsid w:val="005D4925"/>
    <w:rsid w:val="005D4A0B"/>
    <w:rsid w:val="005D7D53"/>
    <w:rsid w:val="005F0EAE"/>
    <w:rsid w:val="005F69AC"/>
    <w:rsid w:val="005F70E0"/>
    <w:rsid w:val="00602DF5"/>
    <w:rsid w:val="00613E27"/>
    <w:rsid w:val="00617774"/>
    <w:rsid w:val="00625B22"/>
    <w:rsid w:val="006321A5"/>
    <w:rsid w:val="006363E1"/>
    <w:rsid w:val="006406CC"/>
    <w:rsid w:val="00645498"/>
    <w:rsid w:val="00652436"/>
    <w:rsid w:val="00672F08"/>
    <w:rsid w:val="00674172"/>
    <w:rsid w:val="006755D3"/>
    <w:rsid w:val="006757EE"/>
    <w:rsid w:val="00676714"/>
    <w:rsid w:val="00683872"/>
    <w:rsid w:val="00685CC2"/>
    <w:rsid w:val="00697174"/>
    <w:rsid w:val="006D170C"/>
    <w:rsid w:val="006E2A5F"/>
    <w:rsid w:val="006F6E1B"/>
    <w:rsid w:val="00700E26"/>
    <w:rsid w:val="00704113"/>
    <w:rsid w:val="00725B8D"/>
    <w:rsid w:val="00727458"/>
    <w:rsid w:val="0073390A"/>
    <w:rsid w:val="007417E0"/>
    <w:rsid w:val="007436AC"/>
    <w:rsid w:val="007439FC"/>
    <w:rsid w:val="00762B40"/>
    <w:rsid w:val="007643AE"/>
    <w:rsid w:val="007727C2"/>
    <w:rsid w:val="00782956"/>
    <w:rsid w:val="00791B98"/>
    <w:rsid w:val="007B64C3"/>
    <w:rsid w:val="007C01FC"/>
    <w:rsid w:val="007D39DE"/>
    <w:rsid w:val="007F2C1B"/>
    <w:rsid w:val="007F4113"/>
    <w:rsid w:val="007F7EB2"/>
    <w:rsid w:val="00800F0B"/>
    <w:rsid w:val="008035BD"/>
    <w:rsid w:val="00804445"/>
    <w:rsid w:val="00811B4C"/>
    <w:rsid w:val="008249E5"/>
    <w:rsid w:val="0082773A"/>
    <w:rsid w:val="00832E1E"/>
    <w:rsid w:val="00844258"/>
    <w:rsid w:val="00845256"/>
    <w:rsid w:val="00850B88"/>
    <w:rsid w:val="008577F6"/>
    <w:rsid w:val="00867612"/>
    <w:rsid w:val="00867F09"/>
    <w:rsid w:val="00877E4D"/>
    <w:rsid w:val="0088602B"/>
    <w:rsid w:val="00886584"/>
    <w:rsid w:val="00893497"/>
    <w:rsid w:val="008A2764"/>
    <w:rsid w:val="008B7E72"/>
    <w:rsid w:val="008C1DE9"/>
    <w:rsid w:val="008D492B"/>
    <w:rsid w:val="008D796B"/>
    <w:rsid w:val="008F6E3D"/>
    <w:rsid w:val="00907909"/>
    <w:rsid w:val="0091566B"/>
    <w:rsid w:val="0092734C"/>
    <w:rsid w:val="00942352"/>
    <w:rsid w:val="00943B09"/>
    <w:rsid w:val="00990637"/>
    <w:rsid w:val="00991046"/>
    <w:rsid w:val="009923F5"/>
    <w:rsid w:val="009B1624"/>
    <w:rsid w:val="009B1BA2"/>
    <w:rsid w:val="009B765D"/>
    <w:rsid w:val="009B7734"/>
    <w:rsid w:val="009C0E81"/>
    <w:rsid w:val="009C2434"/>
    <w:rsid w:val="009C5283"/>
    <w:rsid w:val="009C7501"/>
    <w:rsid w:val="009C7F4F"/>
    <w:rsid w:val="009D461E"/>
    <w:rsid w:val="009D5B91"/>
    <w:rsid w:val="009D7C10"/>
    <w:rsid w:val="009E2809"/>
    <w:rsid w:val="00A00A4D"/>
    <w:rsid w:val="00A11EEB"/>
    <w:rsid w:val="00A15CD0"/>
    <w:rsid w:val="00A164B2"/>
    <w:rsid w:val="00A32B99"/>
    <w:rsid w:val="00A6087E"/>
    <w:rsid w:val="00A71CFB"/>
    <w:rsid w:val="00A81F5C"/>
    <w:rsid w:val="00A83CB2"/>
    <w:rsid w:val="00A91C57"/>
    <w:rsid w:val="00A93903"/>
    <w:rsid w:val="00A96E0B"/>
    <w:rsid w:val="00A9732C"/>
    <w:rsid w:val="00A97431"/>
    <w:rsid w:val="00AA0F64"/>
    <w:rsid w:val="00AB34D3"/>
    <w:rsid w:val="00AC348B"/>
    <w:rsid w:val="00AC3DB3"/>
    <w:rsid w:val="00AC445D"/>
    <w:rsid w:val="00AC7765"/>
    <w:rsid w:val="00AC78D8"/>
    <w:rsid w:val="00AD2D9E"/>
    <w:rsid w:val="00AE3AF2"/>
    <w:rsid w:val="00AF0280"/>
    <w:rsid w:val="00AF25E4"/>
    <w:rsid w:val="00AF37A8"/>
    <w:rsid w:val="00AF3920"/>
    <w:rsid w:val="00AF6F1A"/>
    <w:rsid w:val="00B00D8F"/>
    <w:rsid w:val="00B03D6F"/>
    <w:rsid w:val="00B06732"/>
    <w:rsid w:val="00B1348C"/>
    <w:rsid w:val="00B1664E"/>
    <w:rsid w:val="00B179D2"/>
    <w:rsid w:val="00B73B55"/>
    <w:rsid w:val="00B74107"/>
    <w:rsid w:val="00B91622"/>
    <w:rsid w:val="00B965DA"/>
    <w:rsid w:val="00BA1775"/>
    <w:rsid w:val="00BA566B"/>
    <w:rsid w:val="00BA7691"/>
    <w:rsid w:val="00BA7E36"/>
    <w:rsid w:val="00BB1525"/>
    <w:rsid w:val="00BD74A9"/>
    <w:rsid w:val="00BE1113"/>
    <w:rsid w:val="00BE20DA"/>
    <w:rsid w:val="00BF3CD8"/>
    <w:rsid w:val="00C00901"/>
    <w:rsid w:val="00C01F2D"/>
    <w:rsid w:val="00C02CDF"/>
    <w:rsid w:val="00C107D0"/>
    <w:rsid w:val="00C22B75"/>
    <w:rsid w:val="00C30203"/>
    <w:rsid w:val="00C35C82"/>
    <w:rsid w:val="00C55FD4"/>
    <w:rsid w:val="00C6058C"/>
    <w:rsid w:val="00C656B3"/>
    <w:rsid w:val="00C8193D"/>
    <w:rsid w:val="00CA0E5B"/>
    <w:rsid w:val="00CB27B7"/>
    <w:rsid w:val="00CC11EA"/>
    <w:rsid w:val="00CC31C8"/>
    <w:rsid w:val="00CE3C1D"/>
    <w:rsid w:val="00CE4EFC"/>
    <w:rsid w:val="00D11C78"/>
    <w:rsid w:val="00D13EB4"/>
    <w:rsid w:val="00D16DAB"/>
    <w:rsid w:val="00D30D47"/>
    <w:rsid w:val="00D3215E"/>
    <w:rsid w:val="00D41454"/>
    <w:rsid w:val="00D46165"/>
    <w:rsid w:val="00D50486"/>
    <w:rsid w:val="00D611A8"/>
    <w:rsid w:val="00D66573"/>
    <w:rsid w:val="00D74CCF"/>
    <w:rsid w:val="00D76349"/>
    <w:rsid w:val="00D77DF3"/>
    <w:rsid w:val="00D825CC"/>
    <w:rsid w:val="00D8431D"/>
    <w:rsid w:val="00DA4B81"/>
    <w:rsid w:val="00DB16F5"/>
    <w:rsid w:val="00DB3885"/>
    <w:rsid w:val="00DB7303"/>
    <w:rsid w:val="00DC31BB"/>
    <w:rsid w:val="00DC4107"/>
    <w:rsid w:val="00DE043A"/>
    <w:rsid w:val="00DE2BC2"/>
    <w:rsid w:val="00DE52EA"/>
    <w:rsid w:val="00DE58FF"/>
    <w:rsid w:val="00DF1CAC"/>
    <w:rsid w:val="00DF29FA"/>
    <w:rsid w:val="00DF71FD"/>
    <w:rsid w:val="00E001BD"/>
    <w:rsid w:val="00E00486"/>
    <w:rsid w:val="00E00FC1"/>
    <w:rsid w:val="00E05569"/>
    <w:rsid w:val="00E12A99"/>
    <w:rsid w:val="00E13310"/>
    <w:rsid w:val="00E31BBF"/>
    <w:rsid w:val="00E411D2"/>
    <w:rsid w:val="00E44844"/>
    <w:rsid w:val="00E45201"/>
    <w:rsid w:val="00E53F70"/>
    <w:rsid w:val="00E61BE1"/>
    <w:rsid w:val="00E77E2D"/>
    <w:rsid w:val="00E807C1"/>
    <w:rsid w:val="00E81C61"/>
    <w:rsid w:val="00E87C89"/>
    <w:rsid w:val="00E945AA"/>
    <w:rsid w:val="00EA2EE2"/>
    <w:rsid w:val="00EB2C34"/>
    <w:rsid w:val="00EB55C3"/>
    <w:rsid w:val="00EB6B06"/>
    <w:rsid w:val="00EB6E44"/>
    <w:rsid w:val="00ED0E17"/>
    <w:rsid w:val="00EE1D4A"/>
    <w:rsid w:val="00EE578B"/>
    <w:rsid w:val="00EE588F"/>
    <w:rsid w:val="00EF7E60"/>
    <w:rsid w:val="00F04972"/>
    <w:rsid w:val="00F1341C"/>
    <w:rsid w:val="00F13B76"/>
    <w:rsid w:val="00F14B4A"/>
    <w:rsid w:val="00F150F8"/>
    <w:rsid w:val="00F16E0C"/>
    <w:rsid w:val="00F26835"/>
    <w:rsid w:val="00F302E0"/>
    <w:rsid w:val="00F31768"/>
    <w:rsid w:val="00F441D3"/>
    <w:rsid w:val="00F50D12"/>
    <w:rsid w:val="00F52929"/>
    <w:rsid w:val="00F67DBC"/>
    <w:rsid w:val="00F71564"/>
    <w:rsid w:val="00F939AF"/>
    <w:rsid w:val="00FA3FE5"/>
    <w:rsid w:val="00FA4663"/>
    <w:rsid w:val="00FC01D9"/>
    <w:rsid w:val="00FC24C3"/>
    <w:rsid w:val="00FC2B5C"/>
    <w:rsid w:val="00FC3F8A"/>
    <w:rsid w:val="00FC6B20"/>
    <w:rsid w:val="00FD189C"/>
    <w:rsid w:val="00FD584D"/>
    <w:rsid w:val="00FD5887"/>
    <w:rsid w:val="00FE5C5C"/>
    <w:rsid w:val="00FF3D2F"/>
    <w:rsid w:val="00FF50A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776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78"/>
    <w:pPr>
      <w:jc w:val="both"/>
    </w:pPr>
    <w:rPr>
      <w:rFonts w:ascii="Times New Roman" w:hAnsi="Times New Roman"/>
      <w:sz w:val="24"/>
      <w:szCs w:val="24"/>
    </w:rPr>
  </w:style>
  <w:style w:type="paragraph" w:styleId="Heading1">
    <w:name w:val="heading 1"/>
    <w:basedOn w:val="Normal"/>
    <w:next w:val="Normal"/>
    <w:link w:val="Heading1Char"/>
    <w:uiPriority w:val="9"/>
    <w:qFormat/>
    <w:rsid w:val="00E00F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9D7C10"/>
    <w:rPr>
      <w:rFonts w:ascii="Times New Roman" w:hAnsi="Times New Roman"/>
      <w:sz w:val="24"/>
      <w:vertAlign w:val="superscript"/>
    </w:rPr>
  </w:style>
  <w:style w:type="paragraph" w:styleId="FootnoteText">
    <w:name w:val="footnote text"/>
    <w:basedOn w:val="Normal"/>
    <w:link w:val="FootnoteTextChar"/>
    <w:autoRedefine/>
    <w:rsid w:val="00D30D47"/>
    <w:pPr>
      <w:ind w:firstLine="720"/>
    </w:pPr>
    <w:rPr>
      <w:sz w:val="20"/>
      <w:szCs w:val="20"/>
    </w:rPr>
  </w:style>
  <w:style w:type="character" w:customStyle="1" w:styleId="FootnoteTextChar">
    <w:name w:val="Footnote Text Char"/>
    <w:basedOn w:val="DefaultParagraphFont"/>
    <w:link w:val="FootnoteText"/>
    <w:rsid w:val="00D30D47"/>
    <w:rPr>
      <w:rFonts w:ascii="Times New Roman" w:hAnsi="Times New Roman"/>
    </w:rPr>
  </w:style>
  <w:style w:type="character" w:styleId="PageNumber">
    <w:name w:val="page number"/>
    <w:basedOn w:val="DefaultParagraphFont"/>
    <w:rsid w:val="007B64C3"/>
    <w:rPr>
      <w:rFonts w:ascii="Times New Roman" w:hAnsi="Times New Roman"/>
    </w:rPr>
  </w:style>
  <w:style w:type="paragraph" w:customStyle="1" w:styleId="Style2">
    <w:name w:val="Style2"/>
    <w:basedOn w:val="CommentText"/>
    <w:qFormat/>
    <w:rsid w:val="005371E0"/>
  </w:style>
  <w:style w:type="paragraph" w:styleId="CommentText">
    <w:name w:val="annotation text"/>
    <w:basedOn w:val="Normal"/>
    <w:link w:val="CommentTextChar"/>
    <w:qFormat/>
    <w:rsid w:val="00AF25E4"/>
    <w:pPr>
      <w:spacing w:line="276" w:lineRule="auto"/>
      <w:jc w:val="left"/>
    </w:pPr>
    <w:rPr>
      <w:rFonts w:ascii="Chalkboard" w:eastAsia="Arial" w:hAnsi="Chalkboard" w:cs="Arial"/>
      <w:color w:val="000000"/>
    </w:rPr>
  </w:style>
  <w:style w:type="character" w:customStyle="1" w:styleId="CommentTextChar">
    <w:name w:val="Comment Text Char"/>
    <w:basedOn w:val="DefaultParagraphFont"/>
    <w:link w:val="CommentText"/>
    <w:rsid w:val="00AF25E4"/>
    <w:rPr>
      <w:rFonts w:ascii="Chalkboard" w:eastAsia="Arial" w:hAnsi="Chalkboard" w:cs="Arial"/>
      <w:color w:val="000000"/>
      <w:sz w:val="24"/>
      <w:szCs w:val="24"/>
    </w:rPr>
  </w:style>
  <w:style w:type="paragraph" w:customStyle="1" w:styleId="Style1">
    <w:name w:val="Style1"/>
    <w:basedOn w:val="CommentText"/>
    <w:autoRedefine/>
    <w:qFormat/>
    <w:rsid w:val="007D39DE"/>
    <w:rPr>
      <w:rFonts w:eastAsia="Times New Roman" w:cs="Times New Roman"/>
      <w:sz w:val="28"/>
    </w:rPr>
  </w:style>
  <w:style w:type="paragraph" w:customStyle="1" w:styleId="Style4">
    <w:name w:val="Style4"/>
    <w:basedOn w:val="CommentText"/>
    <w:autoRedefine/>
    <w:qFormat/>
    <w:rsid w:val="005D1110"/>
    <w:rPr>
      <w:rFonts w:eastAsia="Cambria" w:cs="Times New Roman"/>
    </w:rPr>
  </w:style>
  <w:style w:type="paragraph" w:customStyle="1" w:styleId="Style5">
    <w:name w:val="Style5"/>
    <w:basedOn w:val="Normal"/>
    <w:autoRedefine/>
    <w:qFormat/>
    <w:rsid w:val="005D1110"/>
    <w:pPr>
      <w:spacing w:after="200"/>
      <w:ind w:firstLine="720"/>
      <w:contextualSpacing/>
    </w:pPr>
    <w:rPr>
      <w:rFonts w:eastAsia="Cambria" w:cs="Times New Roman"/>
      <w:vanish/>
    </w:rPr>
  </w:style>
  <w:style w:type="paragraph" w:customStyle="1" w:styleId="Style6">
    <w:name w:val="Style6"/>
    <w:basedOn w:val="FootnoteText"/>
    <w:qFormat/>
    <w:rsid w:val="00DF29FA"/>
    <w:rPr>
      <w:sz w:val="24"/>
    </w:rPr>
  </w:style>
  <w:style w:type="paragraph" w:customStyle="1" w:styleId="Style7">
    <w:name w:val="Style7"/>
    <w:basedOn w:val="FootnoteText"/>
    <w:qFormat/>
    <w:rsid w:val="00DF29FA"/>
    <w:pPr>
      <w:ind w:firstLine="360"/>
    </w:pPr>
    <w:rPr>
      <w:sz w:val="24"/>
    </w:rPr>
  </w:style>
  <w:style w:type="paragraph" w:customStyle="1" w:styleId="Style10">
    <w:name w:val="Style10"/>
    <w:basedOn w:val="FootnoteText"/>
    <w:autoRedefine/>
    <w:qFormat/>
    <w:rsid w:val="00B03D6F"/>
    <w:pPr>
      <w:ind w:firstLine="360"/>
    </w:pPr>
    <w:rPr>
      <w:sz w:val="24"/>
      <w:vertAlign w:val="superscript"/>
    </w:rPr>
  </w:style>
  <w:style w:type="paragraph" w:customStyle="1" w:styleId="Style8">
    <w:name w:val="Style8"/>
    <w:basedOn w:val="FootnoteText"/>
    <w:autoRedefine/>
    <w:qFormat/>
    <w:rsid w:val="00C30203"/>
    <w:pPr>
      <w:ind w:firstLine="216"/>
    </w:pPr>
  </w:style>
  <w:style w:type="paragraph" w:customStyle="1" w:styleId="Style17">
    <w:name w:val="Style17"/>
    <w:basedOn w:val="FootnoteText"/>
    <w:autoRedefine/>
    <w:qFormat/>
    <w:rsid w:val="00ED0E17"/>
    <w:pPr>
      <w:ind w:left="432" w:hanging="432"/>
    </w:pPr>
    <w:rPr>
      <w:sz w:val="24"/>
    </w:rPr>
  </w:style>
  <w:style w:type="paragraph" w:customStyle="1" w:styleId="Style3">
    <w:name w:val="Style3"/>
    <w:basedOn w:val="FootnoteText"/>
    <w:autoRedefine/>
    <w:qFormat/>
    <w:rsid w:val="00E45201"/>
    <w:pPr>
      <w:jc w:val="left"/>
    </w:pPr>
    <w:rPr>
      <w:rFonts w:eastAsia="Times" w:cs="Times New Roman"/>
      <w:color w:val="000000"/>
      <w:sz w:val="24"/>
    </w:rPr>
  </w:style>
  <w:style w:type="paragraph" w:customStyle="1" w:styleId="Style9">
    <w:name w:val="Style9"/>
    <w:basedOn w:val="FootnoteText"/>
    <w:autoRedefine/>
    <w:qFormat/>
    <w:rsid w:val="002D3E1B"/>
    <w:pPr>
      <w:ind w:firstLine="432"/>
    </w:pPr>
  </w:style>
  <w:style w:type="paragraph" w:styleId="BalloonText">
    <w:name w:val="Balloon Text"/>
    <w:basedOn w:val="Normal"/>
    <w:link w:val="BalloonTextChar"/>
    <w:uiPriority w:val="99"/>
    <w:semiHidden/>
    <w:unhideWhenUsed/>
    <w:rsid w:val="000D25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5D8"/>
    <w:rPr>
      <w:rFonts w:ascii="Lucida Grande" w:hAnsi="Lucida Grande" w:cs="Lucida Grande"/>
      <w:sz w:val="18"/>
      <w:szCs w:val="18"/>
    </w:rPr>
  </w:style>
  <w:style w:type="character" w:customStyle="1" w:styleId="Heading1Char">
    <w:name w:val="Heading 1 Char"/>
    <w:basedOn w:val="DefaultParagraphFont"/>
    <w:link w:val="Heading1"/>
    <w:uiPriority w:val="9"/>
    <w:rsid w:val="00E00FC1"/>
    <w:rPr>
      <w:rFonts w:asciiTheme="majorHAnsi" w:eastAsiaTheme="majorEastAsia" w:hAnsiTheme="majorHAnsi" w:cstheme="majorBidi"/>
      <w:b/>
      <w:bCs/>
      <w:color w:val="345A8A" w:themeColor="accent1" w:themeShade="B5"/>
      <w:sz w:val="32"/>
      <w:szCs w:val="32"/>
    </w:rPr>
  </w:style>
  <w:style w:type="paragraph" w:styleId="EndnoteText">
    <w:name w:val="endnote text"/>
    <w:basedOn w:val="Normal"/>
    <w:link w:val="EndnoteTextChar"/>
    <w:uiPriority w:val="99"/>
    <w:unhideWhenUsed/>
    <w:rsid w:val="000E4823"/>
  </w:style>
  <w:style w:type="character" w:customStyle="1" w:styleId="EndnoteTextChar">
    <w:name w:val="Endnote Text Char"/>
    <w:basedOn w:val="DefaultParagraphFont"/>
    <w:link w:val="EndnoteText"/>
    <w:uiPriority w:val="99"/>
    <w:rsid w:val="000E4823"/>
    <w:rPr>
      <w:rFonts w:ascii="Times New Roman" w:hAnsi="Times New Roman"/>
      <w:sz w:val="24"/>
      <w:szCs w:val="24"/>
    </w:rPr>
  </w:style>
  <w:style w:type="character" w:styleId="EndnoteReference">
    <w:name w:val="endnote reference"/>
    <w:basedOn w:val="DefaultParagraphFont"/>
    <w:uiPriority w:val="99"/>
    <w:unhideWhenUsed/>
    <w:rsid w:val="000E4823"/>
    <w:rPr>
      <w:vertAlign w:val="superscript"/>
    </w:rPr>
  </w:style>
  <w:style w:type="paragraph" w:styleId="Header">
    <w:name w:val="header"/>
    <w:basedOn w:val="Normal"/>
    <w:link w:val="HeaderChar"/>
    <w:uiPriority w:val="99"/>
    <w:unhideWhenUsed/>
    <w:rsid w:val="000E4823"/>
    <w:pPr>
      <w:tabs>
        <w:tab w:val="center" w:pos="4320"/>
        <w:tab w:val="right" w:pos="8640"/>
      </w:tabs>
    </w:pPr>
  </w:style>
  <w:style w:type="character" w:customStyle="1" w:styleId="HeaderChar">
    <w:name w:val="Header Char"/>
    <w:basedOn w:val="DefaultParagraphFont"/>
    <w:link w:val="Header"/>
    <w:uiPriority w:val="99"/>
    <w:rsid w:val="000E4823"/>
    <w:rPr>
      <w:rFonts w:ascii="Times New Roman" w:hAnsi="Times New Roman"/>
      <w:sz w:val="24"/>
      <w:szCs w:val="24"/>
    </w:rPr>
  </w:style>
  <w:style w:type="character" w:styleId="Hyperlink">
    <w:name w:val="Hyperlink"/>
    <w:basedOn w:val="DefaultParagraphFont"/>
    <w:uiPriority w:val="99"/>
    <w:unhideWhenUsed/>
    <w:rsid w:val="00F26835"/>
    <w:rPr>
      <w:color w:val="0000FF" w:themeColor="hyperlink"/>
      <w:u w:val="single"/>
    </w:rPr>
  </w:style>
  <w:style w:type="character" w:styleId="CommentReference">
    <w:name w:val="annotation reference"/>
    <w:basedOn w:val="DefaultParagraphFont"/>
    <w:uiPriority w:val="99"/>
    <w:semiHidden/>
    <w:unhideWhenUsed/>
    <w:rsid w:val="00257BD9"/>
    <w:rPr>
      <w:sz w:val="18"/>
      <w:szCs w:val="18"/>
    </w:rPr>
  </w:style>
  <w:style w:type="paragraph" w:styleId="CommentSubject">
    <w:name w:val="annotation subject"/>
    <w:basedOn w:val="CommentText"/>
    <w:next w:val="CommentText"/>
    <w:link w:val="CommentSubjectChar"/>
    <w:uiPriority w:val="99"/>
    <w:semiHidden/>
    <w:unhideWhenUsed/>
    <w:rsid w:val="00257BD9"/>
    <w:pPr>
      <w:spacing w:line="240" w:lineRule="auto"/>
      <w:jc w:val="both"/>
    </w:pPr>
    <w:rPr>
      <w:rFonts w:ascii="Times New Roman" w:eastAsiaTheme="minorEastAsia" w:hAnsi="Times New Roman" w:cstheme="minorBidi"/>
      <w:b/>
      <w:bCs/>
      <w:color w:val="auto"/>
      <w:sz w:val="20"/>
      <w:szCs w:val="20"/>
    </w:rPr>
  </w:style>
  <w:style w:type="character" w:customStyle="1" w:styleId="CommentSubjectChar">
    <w:name w:val="Comment Subject Char"/>
    <w:basedOn w:val="CommentTextChar"/>
    <w:link w:val="CommentSubject"/>
    <w:uiPriority w:val="99"/>
    <w:semiHidden/>
    <w:rsid w:val="00257BD9"/>
    <w:rPr>
      <w:rFonts w:ascii="Times New Roman" w:eastAsia="Arial" w:hAnsi="Times New Roman" w:cs="Arial"/>
      <w:b/>
      <w:b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78"/>
    <w:pPr>
      <w:jc w:val="both"/>
    </w:pPr>
    <w:rPr>
      <w:rFonts w:ascii="Times New Roman" w:hAnsi="Times New Roman"/>
      <w:sz w:val="24"/>
      <w:szCs w:val="24"/>
    </w:rPr>
  </w:style>
  <w:style w:type="paragraph" w:styleId="Heading1">
    <w:name w:val="heading 1"/>
    <w:basedOn w:val="Normal"/>
    <w:next w:val="Normal"/>
    <w:link w:val="Heading1Char"/>
    <w:uiPriority w:val="9"/>
    <w:qFormat/>
    <w:rsid w:val="00E00F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9D7C10"/>
    <w:rPr>
      <w:rFonts w:ascii="Times New Roman" w:hAnsi="Times New Roman"/>
      <w:sz w:val="24"/>
      <w:vertAlign w:val="superscript"/>
    </w:rPr>
  </w:style>
  <w:style w:type="paragraph" w:styleId="FootnoteText">
    <w:name w:val="footnote text"/>
    <w:basedOn w:val="Normal"/>
    <w:link w:val="FootnoteTextChar"/>
    <w:autoRedefine/>
    <w:rsid w:val="00D30D47"/>
    <w:pPr>
      <w:ind w:firstLine="720"/>
    </w:pPr>
    <w:rPr>
      <w:sz w:val="20"/>
      <w:szCs w:val="20"/>
    </w:rPr>
  </w:style>
  <w:style w:type="character" w:customStyle="1" w:styleId="FootnoteTextChar">
    <w:name w:val="Footnote Text Char"/>
    <w:basedOn w:val="DefaultParagraphFont"/>
    <w:link w:val="FootnoteText"/>
    <w:rsid w:val="00D30D47"/>
    <w:rPr>
      <w:rFonts w:ascii="Times New Roman" w:hAnsi="Times New Roman"/>
    </w:rPr>
  </w:style>
  <w:style w:type="character" w:styleId="PageNumber">
    <w:name w:val="page number"/>
    <w:basedOn w:val="DefaultParagraphFont"/>
    <w:rsid w:val="007B64C3"/>
    <w:rPr>
      <w:rFonts w:ascii="Times New Roman" w:hAnsi="Times New Roman"/>
    </w:rPr>
  </w:style>
  <w:style w:type="paragraph" w:customStyle="1" w:styleId="Style2">
    <w:name w:val="Style2"/>
    <w:basedOn w:val="CommentText"/>
    <w:qFormat/>
    <w:rsid w:val="005371E0"/>
  </w:style>
  <w:style w:type="paragraph" w:styleId="CommentText">
    <w:name w:val="annotation text"/>
    <w:basedOn w:val="Normal"/>
    <w:link w:val="CommentTextChar"/>
    <w:qFormat/>
    <w:rsid w:val="00AF25E4"/>
    <w:pPr>
      <w:spacing w:line="276" w:lineRule="auto"/>
      <w:jc w:val="left"/>
    </w:pPr>
    <w:rPr>
      <w:rFonts w:ascii="Chalkboard" w:eastAsia="Arial" w:hAnsi="Chalkboard" w:cs="Arial"/>
      <w:color w:val="000000"/>
    </w:rPr>
  </w:style>
  <w:style w:type="character" w:customStyle="1" w:styleId="CommentTextChar">
    <w:name w:val="Comment Text Char"/>
    <w:basedOn w:val="DefaultParagraphFont"/>
    <w:link w:val="CommentText"/>
    <w:rsid w:val="00AF25E4"/>
    <w:rPr>
      <w:rFonts w:ascii="Chalkboard" w:eastAsia="Arial" w:hAnsi="Chalkboard" w:cs="Arial"/>
      <w:color w:val="000000"/>
      <w:sz w:val="24"/>
      <w:szCs w:val="24"/>
    </w:rPr>
  </w:style>
  <w:style w:type="paragraph" w:customStyle="1" w:styleId="Style1">
    <w:name w:val="Style1"/>
    <w:basedOn w:val="CommentText"/>
    <w:autoRedefine/>
    <w:qFormat/>
    <w:rsid w:val="007D39DE"/>
    <w:rPr>
      <w:rFonts w:eastAsia="Times New Roman" w:cs="Times New Roman"/>
      <w:sz w:val="28"/>
    </w:rPr>
  </w:style>
  <w:style w:type="paragraph" w:customStyle="1" w:styleId="Style4">
    <w:name w:val="Style4"/>
    <w:basedOn w:val="CommentText"/>
    <w:autoRedefine/>
    <w:qFormat/>
    <w:rsid w:val="005D1110"/>
    <w:rPr>
      <w:rFonts w:eastAsia="Cambria" w:cs="Times New Roman"/>
    </w:rPr>
  </w:style>
  <w:style w:type="paragraph" w:customStyle="1" w:styleId="Style5">
    <w:name w:val="Style5"/>
    <w:basedOn w:val="Normal"/>
    <w:autoRedefine/>
    <w:qFormat/>
    <w:rsid w:val="005D1110"/>
    <w:pPr>
      <w:spacing w:after="200"/>
      <w:ind w:firstLine="720"/>
      <w:contextualSpacing/>
    </w:pPr>
    <w:rPr>
      <w:rFonts w:eastAsia="Cambria" w:cs="Times New Roman"/>
      <w:vanish/>
    </w:rPr>
  </w:style>
  <w:style w:type="paragraph" w:customStyle="1" w:styleId="Style6">
    <w:name w:val="Style6"/>
    <w:basedOn w:val="FootnoteText"/>
    <w:qFormat/>
    <w:rsid w:val="00DF29FA"/>
    <w:rPr>
      <w:sz w:val="24"/>
    </w:rPr>
  </w:style>
  <w:style w:type="paragraph" w:customStyle="1" w:styleId="Style7">
    <w:name w:val="Style7"/>
    <w:basedOn w:val="FootnoteText"/>
    <w:qFormat/>
    <w:rsid w:val="00DF29FA"/>
    <w:pPr>
      <w:ind w:firstLine="360"/>
    </w:pPr>
    <w:rPr>
      <w:sz w:val="24"/>
    </w:rPr>
  </w:style>
  <w:style w:type="paragraph" w:customStyle="1" w:styleId="Style10">
    <w:name w:val="Style10"/>
    <w:basedOn w:val="FootnoteText"/>
    <w:autoRedefine/>
    <w:qFormat/>
    <w:rsid w:val="00B03D6F"/>
    <w:pPr>
      <w:ind w:firstLine="360"/>
    </w:pPr>
    <w:rPr>
      <w:sz w:val="24"/>
      <w:vertAlign w:val="superscript"/>
    </w:rPr>
  </w:style>
  <w:style w:type="paragraph" w:customStyle="1" w:styleId="Style8">
    <w:name w:val="Style8"/>
    <w:basedOn w:val="FootnoteText"/>
    <w:autoRedefine/>
    <w:qFormat/>
    <w:rsid w:val="00C30203"/>
    <w:pPr>
      <w:ind w:firstLine="216"/>
    </w:pPr>
  </w:style>
  <w:style w:type="paragraph" w:customStyle="1" w:styleId="Style17">
    <w:name w:val="Style17"/>
    <w:basedOn w:val="FootnoteText"/>
    <w:autoRedefine/>
    <w:qFormat/>
    <w:rsid w:val="00ED0E17"/>
    <w:pPr>
      <w:ind w:left="432" w:hanging="432"/>
    </w:pPr>
    <w:rPr>
      <w:sz w:val="24"/>
    </w:rPr>
  </w:style>
  <w:style w:type="paragraph" w:customStyle="1" w:styleId="Style3">
    <w:name w:val="Style3"/>
    <w:basedOn w:val="FootnoteText"/>
    <w:autoRedefine/>
    <w:qFormat/>
    <w:rsid w:val="00E45201"/>
    <w:pPr>
      <w:jc w:val="left"/>
    </w:pPr>
    <w:rPr>
      <w:rFonts w:eastAsia="Times" w:cs="Times New Roman"/>
      <w:color w:val="000000"/>
      <w:sz w:val="24"/>
    </w:rPr>
  </w:style>
  <w:style w:type="paragraph" w:customStyle="1" w:styleId="Style9">
    <w:name w:val="Style9"/>
    <w:basedOn w:val="FootnoteText"/>
    <w:autoRedefine/>
    <w:qFormat/>
    <w:rsid w:val="002D3E1B"/>
    <w:pPr>
      <w:ind w:firstLine="432"/>
    </w:pPr>
  </w:style>
  <w:style w:type="paragraph" w:styleId="BalloonText">
    <w:name w:val="Balloon Text"/>
    <w:basedOn w:val="Normal"/>
    <w:link w:val="BalloonTextChar"/>
    <w:uiPriority w:val="99"/>
    <w:semiHidden/>
    <w:unhideWhenUsed/>
    <w:rsid w:val="000D25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5D8"/>
    <w:rPr>
      <w:rFonts w:ascii="Lucida Grande" w:hAnsi="Lucida Grande" w:cs="Lucida Grande"/>
      <w:sz w:val="18"/>
      <w:szCs w:val="18"/>
    </w:rPr>
  </w:style>
  <w:style w:type="character" w:customStyle="1" w:styleId="Heading1Char">
    <w:name w:val="Heading 1 Char"/>
    <w:basedOn w:val="DefaultParagraphFont"/>
    <w:link w:val="Heading1"/>
    <w:uiPriority w:val="9"/>
    <w:rsid w:val="00E00FC1"/>
    <w:rPr>
      <w:rFonts w:asciiTheme="majorHAnsi" w:eastAsiaTheme="majorEastAsia" w:hAnsiTheme="majorHAnsi" w:cstheme="majorBidi"/>
      <w:b/>
      <w:bCs/>
      <w:color w:val="345A8A" w:themeColor="accent1" w:themeShade="B5"/>
      <w:sz w:val="32"/>
      <w:szCs w:val="32"/>
    </w:rPr>
  </w:style>
  <w:style w:type="paragraph" w:styleId="EndnoteText">
    <w:name w:val="endnote text"/>
    <w:basedOn w:val="Normal"/>
    <w:link w:val="EndnoteTextChar"/>
    <w:uiPriority w:val="99"/>
    <w:unhideWhenUsed/>
    <w:rsid w:val="000E4823"/>
  </w:style>
  <w:style w:type="character" w:customStyle="1" w:styleId="EndnoteTextChar">
    <w:name w:val="Endnote Text Char"/>
    <w:basedOn w:val="DefaultParagraphFont"/>
    <w:link w:val="EndnoteText"/>
    <w:uiPriority w:val="99"/>
    <w:rsid w:val="000E4823"/>
    <w:rPr>
      <w:rFonts w:ascii="Times New Roman" w:hAnsi="Times New Roman"/>
      <w:sz w:val="24"/>
      <w:szCs w:val="24"/>
    </w:rPr>
  </w:style>
  <w:style w:type="character" w:styleId="EndnoteReference">
    <w:name w:val="endnote reference"/>
    <w:basedOn w:val="DefaultParagraphFont"/>
    <w:uiPriority w:val="99"/>
    <w:unhideWhenUsed/>
    <w:rsid w:val="000E4823"/>
    <w:rPr>
      <w:vertAlign w:val="superscript"/>
    </w:rPr>
  </w:style>
  <w:style w:type="paragraph" w:styleId="Header">
    <w:name w:val="header"/>
    <w:basedOn w:val="Normal"/>
    <w:link w:val="HeaderChar"/>
    <w:uiPriority w:val="99"/>
    <w:unhideWhenUsed/>
    <w:rsid w:val="000E4823"/>
    <w:pPr>
      <w:tabs>
        <w:tab w:val="center" w:pos="4320"/>
        <w:tab w:val="right" w:pos="8640"/>
      </w:tabs>
    </w:pPr>
  </w:style>
  <w:style w:type="character" w:customStyle="1" w:styleId="HeaderChar">
    <w:name w:val="Header Char"/>
    <w:basedOn w:val="DefaultParagraphFont"/>
    <w:link w:val="Header"/>
    <w:uiPriority w:val="99"/>
    <w:rsid w:val="000E4823"/>
    <w:rPr>
      <w:rFonts w:ascii="Times New Roman" w:hAnsi="Times New Roman"/>
      <w:sz w:val="24"/>
      <w:szCs w:val="24"/>
    </w:rPr>
  </w:style>
  <w:style w:type="character" w:styleId="Hyperlink">
    <w:name w:val="Hyperlink"/>
    <w:basedOn w:val="DefaultParagraphFont"/>
    <w:uiPriority w:val="99"/>
    <w:unhideWhenUsed/>
    <w:rsid w:val="00F26835"/>
    <w:rPr>
      <w:color w:val="0000FF" w:themeColor="hyperlink"/>
      <w:u w:val="single"/>
    </w:rPr>
  </w:style>
  <w:style w:type="character" w:styleId="CommentReference">
    <w:name w:val="annotation reference"/>
    <w:basedOn w:val="DefaultParagraphFont"/>
    <w:uiPriority w:val="99"/>
    <w:semiHidden/>
    <w:unhideWhenUsed/>
    <w:rsid w:val="00257BD9"/>
    <w:rPr>
      <w:sz w:val="18"/>
      <w:szCs w:val="18"/>
    </w:rPr>
  </w:style>
  <w:style w:type="paragraph" w:styleId="CommentSubject">
    <w:name w:val="annotation subject"/>
    <w:basedOn w:val="CommentText"/>
    <w:next w:val="CommentText"/>
    <w:link w:val="CommentSubjectChar"/>
    <w:uiPriority w:val="99"/>
    <w:semiHidden/>
    <w:unhideWhenUsed/>
    <w:rsid w:val="00257BD9"/>
    <w:pPr>
      <w:spacing w:line="240" w:lineRule="auto"/>
      <w:jc w:val="both"/>
    </w:pPr>
    <w:rPr>
      <w:rFonts w:ascii="Times New Roman" w:eastAsiaTheme="minorEastAsia" w:hAnsi="Times New Roman" w:cstheme="minorBidi"/>
      <w:b/>
      <w:bCs/>
      <w:color w:val="auto"/>
      <w:sz w:val="20"/>
      <w:szCs w:val="20"/>
    </w:rPr>
  </w:style>
  <w:style w:type="character" w:customStyle="1" w:styleId="CommentSubjectChar">
    <w:name w:val="Comment Subject Char"/>
    <w:basedOn w:val="CommentTextChar"/>
    <w:link w:val="CommentSubject"/>
    <w:uiPriority w:val="99"/>
    <w:semiHidden/>
    <w:rsid w:val="00257BD9"/>
    <w:rPr>
      <w:rFonts w:ascii="Times New Roman" w:eastAsia="Arial" w:hAnsi="Times New Roman"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88626">
      <w:bodyDiv w:val="1"/>
      <w:marLeft w:val="0"/>
      <w:marRight w:val="0"/>
      <w:marTop w:val="0"/>
      <w:marBottom w:val="0"/>
      <w:divBdr>
        <w:top w:val="none" w:sz="0" w:space="0" w:color="auto"/>
        <w:left w:val="none" w:sz="0" w:space="0" w:color="auto"/>
        <w:bottom w:val="none" w:sz="0" w:space="0" w:color="auto"/>
        <w:right w:val="none" w:sz="0" w:space="0" w:color="auto"/>
      </w:divBdr>
    </w:div>
    <w:div w:id="2023702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scholarship.bc.edu/scjr/vol1/iss1/art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8D812-C2E7-4B47-B853-E81AFA1B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15</Pages>
  <Words>3257</Words>
  <Characters>18565</Characters>
  <Application>Microsoft Macintosh Word</Application>
  <DocSecurity>0</DocSecurity>
  <Lines>154</Lines>
  <Paragraphs>43</Paragraphs>
  <ScaleCrop>false</ScaleCrop>
  <Company>Franklin &amp; Marshall College</Company>
  <LinksUpToDate>false</LinksUpToDate>
  <CharactersWithSpaces>21779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Cooper</dc:creator>
  <cp:keywords/>
  <dc:description/>
  <cp:lastModifiedBy>Stephen Cooper</cp:lastModifiedBy>
  <cp:revision>132</cp:revision>
  <cp:lastPrinted>2013-11-01T01:30:00Z</cp:lastPrinted>
  <dcterms:created xsi:type="dcterms:W3CDTF">2013-10-26T13:26:00Z</dcterms:created>
  <dcterms:modified xsi:type="dcterms:W3CDTF">2013-11-29T18:39:00Z</dcterms:modified>
</cp:coreProperties>
</file>