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Thesis</w:t>
      </w:r>
      <w:r>
        <w:t xml:space="preserve"> </w:t>
      </w:r>
      <w:r>
        <w:t xml:space="preserve">Proposal</w:t>
      </w:r>
    </w:p>
    <w:p>
      <w:pPr>
        <w:pStyle w:val="Subtitle"/>
      </w:pPr>
      <w:r>
        <w:t xml:space="preserve">Predictive</w:t>
      </w:r>
      <w:r>
        <w:t xml:space="preserve"> </w:t>
      </w:r>
      <w:r>
        <w:t xml:space="preserve">Modeling</w:t>
      </w:r>
      <w:r>
        <w:t xml:space="preserve"> </w:t>
      </w:r>
      <w:r>
        <w:t xml:space="preserve">with</w:t>
      </w:r>
      <w:r>
        <w:t xml:space="preserve"> </w:t>
      </w:r>
      <w:r>
        <w:t xml:space="preserve">Imbalanced</w:t>
      </w:r>
      <w:r>
        <w:t xml:space="preserve"> </w:t>
      </w:r>
      <w:r>
        <w:t xml:space="preserve">Data</w:t>
      </w:r>
    </w:p>
    <w:p>
      <w:pPr>
        <w:pStyle w:val="Author"/>
      </w:pPr>
      <w:r>
        <w:t xml:space="preserve">Alyssa</w:t>
      </w:r>
      <w:r>
        <w:t xml:space="preserve"> </w:t>
      </w:r>
      <w:r>
        <w:t xml:space="preserve">Forber</w:t>
      </w:r>
    </w:p>
    <w:p>
      <w:pPr>
        <w:pStyle w:val="Author"/>
      </w:pPr>
      <w:r>
        <w:t xml:space="preserve">Susan</w:t>
      </w:r>
      <w:r>
        <w:t xml:space="preserve"> </w:t>
      </w:r>
      <w:r>
        <w:t xml:space="preserve">Calcaterra,</w:t>
      </w:r>
      <w:r>
        <w:t xml:space="preserve"> </w:t>
      </w:r>
      <w:r>
        <w:t xml:space="preserve">Elizabeth</w:t>
      </w:r>
      <w:r>
        <w:t xml:space="preserve"> </w:t>
      </w:r>
      <w:r>
        <w:t xml:space="preserve">Juarez-Colunga,</w:t>
      </w:r>
      <w:r>
        <w:t xml:space="preserve"> </w:t>
      </w:r>
      <w:r>
        <w:t xml:space="preserve">Kathryn</w:t>
      </w:r>
      <w:r>
        <w:t xml:space="preserve"> </w:t>
      </w:r>
      <w:r>
        <w:t xml:space="preserve">Colborn</w:t>
      </w:r>
    </w:p>
    <w:p>
      <w:pPr>
        <w:pStyle w:val="Date"/>
      </w:pPr>
      <w:r>
        <w:t xml:space="preserve">February</w:t>
      </w:r>
      <w:r>
        <w:t xml:space="preserve"> </w:t>
      </w:r>
      <w:r>
        <w:t xml:space="preserve">07,</w:t>
      </w:r>
      <w:r>
        <w:t xml:space="preserve"> </w:t>
      </w:r>
      <w:r>
        <w:t xml:space="preserve">2018</w:t>
      </w:r>
    </w:p>
    <w:p>
      <w:pPr>
        <w:pStyle w:val="Heading2"/>
      </w:pPr>
      <w:bookmarkStart w:id="21" w:name="introduction"/>
      <w:bookmarkEnd w:id="21"/>
      <w:r>
        <w:t xml:space="preserve">Introduction</w:t>
      </w:r>
    </w:p>
    <w:p>
      <w:pPr>
        <w:pStyle w:val="FirstParagraph"/>
      </w:pPr>
      <m:oMath>
        <m:r>
          <m:t>  </m:t>
        </m:r>
      </m:oMath>
      <w:r>
        <w:t xml:space="preserve"> </w:t>
      </w:r>
      <w:r>
        <w:t xml:space="preserve">The misuse of opioids has become an increasing problem in the United States. The number of opioid related overdose deaths has continued to increase, and deaths from prescripted opioids have more than quadrupled since 1997.</w:t>
      </w:r>
      <w:r>
        <w:rPr>
          <w:rStyle w:val="FootnoteReference"/>
        </w:rPr>
        <w:footnoteReference w:id="22"/>
      </w:r>
      <w:r>
        <w:t xml:space="preserve"> </w:t>
      </w:r>
      <w:r>
        <w:t xml:space="preserve">In 2015 alone there were 20,101 overdose deaths related to prescription opioids and 12,990 overdose deaths related to heroin.</w:t>
      </w:r>
      <w:r>
        <w:rPr>
          <w:rStyle w:val="FootnoteReference"/>
        </w:rPr>
        <w:footnoteReference w:id="24"/>
      </w:r>
      <w:r>
        <w:t xml:space="preserve"> </w:t>
      </w:r>
      <w:r>
        <w:t xml:space="preserve">Due to all this, the need to identify patients at increase risk for opioid abuse is immediate.</w:t>
      </w:r>
    </w:p>
    <w:p>
      <w:pPr>
        <w:pStyle w:val="BodyText"/>
      </w:pPr>
      <w:r>
        <w:t xml:space="preserve">**Need to differentiate between opioid addiction and chronic opioid therapy-- we are looking at COT and need to explain why that is important</w:t>
      </w:r>
      <w:r>
        <w:t xml:space="preserve"> </w:t>
      </w:r>
      <w:r>
        <w:t xml:space="preserve">*Mention "adhered to the Transparent Reporting of a multivariable prediction model for Individual Prognosis or Diagnosis (TRIPOD) statement on reporting predictive models."</w:t>
      </w:r>
    </w:p>
    <w:p>
      <w:pPr>
        <w:pStyle w:val="BodyText"/>
      </w:pPr>
      <m:oMath>
        <m:r>
          <m:t>  </m:t>
        </m:r>
      </m:oMath>
      <w:r>
        <w:t xml:space="preserve"> </w:t>
      </w:r>
      <w:r>
        <w:t xml:space="preserve">This issue now presents a statistical problem, as this is a rare outcome which makes prediction more challenging. Predictive modeling with imbalanced data has been found to report low sensitivity. Many people have tried to combat this issue in the past. Other researches have attempted to fix the issue of over fitting with shrinkage methods like ridge regression or lasso</w:t>
      </w:r>
      <w:r>
        <w:rPr>
          <w:rStyle w:val="FootnoteReference"/>
        </w:rPr>
        <w:footnoteReference w:id="26"/>
      </w:r>
      <w:r>
        <w:t xml:space="preserve">, random forests</w:t>
      </w:r>
      <w:r>
        <w:rPr>
          <w:rStyle w:val="FootnoteReference"/>
        </w:rPr>
        <w:footnoteReference w:id="27"/>
      </w:r>
      <w:r>
        <w:t xml:space="preserve">, as well as many sampling techniques</w:t>
      </w:r>
      <w:r>
        <w:rPr>
          <w:rStyle w:val="FootnoteReference"/>
        </w:rPr>
        <w:footnoteReference w:id="28"/>
      </w:r>
      <w:r>
        <w:t xml:space="preserve"> </w:t>
      </w:r>
      <w:r>
        <w:t xml:space="preserve">and adjusting probability cut-points.</w:t>
      </w:r>
      <w:r>
        <w:rPr>
          <w:rStyle w:val="FootnoteReference"/>
        </w:rPr>
        <w:footnoteReference w:id="29"/>
      </w:r>
      <w:r>
        <w:t xml:space="preserve"> </w:t>
      </w:r>
      <w:r>
        <w:t xml:space="preserve">However, no one has yet explored the trade offs of probability cut-points and sampling methods, which is what we desired to do in this analysis to achieve the best prediction. We sought to identify patients at risk for chronic opioid therapy using several different approaches to optimize probability cut-points and sample the data in order to compare and contrast the predictive performance of these imbalanced data techniques.</w:t>
      </w:r>
    </w:p>
    <w:p>
      <w:pPr>
        <w:pStyle w:val="Heading2"/>
      </w:pPr>
      <w:bookmarkStart w:id="30" w:name="methods"/>
      <w:bookmarkEnd w:id="30"/>
      <w:r>
        <w:t xml:space="preserve">Methods</w:t>
      </w:r>
    </w:p>
    <w:p>
      <w:pPr>
        <w:pStyle w:val="Heading3"/>
      </w:pPr>
      <w:bookmarkStart w:id="31" w:name="data"/>
      <w:bookmarkEnd w:id="31"/>
      <w:r>
        <w:t xml:space="preserve">Data</w:t>
      </w:r>
    </w:p>
    <w:p>
      <w:pPr>
        <w:pStyle w:val="FirstParagraph"/>
      </w:pPr>
      <m:oMath>
        <m:r>
          <m:t>  </m:t>
        </m:r>
      </m:oMath>
      <w:r>
        <w:t xml:space="preserve"> </w:t>
      </w:r>
      <w:r>
        <w:t xml:space="preserve">To illustrate this issue, we are using electronic health record data from Denver Health from the years 2008 to 2014 of patients for patients with chronic opioid therapy (COT). This is an urban, safety-net hospital. Five percent of the 27,705 patients were reported with the outcome, which was defined as receipt of</w:t>
      </w:r>
      <w:r>
        <w:t xml:space="preserve"> </w:t>
      </w:r>
      <m:oMath>
        <m:r>
          <m:t>≥</m:t>
        </m:r>
      </m:oMath>
      <w:r>
        <w:t xml:space="preserve"> </w:t>
      </w:r>
      <w:r>
        <w:t xml:space="preserve">90-day supply of opioids with &lt; 30-day gap in supply over a 180-day period or receipt of</w:t>
      </w:r>
      <w:r>
        <w:t xml:space="preserve"> </w:t>
      </w:r>
      <m:oMath>
        <m:r>
          <m:t>≥</m:t>
        </m:r>
      </m:oMath>
      <w:r>
        <w:t xml:space="preserve"> </w:t>
      </w:r>
      <w:r>
        <w:t xml:space="preserve">10 opioid prescriptions over one year. The data also contained demographic information on the patient including age, race, gender, history of chronic pain, and length of hospital stay.</w:t>
      </w:r>
    </w:p>
    <w:p>
      <w:pPr>
        <w:pStyle w:val="Heading3"/>
      </w:pPr>
      <w:bookmarkStart w:id="32" w:name="statistical-methods"/>
      <w:bookmarkEnd w:id="32"/>
      <w:r>
        <w:t xml:space="preserve">Statistical Methods</w:t>
      </w:r>
    </w:p>
    <w:p>
      <w:pPr>
        <w:pStyle w:val="FirstParagraph"/>
      </w:pPr>
      <m:oMath>
        <m:r>
          <m:t>  </m:t>
        </m:r>
      </m:oMath>
      <w:r>
        <w:t xml:space="preserve"> </w:t>
      </w:r>
      <w:r>
        <w:t xml:space="preserve">The analysis was done in RStudio version 1.1.383. We used a roughly 2/3rd temporal split of the data to create training and testing datasets, where years 2008-2011 were used to train (65%), and 2012-2014 were used to test (35%). The predictors were narrowed from 50 to 35 based on clinical relevance. The model used for this analysis was cross validated lasso regression.</w:t>
      </w:r>
      <w:r>
        <w:rPr>
          <w:rStyle w:val="FootnoteReference"/>
        </w:rPr>
        <w:footnoteReference w:id="33"/>
      </w:r>
      <w:r>
        <w:rPr>
          <w:rStyle w:val="FootnoteReference"/>
        </w:rPr>
        <w:footnoteReference w:id="34"/>
      </w:r>
      <w:r>
        <w:t xml:space="preserve"> </w:t>
      </w:r>
      <w:r>
        <w:t xml:space="preserve">This was chosen as it has been found to perform better predictor selection than stepwise selection, and as we were not interested in having interpretable coefficients.</w:t>
      </w:r>
    </w:p>
    <w:p>
      <w:pPr>
        <w:pStyle w:val="BodyText"/>
      </w:pPr>
      <m:oMath>
        <m:r>
          <m:t>  </m:t>
        </m:r>
      </m:oMath>
      <w:r>
        <w:t xml:space="preserve"> </w:t>
      </w:r>
      <w:r>
        <w:t xml:space="preserve">As a comparison, we first evaluated the prediction performance of the dataset without sampling to see the effects of the imbalanced data on the accuracy, sensitivity, and specificity. This was to serve as a baseline to compare with the techniques available to mitigate the issue of poor sensitivity. The predicted probability cut-point used here was rounding at the standard 0.5 that would be appropriate in balanced datasets.</w:t>
      </w:r>
    </w:p>
    <w:p>
      <w:pPr>
        <w:pStyle w:val="BodyText"/>
      </w:pPr>
      <m:oMath>
        <m:r>
          <m:t>  </m:t>
        </m:r>
      </m:oMath>
      <w:r>
        <w:t xml:space="preserve"> </w:t>
      </w:r>
      <w:r>
        <w:t xml:space="preserve">The first approach used to improve performance was choosing a more informed probability cut-point for the data. This was done using the Youden Index</w:t>
      </w:r>
      <w:r>
        <w:rPr>
          <w:rStyle w:val="FootnoteReference"/>
        </w:rPr>
        <w:footnoteReference w:id="35"/>
      </w:r>
      <w:r>
        <w:t xml:space="preserve">, which finds the maximum of the receiver operating characteristic (ROC) curve</w:t>
      </w:r>
      <w:r>
        <w:rPr>
          <w:rStyle w:val="FootnoteReference"/>
        </w:rPr>
        <w:footnoteReference w:id="36"/>
      </w:r>
      <w:r>
        <w:t xml:space="preserve"> </w:t>
      </w:r>
      <w:r>
        <w:t xml:space="preserve">with the pROC package. The second approach was through sampling the dataset. Three types of sampling methods were compared--down sampling, up sampling, and Synthetic Minority Over-sampling Technique (SMOTE)</w:t>
      </w:r>
      <w:r>
        <w:rPr>
          <w:rStyle w:val="FootnoteReference"/>
        </w:rPr>
        <w:footnoteReference w:id="37"/>
      </w:r>
      <w:r>
        <w:t xml:space="preserve">. Down sampling takes a random sample from the majority class, in this case those who are not classified as having chronic opioid therapy, in order to match the size of the minority class. Up sampling does the reverse to take random samples of the minority class in order to match the majority. SMOTE combines sampling both from the majority and minority, but instead of taking identical copies of the minority it creates synthetic observations using nearest neighbors. For each of the three sampling techniques, the standard 0.5 probability cut-point was used, and the cut-point was optimized using the Youden Index for comparison.</w:t>
      </w:r>
    </w:p>
    <w:p>
      <w:pPr>
        <w:pStyle w:val="Heading2"/>
      </w:pPr>
      <w:bookmarkStart w:id="38" w:name="results"/>
      <w:bookmarkEnd w:id="38"/>
      <w:r>
        <w:t xml:space="preserve">Results</w:t>
      </w:r>
    </w:p>
    <w:p>
      <w:pPr>
        <w:pStyle w:val="FirstParagraph"/>
      </w:pPr>
      <m:oMath>
        <m:r>
          <m:t>  </m:t>
        </m:r>
      </m:oMath>
      <w:r>
        <w:t xml:space="preserve"> </w:t>
      </w:r>
      <w:r>
        <w:t xml:space="preserve">As expected, without using an optimized cut-point or sampling technique, the sensitivity of the model was extremely poor at 8%, with high specificity and accuracy (99% and 96%). Simply choosing a more informed probability cut-point at 0.043 instead of 0.5 improved the sensitivity to 85% and brought the specificity down to 73%. This cut-point is intuitive as the outcome is present at 5% in the dataset, which would be consistent with a 0.5 cutoff in a evenly split dataset. The up and down sampled datasets both showed the same improved sensitivity with Youden index for probability cut-points at about 0.4, also with close specificities of 74 and 73%. SMOTE on the other hand, resulted in 74% sensitivity and 84% specificity. However, there were improvements in accuracy for SMOTE at 86% as compared to the other three approaches, which had accuracies at 86-87%. When using the standard 0.5 cut-point for up and down sampling, the accuracy improved from 74% to 82 and 81%, while the values for sensitivity and specificity stayed high but reversed in magnitude with specificities in the 70 percent range and sensitivities in the 80s.</w:t>
      </w:r>
    </w:p>
    <w:p>
      <w:pPr>
        <w:pStyle w:val="BodyText"/>
      </w:pPr>
      <m:oMath>
        <m:r>
          <m:t>  </m:t>
        </m:r>
      </m:oMath>
      <w:r>
        <w:t xml:space="preserve"> </w:t>
      </w:r>
      <w:r>
        <w:t xml:space="preserve">There was no change to the negative predicted value across the approaches, and a decrease in positive predicted value. In terms of the ROC analysis, the area under of the curve for each approach was about the same at 86-87%. See Table 1 for full results for the cut-point, sensitivity, specificity, accuracy, negative predicted value, positive predicted value, and area under the curve.</w:t>
      </w:r>
    </w:p>
    <w:p>
      <w:pPr>
        <w:pStyle w:val="Heading2"/>
      </w:pPr>
      <w:bookmarkStart w:id="39" w:name="conclusions"/>
      <w:bookmarkEnd w:id="39"/>
      <w:r>
        <w:t xml:space="preserve">Conclusions</w:t>
      </w:r>
    </w:p>
    <w:p>
      <w:pPr>
        <w:pStyle w:val="FirstParagraph"/>
      </w:pPr>
      <m:oMath>
        <m:r>
          <m:t>  </m:t>
        </m:r>
      </m:oMath>
      <w:r>
        <w:t xml:space="preserve"> </w:t>
      </w:r>
      <w:r>
        <w:t xml:space="preserve">Both sampling and optimizing probability cutpoints, alone and combined, improved the predicted sensitivity drastically. There was not a distinguishable difference between over and under sampling for either approach, while the SMOTE algorithm appeared to give lower sensitivity than the other two sampling techniques. In addition, using the Youden index resulted in very similar results as to when the Youden index was used in conjunction with sampling. This may suggest that using both sampling and an informed cut-point at the same time is not necessary, since equivalent predictive performance is seen with the Youden index alone.</w:t>
      </w:r>
    </w:p>
    <w:p>
      <w:pPr>
        <w:pStyle w:val="BodyText"/>
      </w:pPr>
      <m:oMath>
        <m:r>
          <m:t>  </m:t>
        </m:r>
      </m:oMath>
      <w:r>
        <w:t xml:space="preserve"> </w:t>
      </w:r>
      <w:r>
        <w:t xml:space="preserve">Moreover, the decision as to what approach to use is largely influenced by the circumstances of the problem. In some cases it may be more important to have a higher sensitivity than specificity, or vice versa. It may come down to the clinician's decision to have a threshold of sensitivity that is needed. As it can be a case by case choice with many trade offs, no one method is recommended above the others.</w:t>
      </w:r>
    </w:p>
    <w:p>
      <w:pPr>
        <w:pStyle w:val="BodyText"/>
      </w:pPr>
      <m:oMath>
        <m:r>
          <m:t>  </m:t>
        </m:r>
      </m:oMath>
      <w:r>
        <w:t xml:space="preserve"> </w:t>
      </w:r>
      <w:r>
        <w:t xml:space="preserve">To expand upon this analysis, we plan to implement a simulation that explores predictive performance of these models at different rarities for the outcome. This is to get a better idea of how they perform in other circumstances as well as see when these techniques are no longer needed because the imbalance does not affect model performance. We also plan to implement bootstrap aggregating, also known as bagging. This model averaging approach will hopefully improve the stability and accuracy of our models. Lastly, other sampling or optimized probability cut-point techniques that are found to be promising may be incorporated into the analysis.</w:t>
      </w:r>
    </w:p>
    <w:p>
      <w:pPr>
        <w:pStyle w:val="FigureWithCaption"/>
      </w:pPr>
      <w:r>
        <w:drawing>
          <wp:inline>
            <wp:extent cx="5334000" cy="4693166"/>
            <wp:effectExtent b="0" l="0" r="0" t="0"/>
            <wp:docPr descr="ROC for Unsampled Data: Younden and 0.5 cutoffs" title="" id="1" name="Picture"/>
            <a:graphic>
              <a:graphicData uri="http://schemas.openxmlformats.org/drawingml/2006/picture">
                <pic:pic>
                  <pic:nvPicPr>
                    <pic:cNvPr descr="/Users/alyssaforber/Box%20Sync/AlyssaKatieResearch/Opioids/Results/LassROCplot.png" id="0" name="Picture"/>
                    <pic:cNvPicPr>
                      <a:picLocks noChangeArrowheads="1" noChangeAspect="1"/>
                    </pic:cNvPicPr>
                  </pic:nvPicPr>
                  <pic:blipFill>
                    <a:blip r:embed="rId40"/>
                    <a:stretch>
                      <a:fillRect/>
                    </a:stretch>
                  </pic:blipFill>
                  <pic:spPr bwMode="auto">
                    <a:xfrm>
                      <a:off x="0" y="0"/>
                      <a:ext cx="5334000" cy="4693166"/>
                    </a:xfrm>
                    <a:prstGeom prst="rect">
                      <a:avLst/>
                    </a:prstGeom>
                    <a:noFill/>
                    <a:ln w="9525">
                      <a:noFill/>
                      <a:headEnd/>
                      <a:tailEnd/>
                    </a:ln>
                  </pic:spPr>
                </pic:pic>
              </a:graphicData>
            </a:graphic>
          </wp:inline>
        </w:drawing>
      </w:r>
    </w:p>
    <w:p>
      <w:pPr>
        <w:pStyle w:val="ImageCaption"/>
      </w:pPr>
      <w:r>
        <w:t xml:space="preserve">ROC for Unsampled Data: Younden and 0.5 cutoffs</w:t>
      </w:r>
    </w:p>
    <w:p>
      <w:pPr>
        <w:pStyle w:val="Heading2"/>
      </w:pPr>
      <w:bookmarkStart w:id="41" w:name="appendix"/>
      <w:bookmarkEnd w:id="41"/>
      <w:r>
        <w:t xml:space="preserve">Appendix</w:t>
      </w:r>
    </w:p>
    <w:tbl>
      <w:tblPr>
        <w:tblStyle w:val="TableNormal"/>
        <w:tblW w:type="pct" w:w="4999.999999999999"/>
        <w:tblLook w:firstRow="1"/>
      </w:tblPr>
      <w:tblGrid>
        <w:gridCol w:w="3895"/>
        <w:gridCol w:w="1038"/>
        <w:gridCol w:w="1168"/>
        <w:gridCol w:w="1168"/>
        <w:gridCol w:w="649"/>
      </w:tblGrid>
      <w:tr>
        <w:trPr>
          <w:cnfStyle w:firstRow="1"/>
        </w:trPr>
        <w:tc>
          <w:tcPr>
            <w:tcBorders>
              <w:bottom w:val="single"/>
            </w:tcBorders>
            <w:vAlign w:val="bottom"/>
          </w:tcPr>
          <w:p>
            <w:pPr>
              <w:pStyle w:val="Compact"/>
            </w:pPr>
          </w:p>
        </w:tc>
        <w:tc>
          <w:tcPr>
            <w:tcBorders>
              <w:bottom w:val="single"/>
            </w:tcBorders>
            <w:vAlign w:val="bottom"/>
          </w:tcPr>
          <w:p>
            <w:pPr>
              <w:pStyle w:val="Compact"/>
            </w:pPr>
          </w:p>
        </w:tc>
        <w:tc>
          <w:tcPr>
            <w:tcBorders>
              <w:bottom w:val="single"/>
            </w:tcBorders>
            <w:vAlign w:val="bottom"/>
          </w:tcPr>
          <w:p>
            <w:pPr>
              <w:pStyle w:val="Compact"/>
              <w:jc w:val="left"/>
            </w:pPr>
            <w:r>
              <w:t xml:space="preserve">Chronic Opioid Use</w:t>
            </w:r>
          </w:p>
        </w:tc>
        <w:tc>
          <w:tcPr>
            <w:tcBorders>
              <w:bottom w:val="single"/>
            </w:tcBorders>
            <w:vAlign w:val="bottom"/>
          </w:tcPr>
          <w:p>
            <w:pPr>
              <w:pStyle w:val="Compact"/>
            </w:pPr>
          </w:p>
        </w:tc>
        <w:tc>
          <w:tcPr>
            <w:tcBorders>
              <w:bottom w:val="single"/>
            </w:tcBorders>
            <w:vAlign w:val="bottom"/>
          </w:tcPr>
          <w:p>
            <w:pPr>
              <w:pStyle w:val="Compact"/>
              <w:jc w:val="left"/>
            </w:pPr>
            <w:r>
              <w:t xml:space="preserve">P-Value</w:t>
            </w:r>
          </w:p>
        </w:tc>
      </w:tr>
      <w:tr>
        <w:tc>
          <w:p>
            <w:pPr>
              <w:pStyle w:val="Compact"/>
            </w:pPr>
          </w:p>
        </w:tc>
        <w:tc>
          <w:p>
            <w:pPr>
              <w:pStyle w:val="Compact"/>
              <w:jc w:val="left"/>
            </w:pPr>
            <w:r>
              <w:t xml:space="preserve">Total</w:t>
            </w:r>
          </w:p>
        </w:tc>
        <w:tc>
          <w:p>
            <w:pPr>
              <w:pStyle w:val="Compact"/>
              <w:jc w:val="left"/>
            </w:pPr>
            <w:r>
              <w:t xml:space="preserve">Yes</w:t>
            </w:r>
          </w:p>
        </w:tc>
        <w:tc>
          <w:p>
            <w:pPr>
              <w:pStyle w:val="Compact"/>
              <w:jc w:val="left"/>
            </w:pPr>
            <w:r>
              <w:t xml:space="preserve">No</w:t>
            </w:r>
          </w:p>
        </w:tc>
        <w:tc>
          <w:p>
            <w:pPr>
              <w:pStyle w:val="Compact"/>
            </w:pPr>
          </w:p>
        </w:tc>
      </w:tr>
      <w:tr>
        <w:tc>
          <w:p>
            <w:pPr>
              <w:pStyle w:val="Compact"/>
            </w:pPr>
          </w:p>
        </w:tc>
        <w:tc>
          <w:p>
            <w:pPr>
              <w:pStyle w:val="Compact"/>
              <w:jc w:val="left"/>
            </w:pPr>
            <w:r>
              <w:t xml:space="preserve">(N=27,705)</w:t>
            </w:r>
          </w:p>
        </w:tc>
        <w:tc>
          <w:p>
            <w:pPr>
              <w:pStyle w:val="Compact"/>
              <w:jc w:val="left"/>
            </w:pPr>
            <w:r>
              <w:t xml:space="preserve">(N=1,457)</w:t>
            </w:r>
          </w:p>
        </w:tc>
        <w:tc>
          <w:p>
            <w:pPr>
              <w:pStyle w:val="Compact"/>
              <w:jc w:val="left"/>
            </w:pPr>
            <w:r>
              <w:t xml:space="preserve">(N=26,248)</w:t>
            </w:r>
          </w:p>
        </w:tc>
        <w:tc>
          <w:p>
            <w:pPr>
              <w:pStyle w:val="Compact"/>
            </w:pPr>
          </w:p>
        </w:tc>
      </w:tr>
      <w:tr>
        <w:tc>
          <w:p>
            <w:pPr>
              <w:pStyle w:val="Compact"/>
              <w:jc w:val="left"/>
            </w:pPr>
            <w:r>
              <w:t xml:space="preserve">Gender, n (%)</w:t>
            </w:r>
          </w:p>
        </w:tc>
        <w:tc>
          <w:p>
            <w:pPr>
              <w:pStyle w:val="Compact"/>
            </w:pPr>
          </w:p>
        </w:tc>
        <w:tc>
          <w:p>
            <w:pPr>
              <w:pStyle w:val="Compact"/>
            </w:pPr>
          </w:p>
        </w:tc>
        <w:tc>
          <w:p>
            <w:pPr>
              <w:pStyle w:val="Compact"/>
            </w:pPr>
          </w:p>
        </w:tc>
        <w:tc>
          <w:p>
            <w:pPr>
              <w:pStyle w:val="Compact"/>
            </w:pPr>
          </w:p>
        </w:tc>
      </w:tr>
      <w:tr>
        <w:tc>
          <w:p>
            <w:pPr>
              <w:pStyle w:val="Compact"/>
              <w:jc w:val="left"/>
            </w:pPr>
            <w:r>
              <w:t xml:space="preserve">Female</w:t>
            </w:r>
          </w:p>
        </w:tc>
        <w:tc>
          <w:p>
            <w:pPr>
              <w:pStyle w:val="Compact"/>
              <w:jc w:val="left"/>
            </w:pPr>
            <w:r>
              <w:t xml:space="preserve">12,933 (46.7)</w:t>
            </w:r>
          </w:p>
        </w:tc>
        <w:tc>
          <w:p>
            <w:pPr>
              <w:pStyle w:val="Compact"/>
              <w:jc w:val="left"/>
            </w:pPr>
            <w:r>
              <w:t xml:space="preserve">652 (44.7)</w:t>
            </w:r>
          </w:p>
        </w:tc>
        <w:tc>
          <w:p>
            <w:pPr>
              <w:pStyle w:val="Compact"/>
              <w:jc w:val="left"/>
            </w:pPr>
            <w:r>
              <w:t xml:space="preserve">12,281 (46.8)</w:t>
            </w:r>
          </w:p>
        </w:tc>
        <w:tc>
          <w:p>
            <w:pPr>
              <w:pStyle w:val="Compact"/>
              <w:jc w:val="left"/>
            </w:pPr>
            <w:r>
              <w:t xml:space="preserve">0.13</w:t>
            </w:r>
          </w:p>
        </w:tc>
      </w:tr>
      <w:tr>
        <w:tc>
          <w:p>
            <w:pPr>
              <w:pStyle w:val="Compact"/>
              <w:jc w:val="left"/>
            </w:pPr>
            <w:r>
              <w:t xml:space="preserve">Race, n (%)</w:t>
            </w:r>
          </w:p>
        </w:tc>
        <w:tc>
          <w:p>
            <w:pPr>
              <w:pStyle w:val="Compact"/>
            </w:pPr>
          </w:p>
        </w:tc>
        <w:tc>
          <w:p>
            <w:pPr>
              <w:pStyle w:val="Compact"/>
            </w:pPr>
          </w:p>
        </w:tc>
        <w:tc>
          <w:p>
            <w:pPr>
              <w:pStyle w:val="Compact"/>
            </w:pPr>
          </w:p>
        </w:tc>
        <w:tc>
          <w:p>
            <w:pPr>
              <w:pStyle w:val="Compact"/>
            </w:pPr>
          </w:p>
        </w:tc>
      </w:tr>
      <w:tr>
        <w:tc>
          <w:p>
            <w:pPr>
              <w:pStyle w:val="Compact"/>
              <w:jc w:val="left"/>
            </w:pPr>
            <w:r>
              <w:t xml:space="preserve">Hispanic</w:t>
            </w:r>
          </w:p>
        </w:tc>
        <w:tc>
          <w:p>
            <w:pPr>
              <w:pStyle w:val="Compact"/>
              <w:jc w:val="left"/>
            </w:pPr>
            <w:r>
              <w:t xml:space="preserve">10,798 (39.0)</w:t>
            </w:r>
          </w:p>
        </w:tc>
        <w:tc>
          <w:p>
            <w:pPr>
              <w:pStyle w:val="Compact"/>
              <w:jc w:val="left"/>
            </w:pPr>
            <w:r>
              <w:t xml:space="preserve">580 (39.8)</w:t>
            </w:r>
          </w:p>
        </w:tc>
        <w:tc>
          <w:p>
            <w:pPr>
              <w:pStyle w:val="Compact"/>
              <w:jc w:val="left"/>
            </w:pPr>
            <w:r>
              <w:t xml:space="preserve">10,218 (38.9)</w:t>
            </w:r>
          </w:p>
        </w:tc>
        <w:tc>
          <w:p>
            <w:pPr>
              <w:pStyle w:val="Compact"/>
              <w:jc w:val="left"/>
            </w:pPr>
            <w:r>
              <w:t xml:space="preserve">0.01</w:t>
            </w:r>
          </w:p>
        </w:tc>
      </w:tr>
      <w:tr>
        <w:tc>
          <w:p>
            <w:pPr>
              <w:pStyle w:val="Compact"/>
              <w:jc w:val="left"/>
            </w:pPr>
            <w:r>
              <w:t xml:space="preserve">Non-Hispanic White</w:t>
            </w:r>
          </w:p>
        </w:tc>
        <w:tc>
          <w:p>
            <w:pPr>
              <w:pStyle w:val="Compact"/>
              <w:jc w:val="left"/>
            </w:pPr>
            <w:r>
              <w:t xml:space="preserve">10,645 (38.4)</w:t>
            </w:r>
          </w:p>
        </w:tc>
        <w:tc>
          <w:p>
            <w:pPr>
              <w:pStyle w:val="Compact"/>
              <w:jc w:val="left"/>
            </w:pPr>
            <w:r>
              <w:t xml:space="preserve">555 (38.1)</w:t>
            </w:r>
          </w:p>
        </w:tc>
        <w:tc>
          <w:p>
            <w:pPr>
              <w:pStyle w:val="Compact"/>
              <w:jc w:val="left"/>
            </w:pPr>
            <w:r>
              <w:t xml:space="preserve">10,090 (38.4)</w:t>
            </w:r>
          </w:p>
        </w:tc>
        <w:tc>
          <w:p>
            <w:pPr>
              <w:pStyle w:val="Compact"/>
            </w:pPr>
          </w:p>
        </w:tc>
      </w:tr>
      <w:tr>
        <w:tc>
          <w:p>
            <w:pPr>
              <w:pStyle w:val="Compact"/>
              <w:jc w:val="left"/>
            </w:pPr>
            <w:r>
              <w:t xml:space="preserve">African American</w:t>
            </w:r>
          </w:p>
        </w:tc>
        <w:tc>
          <w:p>
            <w:pPr>
              <w:pStyle w:val="Compact"/>
              <w:jc w:val="left"/>
            </w:pPr>
            <w:r>
              <w:t xml:space="preserve">4,842 (17.5)</w:t>
            </w:r>
          </w:p>
        </w:tc>
        <w:tc>
          <w:p>
            <w:pPr>
              <w:pStyle w:val="Compact"/>
              <w:jc w:val="left"/>
            </w:pPr>
            <w:r>
              <w:t xml:space="preserve">273 (18.7)</w:t>
            </w:r>
          </w:p>
        </w:tc>
        <w:tc>
          <w:p>
            <w:pPr>
              <w:pStyle w:val="Compact"/>
              <w:jc w:val="left"/>
            </w:pPr>
            <w:r>
              <w:t xml:space="preserve">4,569 (17.4)</w:t>
            </w:r>
          </w:p>
        </w:tc>
        <w:tc>
          <w:p>
            <w:pPr>
              <w:pStyle w:val="Compact"/>
            </w:pPr>
          </w:p>
        </w:tc>
      </w:tr>
      <w:tr>
        <w:tc>
          <w:p>
            <w:pPr>
              <w:pStyle w:val="Compact"/>
              <w:jc w:val="left"/>
            </w:pPr>
            <w:r>
              <w:t xml:space="preserve">Other or Unknown</w:t>
            </w:r>
          </w:p>
        </w:tc>
        <w:tc>
          <w:p>
            <w:pPr>
              <w:pStyle w:val="Compact"/>
              <w:jc w:val="left"/>
            </w:pPr>
            <w:r>
              <w:t xml:space="preserve">1,420 (5.1)</w:t>
            </w:r>
          </w:p>
        </w:tc>
        <w:tc>
          <w:p>
            <w:pPr>
              <w:pStyle w:val="Compact"/>
              <w:jc w:val="left"/>
            </w:pPr>
            <w:r>
              <w:t xml:space="preserve">49 (3.4)</w:t>
            </w:r>
          </w:p>
        </w:tc>
        <w:tc>
          <w:p>
            <w:pPr>
              <w:pStyle w:val="Compact"/>
              <w:jc w:val="left"/>
            </w:pPr>
            <w:r>
              <w:t xml:space="preserve">1,371 (5.2)</w:t>
            </w:r>
          </w:p>
        </w:tc>
        <w:tc>
          <w:p>
            <w:pPr>
              <w:pStyle w:val="Compact"/>
            </w:pPr>
          </w:p>
        </w:tc>
      </w:tr>
      <w:tr>
        <w:tc>
          <w:p>
            <w:pPr>
              <w:pStyle w:val="Compact"/>
              <w:jc w:val="left"/>
            </w:pPr>
            <w:r>
              <w:t xml:space="preserve">Age at Index Admission (Years), n (%)</w:t>
            </w:r>
          </w:p>
        </w:tc>
        <w:tc>
          <w:p>
            <w:pPr>
              <w:pStyle w:val="Compact"/>
            </w:pPr>
          </w:p>
        </w:tc>
        <w:tc>
          <w:p>
            <w:pPr>
              <w:pStyle w:val="Compact"/>
            </w:pPr>
          </w:p>
        </w:tc>
        <w:tc>
          <w:p>
            <w:pPr>
              <w:pStyle w:val="Compact"/>
            </w:pPr>
          </w:p>
        </w:tc>
        <w:tc>
          <w:p>
            <w:pPr>
              <w:pStyle w:val="Compact"/>
            </w:pPr>
          </w:p>
        </w:tc>
      </w:tr>
      <w:tr>
        <w:tc>
          <w:p>
            <w:pPr>
              <w:pStyle w:val="Compact"/>
              <w:jc w:val="left"/>
            </w:pPr>
            <w:r>
              <w:t xml:space="preserve">15-&lt;35</w:t>
            </w:r>
          </w:p>
        </w:tc>
        <w:tc>
          <w:p>
            <w:pPr>
              <w:pStyle w:val="Compact"/>
              <w:jc w:val="left"/>
            </w:pPr>
            <w:r>
              <w:t xml:space="preserve">6,017 (21.7)</w:t>
            </w:r>
          </w:p>
        </w:tc>
        <w:tc>
          <w:p>
            <w:pPr>
              <w:pStyle w:val="Compact"/>
              <w:jc w:val="left"/>
            </w:pPr>
            <w:r>
              <w:t xml:space="preserve">150 (10.3)</w:t>
            </w:r>
          </w:p>
        </w:tc>
        <w:tc>
          <w:p>
            <w:pPr>
              <w:pStyle w:val="Compact"/>
              <w:jc w:val="left"/>
            </w:pPr>
            <w:r>
              <w:t xml:space="preserve">5,867 (22.4)</w:t>
            </w:r>
          </w:p>
        </w:tc>
        <w:tc>
          <w:p>
            <w:pPr>
              <w:pStyle w:val="Compact"/>
              <w:jc w:val="left"/>
            </w:pPr>
            <w:r>
              <w:t xml:space="preserve">&lt;0.0001</w:t>
            </w:r>
          </w:p>
        </w:tc>
      </w:tr>
      <w:tr>
        <w:tc>
          <w:p>
            <w:pPr>
              <w:pStyle w:val="Compact"/>
              <w:jc w:val="left"/>
            </w:pPr>
            <w:r>
              <w:t xml:space="preserve">35-&lt;45</w:t>
            </w:r>
          </w:p>
        </w:tc>
        <w:tc>
          <w:p>
            <w:pPr>
              <w:pStyle w:val="Compact"/>
              <w:jc w:val="left"/>
            </w:pPr>
            <w:r>
              <w:t xml:space="preserve">4,734 (17.1)</w:t>
            </w:r>
          </w:p>
        </w:tc>
        <w:tc>
          <w:p>
            <w:pPr>
              <w:pStyle w:val="Compact"/>
              <w:jc w:val="left"/>
            </w:pPr>
            <w:r>
              <w:t xml:space="preserve">267 (18.3)</w:t>
            </w:r>
          </w:p>
        </w:tc>
        <w:tc>
          <w:p>
            <w:pPr>
              <w:pStyle w:val="Compact"/>
              <w:jc w:val="left"/>
            </w:pPr>
            <w:r>
              <w:t xml:space="preserve">4,467 (17.0)</w:t>
            </w:r>
          </w:p>
        </w:tc>
        <w:tc>
          <w:p>
            <w:pPr>
              <w:pStyle w:val="Compact"/>
            </w:pPr>
          </w:p>
        </w:tc>
      </w:tr>
      <w:tr>
        <w:tc>
          <w:p>
            <w:pPr>
              <w:pStyle w:val="Compact"/>
              <w:jc w:val="left"/>
            </w:pPr>
            <w:r>
              <w:t xml:space="preserve">45-&lt;55</w:t>
            </w:r>
          </w:p>
        </w:tc>
        <w:tc>
          <w:p>
            <w:pPr>
              <w:pStyle w:val="Compact"/>
              <w:jc w:val="left"/>
            </w:pPr>
            <w:r>
              <w:t xml:space="preserve">6,919 (25.0)</w:t>
            </w:r>
          </w:p>
        </w:tc>
        <w:tc>
          <w:p>
            <w:pPr>
              <w:pStyle w:val="Compact"/>
              <w:jc w:val="left"/>
            </w:pPr>
            <w:r>
              <w:t xml:space="preserve">506 (34.7)</w:t>
            </w:r>
          </w:p>
        </w:tc>
        <w:tc>
          <w:p>
            <w:pPr>
              <w:pStyle w:val="Compact"/>
              <w:jc w:val="left"/>
            </w:pPr>
            <w:r>
              <w:t xml:space="preserve">6,413 (24.4)</w:t>
            </w:r>
          </w:p>
        </w:tc>
        <w:tc>
          <w:p>
            <w:pPr>
              <w:pStyle w:val="Compact"/>
            </w:pPr>
          </w:p>
        </w:tc>
      </w:tr>
      <w:tr>
        <w:tc>
          <w:p>
            <w:pPr>
              <w:pStyle w:val="Compact"/>
              <w:jc w:val="left"/>
            </w:pPr>
            <w:r>
              <w:t xml:space="preserve">55-&lt;65</w:t>
            </w:r>
          </w:p>
        </w:tc>
        <w:tc>
          <w:p>
            <w:pPr>
              <w:pStyle w:val="Compact"/>
              <w:jc w:val="left"/>
            </w:pPr>
            <w:r>
              <w:t xml:space="preserve">5,880 (21.2)</w:t>
            </w:r>
          </w:p>
        </w:tc>
        <w:tc>
          <w:p>
            <w:pPr>
              <w:pStyle w:val="Compact"/>
              <w:jc w:val="left"/>
            </w:pPr>
            <w:r>
              <w:t xml:space="preserve">400 (27.5)</w:t>
            </w:r>
          </w:p>
        </w:tc>
        <w:tc>
          <w:p>
            <w:pPr>
              <w:pStyle w:val="Compact"/>
              <w:jc w:val="left"/>
            </w:pPr>
            <w:r>
              <w:t xml:space="preserve">5,480 (20.9)</w:t>
            </w:r>
          </w:p>
        </w:tc>
        <w:tc>
          <w:p>
            <w:pPr>
              <w:pStyle w:val="Compact"/>
            </w:pPr>
          </w:p>
        </w:tc>
      </w:tr>
      <w:tr>
        <w:tc>
          <w:p>
            <w:pPr>
              <w:pStyle w:val="Compact"/>
              <w:jc w:val="left"/>
            </w:pPr>
            <w:r>
              <w:t xml:space="preserve">65-&lt;75</w:t>
            </w:r>
          </w:p>
        </w:tc>
        <w:tc>
          <w:p>
            <w:pPr>
              <w:pStyle w:val="Compact"/>
              <w:jc w:val="left"/>
            </w:pPr>
            <w:r>
              <w:t xml:space="preserve">2,745 (9.9)</w:t>
            </w:r>
          </w:p>
        </w:tc>
        <w:tc>
          <w:p>
            <w:pPr>
              <w:pStyle w:val="Compact"/>
              <w:jc w:val="left"/>
            </w:pPr>
            <w:r>
              <w:t xml:space="preserve">110 (7.5)</w:t>
            </w:r>
          </w:p>
        </w:tc>
        <w:tc>
          <w:p>
            <w:pPr>
              <w:pStyle w:val="Compact"/>
              <w:jc w:val="left"/>
            </w:pPr>
            <w:r>
              <w:t xml:space="preserve">2,635 (10)</w:t>
            </w:r>
          </w:p>
        </w:tc>
        <w:tc>
          <w:p>
            <w:pPr>
              <w:pStyle w:val="Compact"/>
            </w:pPr>
          </w:p>
        </w:tc>
      </w:tr>
      <w:tr>
        <w:tc>
          <w:p>
            <w:pPr>
              <w:pStyle w:val="Compact"/>
              <w:jc w:val="left"/>
            </w:pPr>
            <w:r>
              <w:t xml:space="preserve">75-ł85</w:t>
            </w:r>
          </w:p>
        </w:tc>
        <w:tc>
          <w:p>
            <w:pPr>
              <w:pStyle w:val="Compact"/>
              <w:jc w:val="left"/>
            </w:pPr>
            <w:r>
              <w:t xml:space="preserve">1,410 (5.1)</w:t>
            </w:r>
          </w:p>
        </w:tc>
        <w:tc>
          <w:p>
            <w:pPr>
              <w:pStyle w:val="Compact"/>
              <w:jc w:val="left"/>
            </w:pPr>
            <w:r>
              <w:t xml:space="preserve">24 (1.6)</w:t>
            </w:r>
          </w:p>
        </w:tc>
        <w:tc>
          <w:p>
            <w:pPr>
              <w:pStyle w:val="Compact"/>
              <w:jc w:val="left"/>
            </w:pPr>
            <w:r>
              <w:t xml:space="preserve">1,386 (5.3)</w:t>
            </w: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Mean (SD)</w:t>
            </w:r>
          </w:p>
        </w:tc>
        <w:tc>
          <w:p>
            <w:pPr>
              <w:pStyle w:val="Compact"/>
              <w:jc w:val="left"/>
            </w:pPr>
            <w:r>
              <w:t xml:space="preserve">48.1 (16.0)</w:t>
            </w:r>
          </w:p>
        </w:tc>
        <w:tc>
          <w:p>
            <w:pPr>
              <w:pStyle w:val="Compact"/>
              <w:jc w:val="left"/>
            </w:pPr>
            <w:r>
              <w:t xml:space="preserve">50.2 (11.6)</w:t>
            </w:r>
          </w:p>
        </w:tc>
        <w:tc>
          <w:p>
            <w:pPr>
              <w:pStyle w:val="Compact"/>
              <w:jc w:val="left"/>
            </w:pPr>
            <w:r>
              <w:t xml:space="preserve">48.0 (16.2)</w:t>
            </w:r>
          </w:p>
        </w:tc>
        <w:tc>
          <w:p>
            <w:pPr>
              <w:pStyle w:val="Compact"/>
            </w:pPr>
          </w:p>
        </w:tc>
      </w:tr>
      <w:tr>
        <w:tc>
          <w:p>
            <w:pPr>
              <w:pStyle w:val="Compact"/>
              <w:jc w:val="left"/>
            </w:pPr>
            <w:r>
              <w:t xml:space="preserve">Median (25th, 75th)</w:t>
            </w:r>
          </w:p>
        </w:tc>
        <w:tc>
          <w:p>
            <w:pPr>
              <w:pStyle w:val="Compact"/>
              <w:jc w:val="left"/>
            </w:pPr>
            <w:r>
              <w:t xml:space="preserve">49 (37, 59)</w:t>
            </w:r>
          </w:p>
        </w:tc>
        <w:tc>
          <w:p>
            <w:pPr>
              <w:pStyle w:val="Compact"/>
              <w:jc w:val="left"/>
            </w:pPr>
            <w:r>
              <w:t xml:space="preserve">51 (43, 58)</w:t>
            </w:r>
          </w:p>
        </w:tc>
        <w:tc>
          <w:p>
            <w:pPr>
              <w:pStyle w:val="Compact"/>
              <w:jc w:val="left"/>
            </w:pPr>
            <w:r>
              <w:t xml:space="preserve">49 (36, 59)</w:t>
            </w:r>
          </w:p>
        </w:tc>
        <w:tc>
          <w:p>
            <w:pPr>
              <w:pStyle w:val="Compact"/>
            </w:pPr>
          </w:p>
        </w:tc>
      </w:tr>
      <w:tr>
        <w:tc>
          <w:p>
            <w:pPr>
              <w:pStyle w:val="Compact"/>
              <w:jc w:val="left"/>
            </w:pPr>
            <w:r>
              <w:t xml:space="preserve">Insurance Status, n (%)</w:t>
            </w:r>
          </w:p>
        </w:tc>
        <w:tc>
          <w:p>
            <w:pPr>
              <w:pStyle w:val="Compact"/>
            </w:pPr>
          </w:p>
        </w:tc>
        <w:tc>
          <w:p>
            <w:pPr>
              <w:pStyle w:val="Compact"/>
            </w:pPr>
          </w:p>
        </w:tc>
        <w:tc>
          <w:p>
            <w:pPr>
              <w:pStyle w:val="Compact"/>
            </w:pPr>
          </w:p>
        </w:tc>
        <w:tc>
          <w:p>
            <w:pPr>
              <w:pStyle w:val="Compact"/>
            </w:pPr>
          </w:p>
        </w:tc>
      </w:tr>
      <w:tr>
        <w:tc>
          <w:p>
            <w:pPr>
              <w:pStyle w:val="Compact"/>
              <w:jc w:val="left"/>
            </w:pPr>
            <w:r>
              <w:t xml:space="preserve">Discount Payment Plan*</w:t>
            </w:r>
          </w:p>
        </w:tc>
        <w:tc>
          <w:p>
            <w:pPr>
              <w:pStyle w:val="Compact"/>
              <w:jc w:val="left"/>
            </w:pPr>
            <w:r>
              <w:t xml:space="preserve">8,499 (30.7)</w:t>
            </w:r>
          </w:p>
        </w:tc>
        <w:tc>
          <w:p>
            <w:pPr>
              <w:pStyle w:val="Compact"/>
              <w:jc w:val="left"/>
            </w:pPr>
            <w:r>
              <w:t xml:space="preserve">576 (39.5)</w:t>
            </w:r>
          </w:p>
        </w:tc>
        <w:tc>
          <w:p>
            <w:pPr>
              <w:pStyle w:val="Compact"/>
              <w:jc w:val="left"/>
            </w:pPr>
            <w:r>
              <w:t xml:space="preserve">7,923 (30.2)</w:t>
            </w:r>
          </w:p>
        </w:tc>
        <w:tc>
          <w:p>
            <w:pPr>
              <w:pStyle w:val="Compact"/>
              <w:jc w:val="left"/>
            </w:pPr>
            <w:r>
              <w:t xml:space="preserve">&lt;0.0001</w:t>
            </w:r>
          </w:p>
        </w:tc>
      </w:tr>
      <w:tr>
        <w:tc>
          <w:p>
            <w:pPr>
              <w:pStyle w:val="Compact"/>
              <w:jc w:val="left"/>
            </w:pPr>
            <w:r>
              <w:t xml:space="preserve">Medicaid</w:t>
            </w:r>
          </w:p>
        </w:tc>
        <w:tc>
          <w:p>
            <w:pPr>
              <w:pStyle w:val="Compact"/>
              <w:jc w:val="left"/>
            </w:pPr>
            <w:r>
              <w:t xml:space="preserve">8,575 (31.0)</w:t>
            </w:r>
          </w:p>
        </w:tc>
        <w:tc>
          <w:p>
            <w:pPr>
              <w:pStyle w:val="Compact"/>
              <w:jc w:val="left"/>
            </w:pPr>
            <w:r>
              <w:t xml:space="preserve">531 (36.4)</w:t>
            </w:r>
          </w:p>
        </w:tc>
        <w:tc>
          <w:p>
            <w:pPr>
              <w:pStyle w:val="Compact"/>
              <w:jc w:val="left"/>
            </w:pPr>
            <w:r>
              <w:t xml:space="preserve">8,044 (30.6)</w:t>
            </w:r>
          </w:p>
        </w:tc>
        <w:tc>
          <w:p>
            <w:pPr>
              <w:pStyle w:val="Compact"/>
            </w:pPr>
          </w:p>
        </w:tc>
      </w:tr>
      <w:tr>
        <w:tc>
          <w:p>
            <w:pPr>
              <w:pStyle w:val="Compact"/>
              <w:jc w:val="left"/>
            </w:pPr>
            <w:r>
              <w:t xml:space="preserve">Medicare</w:t>
            </w:r>
          </w:p>
        </w:tc>
        <w:tc>
          <w:p>
            <w:pPr>
              <w:pStyle w:val="Compact"/>
              <w:jc w:val="left"/>
            </w:pPr>
            <w:r>
              <w:t xml:space="preserve">6,260 (22.6)</w:t>
            </w:r>
          </w:p>
        </w:tc>
        <w:tc>
          <w:p>
            <w:pPr>
              <w:pStyle w:val="Compact"/>
              <w:jc w:val="left"/>
            </w:pPr>
            <w:r>
              <w:t xml:space="preserve">259 (17.8)</w:t>
            </w:r>
          </w:p>
        </w:tc>
        <w:tc>
          <w:p>
            <w:pPr>
              <w:pStyle w:val="Compact"/>
              <w:jc w:val="left"/>
            </w:pPr>
            <w:r>
              <w:t xml:space="preserve">6,001 (22.9)</w:t>
            </w:r>
          </w:p>
        </w:tc>
        <w:tc>
          <w:p>
            <w:pPr>
              <w:pStyle w:val="Compact"/>
            </w:pPr>
          </w:p>
        </w:tc>
      </w:tr>
      <w:tr>
        <w:tc>
          <w:p>
            <w:pPr>
              <w:pStyle w:val="Compact"/>
              <w:jc w:val="left"/>
            </w:pPr>
            <w:r>
              <w:t xml:space="preserve">Commercial</w:t>
            </w:r>
          </w:p>
        </w:tc>
        <w:tc>
          <w:p>
            <w:pPr>
              <w:pStyle w:val="Compact"/>
              <w:jc w:val="left"/>
            </w:pPr>
            <w:r>
              <w:t xml:space="preserve">2,402 (8.7)</w:t>
            </w:r>
          </w:p>
        </w:tc>
        <w:tc>
          <w:p>
            <w:pPr>
              <w:pStyle w:val="Compact"/>
              <w:jc w:val="left"/>
            </w:pPr>
            <w:r>
              <w:t xml:space="preserve">50 (3.4)</w:t>
            </w:r>
          </w:p>
        </w:tc>
        <w:tc>
          <w:p>
            <w:pPr>
              <w:pStyle w:val="Compact"/>
              <w:jc w:val="left"/>
            </w:pPr>
            <w:r>
              <w:t xml:space="preserve">2,352 (9.0)</w:t>
            </w:r>
          </w:p>
        </w:tc>
        <w:tc>
          <w:p>
            <w:pPr>
              <w:pStyle w:val="Compact"/>
            </w:pPr>
          </w:p>
        </w:tc>
      </w:tr>
      <w:tr>
        <w:tc>
          <w:p>
            <w:pPr>
              <w:pStyle w:val="Compact"/>
              <w:jc w:val="left"/>
            </w:pPr>
            <w:r>
              <w:t xml:space="preserve">Other/Unknown/Self-Pay</w:t>
            </w:r>
          </w:p>
        </w:tc>
        <w:tc>
          <w:p>
            <w:pPr>
              <w:pStyle w:val="Compact"/>
              <w:jc w:val="left"/>
            </w:pPr>
            <w:r>
              <w:t xml:space="preserve">1,969 (7.1)</w:t>
            </w:r>
          </w:p>
        </w:tc>
        <w:tc>
          <w:p>
            <w:pPr>
              <w:pStyle w:val="Compact"/>
              <w:jc w:val="left"/>
            </w:pPr>
            <w:r>
              <w:t xml:space="preserve">41 (2.8)</w:t>
            </w:r>
          </w:p>
        </w:tc>
        <w:tc>
          <w:p>
            <w:pPr>
              <w:pStyle w:val="Compact"/>
              <w:jc w:val="left"/>
            </w:pPr>
            <w:r>
              <w:t xml:space="preserve">1,928 (7.3)</w:t>
            </w:r>
          </w:p>
        </w:tc>
        <w:tc>
          <w:p>
            <w:pPr>
              <w:pStyle w:val="Compact"/>
            </w:pPr>
          </w:p>
        </w:tc>
      </w:tr>
      <w:tr>
        <w:tc>
          <w:p>
            <w:pPr>
              <w:pStyle w:val="Compact"/>
              <w:jc w:val="left"/>
            </w:pPr>
            <w:r>
              <w:t xml:space="preserve">Three Year History of, n (%)</w:t>
            </w:r>
          </w:p>
        </w:tc>
        <w:tc>
          <w:p>
            <w:pPr>
              <w:pStyle w:val="Compact"/>
            </w:pPr>
          </w:p>
        </w:tc>
        <w:tc>
          <w:p>
            <w:pPr>
              <w:pStyle w:val="Compact"/>
            </w:pPr>
          </w:p>
        </w:tc>
        <w:tc>
          <w:p>
            <w:pPr>
              <w:pStyle w:val="Compact"/>
            </w:pPr>
          </w:p>
        </w:tc>
        <w:tc>
          <w:p>
            <w:pPr>
              <w:pStyle w:val="Compact"/>
            </w:pPr>
          </w:p>
        </w:tc>
      </w:tr>
      <w:tr>
        <w:tc>
          <w:p>
            <w:pPr>
              <w:pStyle w:val="Compact"/>
              <w:jc w:val="left"/>
            </w:pPr>
            <w:r>
              <w:t xml:space="preserve">Tobacco Use Disorder</w:t>
            </w:r>
          </w:p>
        </w:tc>
        <w:tc>
          <w:p>
            <w:pPr>
              <w:pStyle w:val="Compact"/>
              <w:jc w:val="left"/>
            </w:pPr>
            <w:r>
              <w:t xml:space="preserve">9,682 (34.9)</w:t>
            </w:r>
          </w:p>
        </w:tc>
        <w:tc>
          <w:p>
            <w:pPr>
              <w:pStyle w:val="Compact"/>
              <w:jc w:val="left"/>
            </w:pPr>
            <w:r>
              <w:t xml:space="preserve">716 (49.1)</w:t>
            </w:r>
          </w:p>
        </w:tc>
        <w:tc>
          <w:p>
            <w:pPr>
              <w:pStyle w:val="Compact"/>
              <w:jc w:val="left"/>
            </w:pPr>
            <w:r>
              <w:t xml:space="preserve">8,966 (34.2)</w:t>
            </w:r>
          </w:p>
        </w:tc>
        <w:tc>
          <w:p>
            <w:pPr>
              <w:pStyle w:val="Compact"/>
              <w:jc w:val="left"/>
            </w:pPr>
            <w:r>
              <w:t xml:space="preserve">&lt;0.0001</w:t>
            </w:r>
          </w:p>
        </w:tc>
      </w:tr>
      <w:tr>
        <w:tc>
          <w:p>
            <w:pPr>
              <w:pStyle w:val="Compact"/>
              <w:jc w:val="left"/>
            </w:pPr>
            <w:r>
              <w:t xml:space="preserve">Alcohol Use Disorder</w:t>
            </w:r>
          </w:p>
        </w:tc>
        <w:tc>
          <w:p>
            <w:pPr>
              <w:pStyle w:val="Compact"/>
              <w:jc w:val="left"/>
            </w:pPr>
            <w:r>
              <w:t xml:space="preserve">7,167 (25.9)</w:t>
            </w:r>
          </w:p>
        </w:tc>
        <w:tc>
          <w:p>
            <w:pPr>
              <w:pStyle w:val="Compact"/>
              <w:jc w:val="left"/>
            </w:pPr>
            <w:r>
              <w:t xml:space="preserve">408 (28.0)</w:t>
            </w:r>
          </w:p>
        </w:tc>
        <w:tc>
          <w:p>
            <w:pPr>
              <w:pStyle w:val="Compact"/>
              <w:jc w:val="left"/>
            </w:pPr>
            <w:r>
              <w:t xml:space="preserve">6,759 (25.8)</w:t>
            </w:r>
          </w:p>
        </w:tc>
        <w:tc>
          <w:p>
            <w:pPr>
              <w:pStyle w:val="Compact"/>
              <w:jc w:val="left"/>
            </w:pPr>
            <w:r>
              <w:t xml:space="preserve">0.06</w:t>
            </w:r>
          </w:p>
        </w:tc>
      </w:tr>
      <w:tr>
        <w:tc>
          <w:p>
            <w:pPr>
              <w:pStyle w:val="Compact"/>
              <w:jc w:val="left"/>
            </w:pPr>
            <w:r>
              <w:t xml:space="preserve">Stimulant Use Disorder</w:t>
            </w:r>
          </w:p>
        </w:tc>
        <w:tc>
          <w:p>
            <w:pPr>
              <w:pStyle w:val="Compact"/>
              <w:jc w:val="left"/>
            </w:pPr>
            <w:r>
              <w:t xml:space="preserve">1,719 (6.2)</w:t>
            </w:r>
          </w:p>
        </w:tc>
        <w:tc>
          <w:p>
            <w:pPr>
              <w:pStyle w:val="Compact"/>
              <w:jc w:val="left"/>
            </w:pPr>
            <w:r>
              <w:t xml:space="preserve">118 (8.1)</w:t>
            </w:r>
          </w:p>
        </w:tc>
        <w:tc>
          <w:p>
            <w:pPr>
              <w:pStyle w:val="Compact"/>
              <w:jc w:val="left"/>
            </w:pPr>
            <w:r>
              <w:t xml:space="preserve">1,601 (6.1)</w:t>
            </w:r>
          </w:p>
        </w:tc>
        <w:tc>
          <w:p>
            <w:pPr>
              <w:pStyle w:val="Compact"/>
              <w:jc w:val="left"/>
            </w:pPr>
            <w:r>
              <w:t xml:space="preserve">0.003</w:t>
            </w:r>
          </w:p>
        </w:tc>
      </w:tr>
      <w:tr>
        <w:tc>
          <w:p>
            <w:pPr>
              <w:pStyle w:val="Compact"/>
              <w:jc w:val="left"/>
            </w:pPr>
            <w:r>
              <w:t xml:space="preserve">Opioid Use Disorder</w:t>
            </w:r>
          </w:p>
        </w:tc>
        <w:tc>
          <w:p>
            <w:pPr>
              <w:pStyle w:val="Compact"/>
              <w:jc w:val="left"/>
            </w:pPr>
            <w:r>
              <w:t xml:space="preserve">672 (2.4)</w:t>
            </w:r>
          </w:p>
        </w:tc>
        <w:tc>
          <w:p>
            <w:pPr>
              <w:pStyle w:val="Compact"/>
              <w:jc w:val="left"/>
            </w:pPr>
            <w:r>
              <w:t xml:space="preserve">44 (3.0)</w:t>
            </w:r>
          </w:p>
        </w:tc>
        <w:tc>
          <w:p>
            <w:pPr>
              <w:pStyle w:val="Compact"/>
              <w:jc w:val="left"/>
            </w:pPr>
            <w:r>
              <w:t xml:space="preserve">628 (2.4)</w:t>
            </w:r>
          </w:p>
        </w:tc>
        <w:tc>
          <w:p>
            <w:pPr>
              <w:pStyle w:val="Compact"/>
              <w:jc w:val="left"/>
            </w:pPr>
            <w:r>
              <w:t xml:space="preserve">0.13</w:t>
            </w:r>
          </w:p>
        </w:tc>
      </w:tr>
      <w:tr>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Chronic Pain</w:t>
            </w:r>
          </w:p>
        </w:tc>
        <w:tc>
          <w:p>
            <w:pPr>
              <w:pStyle w:val="Compact"/>
              <w:jc w:val="left"/>
            </w:pPr>
            <w:r>
              <w:t xml:space="preserve">14,914 (53.8)</w:t>
            </w:r>
          </w:p>
        </w:tc>
        <w:tc>
          <w:p>
            <w:pPr>
              <w:pStyle w:val="Compact"/>
              <w:jc w:val="left"/>
            </w:pPr>
            <w:r>
              <w:t xml:space="preserve">1,105 (75.8)</w:t>
            </w:r>
          </w:p>
        </w:tc>
        <w:tc>
          <w:p>
            <w:pPr>
              <w:pStyle w:val="Compact"/>
              <w:jc w:val="left"/>
            </w:pPr>
            <w:r>
              <w:t xml:space="preserve">13,809 (52.6)</w:t>
            </w:r>
          </w:p>
        </w:tc>
        <w:tc>
          <w:p>
            <w:pPr>
              <w:pStyle w:val="Compact"/>
              <w:jc w:val="left"/>
            </w:pPr>
            <w:r>
              <w:t xml:space="preserve">&lt;0.0001</w:t>
            </w:r>
          </w:p>
        </w:tc>
      </w:tr>
      <w:tr>
        <w:tc>
          <w:p>
            <w:pPr>
              <w:pStyle w:val="Compact"/>
              <w:jc w:val="left"/>
            </w:pPr>
            <w:r>
              <w:t xml:space="preserve">Acute Pain</w:t>
            </w:r>
          </w:p>
        </w:tc>
        <w:tc>
          <w:p>
            <w:pPr>
              <w:pStyle w:val="Compact"/>
              <w:jc w:val="left"/>
            </w:pPr>
            <w:r>
              <w:t xml:space="preserve">10,073 (36.4)</w:t>
            </w:r>
          </w:p>
        </w:tc>
        <w:tc>
          <w:p>
            <w:pPr>
              <w:pStyle w:val="Compact"/>
              <w:jc w:val="left"/>
            </w:pPr>
            <w:r>
              <w:t xml:space="preserve">611 (41.9)</w:t>
            </w:r>
          </w:p>
        </w:tc>
        <w:tc>
          <w:p>
            <w:pPr>
              <w:pStyle w:val="Compact"/>
              <w:jc w:val="left"/>
            </w:pPr>
            <w:r>
              <w:t xml:space="preserve">9,462 (36.0)</w:t>
            </w:r>
          </w:p>
        </w:tc>
        <w:tc>
          <w:p>
            <w:pPr>
              <w:pStyle w:val="Compact"/>
              <w:jc w:val="left"/>
            </w:pPr>
            <w:r>
              <w:t xml:space="preserve">&lt;0.0001</w:t>
            </w:r>
          </w:p>
        </w:tc>
      </w:tr>
      <w:tr>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Top 3 Mental Health Disorders, n (%)</w:t>
            </w:r>
          </w:p>
        </w:tc>
        <w:tc>
          <w:p>
            <w:pPr>
              <w:pStyle w:val="Compact"/>
            </w:pPr>
          </w:p>
        </w:tc>
        <w:tc>
          <w:p>
            <w:pPr>
              <w:pStyle w:val="Compact"/>
            </w:pPr>
          </w:p>
        </w:tc>
        <w:tc>
          <w:p>
            <w:pPr>
              <w:pStyle w:val="Compact"/>
            </w:pPr>
          </w:p>
        </w:tc>
        <w:tc>
          <w:p>
            <w:pPr>
              <w:pStyle w:val="Compact"/>
            </w:pPr>
          </w:p>
        </w:tc>
      </w:tr>
      <w:tr>
        <w:tc>
          <w:p>
            <w:pPr>
              <w:pStyle w:val="Compact"/>
              <w:jc w:val="left"/>
            </w:pPr>
            <w:r>
              <w:t xml:space="preserve">Depression</w:t>
            </w:r>
          </w:p>
        </w:tc>
        <w:tc>
          <w:p>
            <w:pPr>
              <w:pStyle w:val="Compact"/>
              <w:jc w:val="left"/>
            </w:pPr>
            <w:r>
              <w:t xml:space="preserve">6,318 (22.8)</w:t>
            </w:r>
          </w:p>
        </w:tc>
        <w:tc>
          <w:p>
            <w:pPr>
              <w:pStyle w:val="Compact"/>
              <w:jc w:val="left"/>
            </w:pPr>
            <w:r>
              <w:t xml:space="preserve">491 (33.7)</w:t>
            </w:r>
          </w:p>
        </w:tc>
        <w:tc>
          <w:p>
            <w:pPr>
              <w:pStyle w:val="Compact"/>
              <w:jc w:val="left"/>
            </w:pPr>
            <w:r>
              <w:t xml:space="preserve">5,827 (22.2)</w:t>
            </w:r>
          </w:p>
        </w:tc>
        <w:tc>
          <w:p>
            <w:pPr>
              <w:pStyle w:val="Compact"/>
              <w:jc w:val="left"/>
            </w:pPr>
            <w:r>
              <w:t xml:space="preserve">&lt;0.0001</w:t>
            </w:r>
          </w:p>
        </w:tc>
      </w:tr>
      <w:tr>
        <w:tc>
          <w:p>
            <w:pPr>
              <w:pStyle w:val="Compact"/>
              <w:jc w:val="left"/>
            </w:pPr>
            <w:r>
              <w:t xml:space="preserve">Anxiety Disorder</w:t>
            </w:r>
          </w:p>
        </w:tc>
        <w:tc>
          <w:p>
            <w:pPr>
              <w:pStyle w:val="Compact"/>
              <w:jc w:val="left"/>
            </w:pPr>
            <w:r>
              <w:t xml:space="preserve">3,677 (13.3)</w:t>
            </w:r>
          </w:p>
        </w:tc>
        <w:tc>
          <w:p>
            <w:pPr>
              <w:pStyle w:val="Compact"/>
              <w:jc w:val="left"/>
            </w:pPr>
            <w:r>
              <w:t xml:space="preserve">265 (18.2)</w:t>
            </w:r>
          </w:p>
        </w:tc>
        <w:tc>
          <w:p>
            <w:pPr>
              <w:pStyle w:val="Compact"/>
              <w:jc w:val="left"/>
            </w:pPr>
            <w:r>
              <w:t xml:space="preserve">3,412 (13.0)</w:t>
            </w:r>
          </w:p>
        </w:tc>
        <w:tc>
          <w:p>
            <w:pPr>
              <w:pStyle w:val="Compact"/>
              <w:jc w:val="left"/>
            </w:pPr>
            <w:r>
              <w:t xml:space="preserve">&lt;0.0001</w:t>
            </w:r>
          </w:p>
        </w:tc>
      </w:tr>
      <w:tr>
        <w:tc>
          <w:p>
            <w:pPr>
              <w:pStyle w:val="Compact"/>
              <w:jc w:val="left"/>
            </w:pPr>
            <w:r>
              <w:t xml:space="preserve">Bipolar Disorder</w:t>
            </w:r>
          </w:p>
        </w:tc>
        <w:tc>
          <w:p>
            <w:pPr>
              <w:pStyle w:val="Compact"/>
              <w:jc w:val="left"/>
            </w:pPr>
            <w:r>
              <w:t xml:space="preserve">2,362 (8.5)</w:t>
            </w:r>
          </w:p>
        </w:tc>
        <w:tc>
          <w:p>
            <w:pPr>
              <w:pStyle w:val="Compact"/>
              <w:jc w:val="left"/>
            </w:pPr>
            <w:r>
              <w:t xml:space="preserve">135 (9.3)</w:t>
            </w:r>
          </w:p>
        </w:tc>
        <w:tc>
          <w:p>
            <w:pPr>
              <w:pStyle w:val="Compact"/>
              <w:jc w:val="left"/>
            </w:pPr>
            <w:r>
              <w:t xml:space="preserve">2,227 (8.5)</w:t>
            </w:r>
          </w:p>
        </w:tc>
        <w:tc>
          <w:p>
            <w:pPr>
              <w:pStyle w:val="Compact"/>
              <w:jc w:val="left"/>
            </w:pPr>
            <w:r>
              <w:t xml:space="preserve">0.3</w:t>
            </w:r>
          </w:p>
        </w:tc>
      </w:tr>
      <w:tr>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Any Mental Health Disorder n (%)</w:t>
            </w:r>
          </w:p>
        </w:tc>
        <w:tc>
          <w:p>
            <w:pPr>
              <w:pStyle w:val="Compact"/>
              <w:jc w:val="left"/>
            </w:pPr>
            <w:r>
              <w:t xml:space="preserve">9,805 (35.4)</w:t>
            </w:r>
          </w:p>
        </w:tc>
        <w:tc>
          <w:p>
            <w:pPr>
              <w:pStyle w:val="Compact"/>
              <w:jc w:val="left"/>
            </w:pPr>
            <w:r>
              <w:t xml:space="preserve">634 (43.5)</w:t>
            </w:r>
          </w:p>
        </w:tc>
        <w:tc>
          <w:p>
            <w:pPr>
              <w:pStyle w:val="Compact"/>
              <w:jc w:val="left"/>
            </w:pPr>
            <w:r>
              <w:t xml:space="preserve">9,171 (34.9)</w:t>
            </w:r>
          </w:p>
        </w:tc>
        <w:tc>
          <w:p>
            <w:pPr>
              <w:pStyle w:val="Compact"/>
              <w:jc w:val="left"/>
            </w:pPr>
            <w:r>
              <w:t xml:space="preserve">&lt;0.0001</w:t>
            </w:r>
          </w:p>
        </w:tc>
      </w:tr>
      <w:tr>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Top 3 Chronic Medical Conditions, n (%)</w:t>
            </w:r>
          </w:p>
        </w:tc>
        <w:tc>
          <w:p>
            <w:pPr>
              <w:pStyle w:val="Compact"/>
            </w:pPr>
          </w:p>
        </w:tc>
        <w:tc>
          <w:p>
            <w:pPr>
              <w:pStyle w:val="Compact"/>
            </w:pPr>
          </w:p>
        </w:tc>
        <w:tc>
          <w:p>
            <w:pPr>
              <w:pStyle w:val="Compact"/>
            </w:pPr>
          </w:p>
        </w:tc>
        <w:tc>
          <w:p>
            <w:pPr>
              <w:pStyle w:val="Compact"/>
            </w:pPr>
          </w:p>
        </w:tc>
      </w:tr>
      <w:tr>
        <w:tc>
          <w:p>
            <w:pPr>
              <w:pStyle w:val="Compact"/>
              <w:jc w:val="left"/>
            </w:pPr>
            <w:r>
              <w:t xml:space="preserve">Hypertension</w:t>
            </w:r>
          </w:p>
        </w:tc>
        <w:tc>
          <w:p>
            <w:pPr>
              <w:pStyle w:val="Compact"/>
              <w:jc w:val="left"/>
            </w:pPr>
            <w:r>
              <w:t xml:space="preserve">11,799 (42.6)</w:t>
            </w:r>
          </w:p>
        </w:tc>
        <w:tc>
          <w:p>
            <w:pPr>
              <w:pStyle w:val="Compact"/>
              <w:jc w:val="left"/>
            </w:pPr>
            <w:r>
              <w:t xml:space="preserve">773 (53.1)</w:t>
            </w:r>
          </w:p>
        </w:tc>
        <w:tc>
          <w:p>
            <w:pPr>
              <w:pStyle w:val="Compact"/>
              <w:jc w:val="left"/>
            </w:pPr>
            <w:r>
              <w:t xml:space="preserve">11,026 (42.0)</w:t>
            </w:r>
          </w:p>
        </w:tc>
        <w:tc>
          <w:p>
            <w:pPr>
              <w:pStyle w:val="Compact"/>
              <w:jc w:val="left"/>
            </w:pPr>
            <w:r>
              <w:t xml:space="preserve">&lt;0.0001</w:t>
            </w:r>
          </w:p>
        </w:tc>
      </w:tr>
      <w:tr>
        <w:tc>
          <w:p>
            <w:pPr>
              <w:pStyle w:val="Compact"/>
              <w:jc w:val="left"/>
            </w:pPr>
            <w:r>
              <w:t xml:space="preserve">Respiratory Disease</w:t>
            </w:r>
          </w:p>
        </w:tc>
        <w:tc>
          <w:p>
            <w:pPr>
              <w:pStyle w:val="Compact"/>
              <w:jc w:val="left"/>
            </w:pPr>
            <w:r>
              <w:t xml:space="preserve">7,060 (25.5)</w:t>
            </w:r>
          </w:p>
        </w:tc>
        <w:tc>
          <w:p>
            <w:pPr>
              <w:pStyle w:val="Compact"/>
              <w:jc w:val="left"/>
            </w:pPr>
            <w:r>
              <w:t xml:space="preserve">444 (30.5)</w:t>
            </w:r>
          </w:p>
        </w:tc>
        <w:tc>
          <w:p>
            <w:pPr>
              <w:pStyle w:val="Compact"/>
              <w:jc w:val="left"/>
            </w:pPr>
            <w:r>
              <w:t xml:space="preserve">6,616 (25.2)</w:t>
            </w:r>
          </w:p>
        </w:tc>
        <w:tc>
          <w:p>
            <w:pPr>
              <w:pStyle w:val="Compact"/>
              <w:jc w:val="left"/>
            </w:pPr>
            <w:r>
              <w:t xml:space="preserve">&lt;0.0001</w:t>
            </w:r>
          </w:p>
        </w:tc>
      </w:tr>
      <w:tr>
        <w:tc>
          <w:p>
            <w:pPr>
              <w:pStyle w:val="Compact"/>
              <w:jc w:val="left"/>
            </w:pPr>
            <w:r>
              <w:t xml:space="preserve">Diabetes Mellitus</w:t>
            </w:r>
          </w:p>
        </w:tc>
        <w:tc>
          <w:p>
            <w:pPr>
              <w:pStyle w:val="Compact"/>
              <w:jc w:val="left"/>
            </w:pPr>
            <w:r>
              <w:t xml:space="preserve">5,701 (20.6)</w:t>
            </w:r>
          </w:p>
        </w:tc>
        <w:tc>
          <w:p>
            <w:pPr>
              <w:pStyle w:val="Compact"/>
              <w:jc w:val="left"/>
            </w:pPr>
            <w:r>
              <w:t xml:space="preserve">376 (25.8)</w:t>
            </w:r>
          </w:p>
        </w:tc>
        <w:tc>
          <w:p>
            <w:pPr>
              <w:pStyle w:val="Compact"/>
              <w:jc w:val="left"/>
            </w:pPr>
            <w:r>
              <w:t xml:space="preserve">5,325 (20.3)</w:t>
            </w:r>
          </w:p>
        </w:tc>
        <w:tc>
          <w:p>
            <w:pPr>
              <w:pStyle w:val="Compact"/>
              <w:jc w:val="left"/>
            </w:pPr>
            <w:r>
              <w:t xml:space="preserve">&lt;0.0001</w:t>
            </w:r>
          </w:p>
        </w:tc>
      </w:tr>
      <w:tr>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Any Chronic Medical Condition, n (%)</w:t>
            </w:r>
          </w:p>
        </w:tc>
        <w:tc>
          <w:p>
            <w:pPr>
              <w:pStyle w:val="Compact"/>
              <w:jc w:val="left"/>
            </w:pPr>
            <w:r>
              <w:t xml:space="preserve">17,535 (63.3)</w:t>
            </w:r>
          </w:p>
        </w:tc>
        <w:tc>
          <w:p>
            <w:pPr>
              <w:pStyle w:val="Compact"/>
              <w:jc w:val="left"/>
            </w:pPr>
            <w:r>
              <w:t xml:space="preserve">1,102 (75.6)</w:t>
            </w:r>
          </w:p>
        </w:tc>
        <w:tc>
          <w:p>
            <w:pPr>
              <w:pStyle w:val="Compact"/>
              <w:jc w:val="left"/>
            </w:pPr>
            <w:r>
              <w:t xml:space="preserve">16,433 (62.6)</w:t>
            </w:r>
          </w:p>
        </w:tc>
        <w:tc>
          <w:p>
            <w:pPr>
              <w:pStyle w:val="Compact"/>
              <w:jc w:val="left"/>
            </w:pPr>
            <w:r>
              <w:t xml:space="preserve">&lt;0.0001</w:t>
            </w:r>
          </w:p>
        </w:tc>
      </w:tr>
      <w:tr>
        <w:tc>
          <w:p>
            <w:pPr>
              <w:pStyle w:val="Compact"/>
              <w:jc w:val="left"/>
            </w:pPr>
            <w:r>
              <w:t xml:space="preserve">Charlson Comorbidity Index from 3 Year Diagnosis History</w:t>
            </w:r>
          </w:p>
        </w:tc>
        <w:tc>
          <w:p>
            <w:pPr>
              <w:pStyle w:val="Compact"/>
            </w:pPr>
          </w:p>
        </w:tc>
        <w:tc>
          <w:p>
            <w:pPr>
              <w:pStyle w:val="Compact"/>
            </w:pPr>
          </w:p>
        </w:tc>
        <w:tc>
          <w:p>
            <w:pPr>
              <w:pStyle w:val="Compact"/>
            </w:pPr>
          </w:p>
        </w:tc>
        <w:tc>
          <w:p>
            <w:pPr>
              <w:pStyle w:val="Compact"/>
            </w:pPr>
          </w:p>
        </w:tc>
      </w:tr>
      <w:tr>
        <w:tc>
          <w:p>
            <w:pPr>
              <w:pStyle w:val="Compact"/>
              <w:jc w:val="left"/>
            </w:pPr>
            <w:r>
              <w:t xml:space="preserve">Mean (SD)</w:t>
            </w:r>
          </w:p>
        </w:tc>
        <w:tc>
          <w:p>
            <w:pPr>
              <w:pStyle w:val="Compact"/>
              <w:jc w:val="left"/>
            </w:pPr>
            <w:r>
              <w:t xml:space="preserve">1.9 (2.2)</w:t>
            </w:r>
          </w:p>
        </w:tc>
        <w:tc>
          <w:p>
            <w:pPr>
              <w:pStyle w:val="Compact"/>
              <w:jc w:val="left"/>
            </w:pPr>
            <w:r>
              <w:t xml:space="preserve">2.4 (2.5)</w:t>
            </w:r>
          </w:p>
        </w:tc>
        <w:tc>
          <w:p>
            <w:pPr>
              <w:pStyle w:val="Compact"/>
              <w:jc w:val="left"/>
            </w:pPr>
            <w:r>
              <w:t xml:space="preserve">1.9 (2.2)</w:t>
            </w:r>
          </w:p>
        </w:tc>
        <w:tc>
          <w:p>
            <w:pPr>
              <w:pStyle w:val="Compact"/>
              <w:jc w:val="left"/>
            </w:pPr>
            <w:r>
              <w:t xml:space="preserve">&lt;0.0001</w:t>
            </w:r>
          </w:p>
        </w:tc>
      </w:tr>
      <w:tr>
        <w:tc>
          <w:p>
            <w:pPr>
              <w:pStyle w:val="Compact"/>
              <w:jc w:val="left"/>
            </w:pPr>
            <w:r>
              <w:t xml:space="preserve">Median (25th, 75th)</w:t>
            </w:r>
          </w:p>
        </w:tc>
        <w:tc>
          <w:p>
            <w:pPr>
              <w:pStyle w:val="Compact"/>
              <w:jc w:val="left"/>
            </w:pPr>
            <w:r>
              <w:t xml:space="preserve">1 (0, 3)</w:t>
            </w:r>
          </w:p>
        </w:tc>
        <w:tc>
          <w:p>
            <w:pPr>
              <w:pStyle w:val="Compact"/>
              <w:jc w:val="left"/>
            </w:pPr>
            <w:r>
              <w:t xml:space="preserve">2.0 (1, 3)</w:t>
            </w:r>
          </w:p>
        </w:tc>
        <w:tc>
          <w:p>
            <w:pPr>
              <w:pStyle w:val="Compact"/>
              <w:jc w:val="left"/>
            </w:pPr>
            <w:r>
              <w:t xml:space="preserve">1.0 (0, 3)</w:t>
            </w:r>
          </w:p>
        </w:tc>
        <w:tc>
          <w:p>
            <w:pPr>
              <w:pStyle w:val="Compact"/>
            </w:pPr>
          </w:p>
        </w:tc>
      </w:tr>
      <w:tr>
        <w:tc>
          <w:p>
            <w:pPr>
              <w:pStyle w:val="Compact"/>
              <w:jc w:val="left"/>
            </w:pPr>
            <w:r>
              <w:t xml:space="preserve">Discharge Diagnoses, n (%)</w:t>
            </w:r>
          </w:p>
        </w:tc>
        <w:tc>
          <w:p>
            <w:pPr>
              <w:pStyle w:val="Compact"/>
            </w:pPr>
          </w:p>
        </w:tc>
        <w:tc>
          <w:p>
            <w:pPr>
              <w:pStyle w:val="Compact"/>
            </w:pPr>
          </w:p>
        </w:tc>
        <w:tc>
          <w:p>
            <w:pPr>
              <w:pStyle w:val="Compact"/>
            </w:pPr>
          </w:p>
        </w:tc>
        <w:tc>
          <w:p>
            <w:pPr>
              <w:pStyle w:val="Compact"/>
            </w:pPr>
          </w:p>
        </w:tc>
      </w:tr>
      <w:tr>
        <w:tc>
          <w:p>
            <w:pPr>
              <w:pStyle w:val="Compact"/>
              <w:jc w:val="left"/>
            </w:pPr>
            <w:r>
              <w:t xml:space="preserve">Chronic Pain_</w:t>
            </w:r>
          </w:p>
        </w:tc>
        <w:tc>
          <w:p>
            <w:pPr>
              <w:pStyle w:val="Compact"/>
              <w:jc w:val="left"/>
            </w:pPr>
            <w:r>
              <w:t xml:space="preserve">8,346 (30.1)</w:t>
            </w:r>
          </w:p>
        </w:tc>
        <w:tc>
          <w:p>
            <w:pPr>
              <w:pStyle w:val="Compact"/>
              <w:jc w:val="left"/>
            </w:pPr>
            <w:r>
              <w:t xml:space="preserve">729 (50.0)</w:t>
            </w:r>
          </w:p>
        </w:tc>
        <w:tc>
          <w:p>
            <w:pPr>
              <w:pStyle w:val="Compact"/>
              <w:jc w:val="left"/>
            </w:pPr>
            <w:r>
              <w:t xml:space="preserve">7,617 (29.0)</w:t>
            </w:r>
          </w:p>
        </w:tc>
        <w:tc>
          <w:p>
            <w:pPr>
              <w:pStyle w:val="Compact"/>
              <w:jc w:val="left"/>
            </w:pPr>
            <w:r>
              <w:t xml:space="preserve">&lt;0.0001</w:t>
            </w:r>
          </w:p>
        </w:tc>
      </w:tr>
      <w:tr>
        <w:tc>
          <w:p>
            <w:pPr>
              <w:pStyle w:val="Compact"/>
              <w:jc w:val="left"/>
            </w:pPr>
            <w:r>
              <w:t xml:space="preserve">Acute Painŕ</w:t>
            </w:r>
          </w:p>
        </w:tc>
        <w:tc>
          <w:p>
            <w:pPr>
              <w:pStyle w:val="Compact"/>
              <w:jc w:val="left"/>
            </w:pPr>
            <w:r>
              <w:t xml:space="preserve">4,586 (16.6)</w:t>
            </w:r>
          </w:p>
        </w:tc>
        <w:tc>
          <w:p>
            <w:pPr>
              <w:pStyle w:val="Compact"/>
              <w:jc w:val="left"/>
            </w:pPr>
            <w:r>
              <w:t xml:space="preserve">255 (17.5)</w:t>
            </w:r>
          </w:p>
        </w:tc>
        <w:tc>
          <w:p>
            <w:pPr>
              <w:pStyle w:val="Compact"/>
              <w:jc w:val="left"/>
            </w:pPr>
            <w:r>
              <w:t xml:space="preserve">4,331 (16.5)</w:t>
            </w:r>
          </w:p>
        </w:tc>
        <w:tc>
          <w:p>
            <w:pPr>
              <w:pStyle w:val="Compact"/>
              <w:jc w:val="left"/>
            </w:pPr>
            <w:r>
              <w:t xml:space="preserve">0.32</w:t>
            </w:r>
          </w:p>
        </w:tc>
      </w:tr>
      <w:tr>
        <w:tc>
          <w:p>
            <w:pPr>
              <w:pStyle w:val="Compact"/>
              <w:jc w:val="left"/>
            </w:pPr>
            <w:r>
              <w:t xml:space="preserve">Neoplasm¤</w:t>
            </w:r>
          </w:p>
        </w:tc>
        <w:tc>
          <w:p>
            <w:pPr>
              <w:pStyle w:val="Compact"/>
              <w:jc w:val="left"/>
            </w:pPr>
            <w:r>
              <w:t xml:space="preserve">1,447 (5.2)</w:t>
            </w:r>
          </w:p>
        </w:tc>
        <w:tc>
          <w:p>
            <w:pPr>
              <w:pStyle w:val="Compact"/>
              <w:jc w:val="left"/>
            </w:pPr>
            <w:r>
              <w:t xml:space="preserve">170 (11.7)</w:t>
            </w:r>
          </w:p>
        </w:tc>
        <w:tc>
          <w:p>
            <w:pPr>
              <w:pStyle w:val="Compact"/>
              <w:jc w:val="left"/>
            </w:pPr>
            <w:r>
              <w:t xml:space="preserve">1,277 (4.9)</w:t>
            </w:r>
          </w:p>
        </w:tc>
        <w:tc>
          <w:p>
            <w:pPr>
              <w:pStyle w:val="Compact"/>
              <w:jc w:val="left"/>
            </w:pPr>
            <w:r>
              <w:t xml:space="preserve">&lt;0.0001</w:t>
            </w:r>
          </w:p>
        </w:tc>
      </w:tr>
      <w:tr>
        <w:tc>
          <w:p>
            <w:pPr>
              <w:pStyle w:val="Compact"/>
              <w:jc w:val="left"/>
            </w:pPr>
            <w:r>
              <w:t xml:space="preserve">Top 3 Surgical Procedures During Initial Hospitalization, n (%)</w:t>
            </w:r>
          </w:p>
        </w:tc>
        <w:tc>
          <w:p>
            <w:pPr>
              <w:pStyle w:val="Compact"/>
            </w:pPr>
          </w:p>
        </w:tc>
        <w:tc>
          <w:p>
            <w:pPr>
              <w:pStyle w:val="Compact"/>
            </w:pPr>
          </w:p>
        </w:tc>
        <w:tc>
          <w:p>
            <w:pPr>
              <w:pStyle w:val="Compact"/>
            </w:pPr>
          </w:p>
        </w:tc>
        <w:tc>
          <w:p>
            <w:pPr>
              <w:pStyle w:val="Compact"/>
            </w:pPr>
          </w:p>
        </w:tc>
      </w:tr>
      <w:tr>
        <w:tc>
          <w:p>
            <w:pPr>
              <w:pStyle w:val="Compact"/>
              <w:jc w:val="left"/>
            </w:pPr>
            <w:r>
              <w:t xml:space="preserve">Digestive System</w:t>
            </w:r>
          </w:p>
        </w:tc>
        <w:tc>
          <w:p>
            <w:pPr>
              <w:pStyle w:val="Compact"/>
              <w:jc w:val="left"/>
            </w:pPr>
            <w:r>
              <w:t xml:space="preserve">3,437 (12.4)</w:t>
            </w:r>
          </w:p>
        </w:tc>
        <w:tc>
          <w:p>
            <w:pPr>
              <w:pStyle w:val="Compact"/>
              <w:jc w:val="left"/>
            </w:pPr>
            <w:r>
              <w:t xml:space="preserve">225 (15.4)</w:t>
            </w:r>
          </w:p>
        </w:tc>
        <w:tc>
          <w:p>
            <w:pPr>
              <w:pStyle w:val="Compact"/>
              <w:jc w:val="left"/>
            </w:pPr>
            <w:r>
              <w:t xml:space="preserve">3,212 (12.2)</w:t>
            </w:r>
          </w:p>
        </w:tc>
        <w:tc>
          <w:p>
            <w:pPr>
              <w:pStyle w:val="Compact"/>
              <w:jc w:val="left"/>
            </w:pPr>
            <w:r>
              <w:t xml:space="preserve">&lt;0.001</w:t>
            </w:r>
          </w:p>
        </w:tc>
      </w:tr>
      <w:tr>
        <w:tc>
          <w:p>
            <w:pPr>
              <w:pStyle w:val="Compact"/>
              <w:jc w:val="left"/>
            </w:pPr>
            <w:r>
              <w:t xml:space="preserve">Musculoskeletal System</w:t>
            </w:r>
          </w:p>
        </w:tc>
        <w:tc>
          <w:p>
            <w:pPr>
              <w:pStyle w:val="Compact"/>
              <w:jc w:val="left"/>
            </w:pPr>
            <w:r>
              <w:t xml:space="preserve">3,037 (11.0)</w:t>
            </w:r>
          </w:p>
        </w:tc>
        <w:tc>
          <w:p>
            <w:pPr>
              <w:pStyle w:val="Compact"/>
              <w:jc w:val="left"/>
            </w:pPr>
            <w:r>
              <w:t xml:space="preserve">258 (17.7)</w:t>
            </w:r>
          </w:p>
        </w:tc>
        <w:tc>
          <w:p>
            <w:pPr>
              <w:pStyle w:val="Compact"/>
              <w:jc w:val="left"/>
            </w:pPr>
            <w:r>
              <w:t xml:space="preserve">2,779 (10.6)</w:t>
            </w:r>
          </w:p>
        </w:tc>
        <w:tc>
          <w:p>
            <w:pPr>
              <w:pStyle w:val="Compact"/>
              <w:jc w:val="left"/>
            </w:pPr>
            <w:r>
              <w:t xml:space="preserve">&lt;0.0001</w:t>
            </w:r>
          </w:p>
        </w:tc>
      </w:tr>
      <w:tr>
        <w:tc>
          <w:p>
            <w:pPr>
              <w:pStyle w:val="Compact"/>
              <w:jc w:val="left"/>
            </w:pPr>
            <w:r>
              <w:t xml:space="preserve">Cardiovascular System</w:t>
            </w:r>
          </w:p>
        </w:tc>
        <w:tc>
          <w:p>
            <w:pPr>
              <w:pStyle w:val="Compact"/>
              <w:jc w:val="left"/>
            </w:pPr>
            <w:r>
              <w:t xml:space="preserve">2,312 (8.3)</w:t>
            </w:r>
          </w:p>
        </w:tc>
        <w:tc>
          <w:p>
            <w:pPr>
              <w:pStyle w:val="Compact"/>
              <w:jc w:val="left"/>
            </w:pPr>
            <w:r>
              <w:t xml:space="preserve">157 (10.8)</w:t>
            </w:r>
          </w:p>
        </w:tc>
        <w:tc>
          <w:p>
            <w:pPr>
              <w:pStyle w:val="Compact"/>
              <w:jc w:val="left"/>
            </w:pPr>
            <w:r>
              <w:t xml:space="preserve">2,155 (8.2)</w:t>
            </w:r>
          </w:p>
        </w:tc>
        <w:tc>
          <w:p>
            <w:pPr>
              <w:pStyle w:val="Compact"/>
              <w:jc w:val="left"/>
            </w:pPr>
            <w:r>
              <w:t xml:space="preserve">&lt;0.001</w:t>
            </w:r>
          </w:p>
        </w:tc>
      </w:tr>
      <w:tr>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Patients Who Had Surgical Procedure During Index Hospitalization, n (%)</w:t>
            </w:r>
          </w:p>
        </w:tc>
        <w:tc>
          <w:p>
            <w:pPr>
              <w:pStyle w:val="Compact"/>
              <w:jc w:val="left"/>
            </w:pPr>
            <w:r>
              <w:t xml:space="preserve">10,956 (39.5)</w:t>
            </w:r>
          </w:p>
        </w:tc>
        <w:tc>
          <w:p>
            <w:pPr>
              <w:pStyle w:val="Compact"/>
              <w:jc w:val="left"/>
            </w:pPr>
            <w:r>
              <w:t xml:space="preserve">700 (48.0)</w:t>
            </w:r>
          </w:p>
        </w:tc>
        <w:tc>
          <w:p>
            <w:pPr>
              <w:pStyle w:val="Compact"/>
              <w:jc w:val="left"/>
            </w:pPr>
            <w:r>
              <w:t xml:space="preserve">10,256 (39.1)</w:t>
            </w:r>
          </w:p>
        </w:tc>
        <w:tc>
          <w:p>
            <w:pPr>
              <w:pStyle w:val="Compact"/>
              <w:jc w:val="left"/>
            </w:pPr>
            <w:r>
              <w:t xml:space="preserve">&lt;0.0001</w:t>
            </w:r>
          </w:p>
        </w:tc>
      </w:tr>
      <w:tr>
        <w:tc>
          <w:p>
            <w:pPr>
              <w:pStyle w:val="Compact"/>
              <w:jc w:val="left"/>
            </w:pPr>
            <w:r>
              <w:t xml:space="preserve">Number of Healthcare Encounters in the One Year Preceding the Index Admission, n (%)</w:t>
            </w:r>
          </w:p>
        </w:tc>
        <w:tc>
          <w:p>
            <w:pPr>
              <w:pStyle w:val="Compact"/>
            </w:pPr>
          </w:p>
        </w:tc>
        <w:tc>
          <w:p>
            <w:pPr>
              <w:pStyle w:val="Compact"/>
            </w:pPr>
          </w:p>
        </w:tc>
        <w:tc>
          <w:p>
            <w:pPr>
              <w:pStyle w:val="Compact"/>
            </w:pPr>
          </w:p>
        </w:tc>
        <w:tc>
          <w:p>
            <w:pPr>
              <w:pStyle w:val="Compact"/>
            </w:pPr>
          </w:p>
        </w:tc>
      </w:tr>
      <w:tr>
        <w:tc>
          <w:p>
            <w:pPr>
              <w:pStyle w:val="Compact"/>
              <w:jc w:val="left"/>
            </w:pPr>
            <w:r>
              <w:t xml:space="preserve">0</w:t>
            </w:r>
          </w:p>
        </w:tc>
        <w:tc>
          <w:p>
            <w:pPr>
              <w:pStyle w:val="Compact"/>
              <w:jc w:val="left"/>
            </w:pPr>
            <w:r>
              <w:t xml:space="preserve">23,280 (84.0)</w:t>
            </w:r>
          </w:p>
        </w:tc>
        <w:tc>
          <w:p>
            <w:pPr>
              <w:pStyle w:val="Compact"/>
              <w:jc w:val="left"/>
            </w:pPr>
            <w:r>
              <w:t xml:space="preserve">1,196 (82.1)</w:t>
            </w:r>
          </w:p>
        </w:tc>
        <w:tc>
          <w:p>
            <w:pPr>
              <w:pStyle w:val="Compact"/>
              <w:jc w:val="left"/>
            </w:pPr>
            <w:r>
              <w:t xml:space="preserve">22,084 (84.1)</w:t>
            </w:r>
          </w:p>
        </w:tc>
        <w:tc>
          <w:p>
            <w:pPr>
              <w:pStyle w:val="Compact"/>
              <w:jc w:val="left"/>
            </w:pPr>
            <w:r>
              <w:t xml:space="preserve">0.03</w:t>
            </w:r>
          </w:p>
        </w:tc>
      </w:tr>
      <w:tr>
        <w:tc>
          <w:p>
            <w:pPr>
              <w:pStyle w:val="Compact"/>
              <w:jc w:val="left"/>
            </w:pPr>
            <w:r>
              <w:t xml:space="preserve">1</w:t>
            </w:r>
          </w:p>
        </w:tc>
        <w:tc>
          <w:p>
            <w:pPr>
              <w:pStyle w:val="Compact"/>
              <w:jc w:val="left"/>
            </w:pPr>
            <w:r>
              <w:t xml:space="preserve">3,413 (12.3)</w:t>
            </w:r>
          </w:p>
        </w:tc>
        <w:tc>
          <w:p>
            <w:pPr>
              <w:pStyle w:val="Compact"/>
              <w:jc w:val="left"/>
            </w:pPr>
            <w:r>
              <w:t xml:space="preserve">197 (13.5)</w:t>
            </w:r>
          </w:p>
        </w:tc>
        <w:tc>
          <w:p>
            <w:pPr>
              <w:pStyle w:val="Compact"/>
              <w:jc w:val="left"/>
            </w:pPr>
            <w:r>
              <w:t xml:space="preserve">3,216 (12.3)</w:t>
            </w:r>
          </w:p>
        </w:tc>
        <w:tc>
          <w:p>
            <w:pPr>
              <w:pStyle w:val="Compact"/>
            </w:pPr>
          </w:p>
        </w:tc>
      </w:tr>
      <w:tr>
        <w:tc>
          <w:p>
            <w:pPr>
              <w:pStyle w:val="Compact"/>
              <w:jc w:val="left"/>
            </w:pPr>
            <w:r>
              <w:t xml:space="preserve">2+</w:t>
            </w:r>
          </w:p>
        </w:tc>
        <w:tc>
          <w:p>
            <w:pPr>
              <w:pStyle w:val="Compact"/>
              <w:jc w:val="left"/>
            </w:pPr>
            <w:r>
              <w:t xml:space="preserve">1,012 (3.7)</w:t>
            </w:r>
          </w:p>
        </w:tc>
        <w:tc>
          <w:p>
            <w:pPr>
              <w:pStyle w:val="Compact"/>
              <w:jc w:val="left"/>
            </w:pPr>
            <w:r>
              <w:t xml:space="preserve">64 (4.4)</w:t>
            </w:r>
          </w:p>
        </w:tc>
        <w:tc>
          <w:p>
            <w:pPr>
              <w:pStyle w:val="Compact"/>
              <w:jc w:val="left"/>
            </w:pPr>
            <w:r>
              <w:t xml:space="preserve">948 (3.6)</w:t>
            </w: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Mean (SD)</w:t>
            </w:r>
          </w:p>
        </w:tc>
        <w:tc>
          <w:p>
            <w:pPr>
              <w:pStyle w:val="Compact"/>
              <w:jc w:val="left"/>
            </w:pPr>
            <w:r>
              <w:t xml:space="preserve">0.2 (0.6)</w:t>
            </w:r>
          </w:p>
        </w:tc>
        <w:tc>
          <w:p>
            <w:pPr>
              <w:pStyle w:val="Compact"/>
              <w:jc w:val="left"/>
            </w:pPr>
            <w:r>
              <w:t xml:space="preserve">0.2 (0.7)</w:t>
            </w:r>
          </w:p>
        </w:tc>
        <w:tc>
          <w:p>
            <w:pPr>
              <w:pStyle w:val="Compact"/>
              <w:jc w:val="left"/>
            </w:pPr>
            <w:r>
              <w:t xml:space="preserve">0.2 (0.6)</w:t>
            </w:r>
          </w:p>
        </w:tc>
        <w:tc>
          <w:p>
            <w:pPr>
              <w:pStyle w:val="Compact"/>
            </w:pPr>
          </w:p>
        </w:tc>
      </w:tr>
      <w:tr>
        <w:tc>
          <w:p>
            <w:pPr>
              <w:pStyle w:val="Compact"/>
              <w:jc w:val="left"/>
            </w:pPr>
            <w:r>
              <w:t xml:space="preserve">Median (25th, 75th)</w:t>
            </w:r>
          </w:p>
        </w:tc>
        <w:tc>
          <w:p>
            <w:pPr>
              <w:pStyle w:val="Compact"/>
              <w:jc w:val="left"/>
            </w:pPr>
            <w:r>
              <w:t xml:space="preserve">0.0 (0, 0)</w:t>
            </w:r>
          </w:p>
        </w:tc>
        <w:tc>
          <w:p>
            <w:pPr>
              <w:pStyle w:val="Compact"/>
              <w:jc w:val="left"/>
            </w:pPr>
            <w:r>
              <w:t xml:space="preserve">0.0 (0, 0)</w:t>
            </w:r>
          </w:p>
        </w:tc>
        <w:tc>
          <w:p>
            <w:pPr>
              <w:pStyle w:val="Compact"/>
              <w:jc w:val="left"/>
            </w:pPr>
            <w:r>
              <w:t xml:space="preserve">0.0 (0, 0)</w:t>
            </w:r>
          </w:p>
        </w:tc>
        <w:tc>
          <w:p>
            <w:pPr>
              <w:pStyle w:val="Compact"/>
            </w:pPr>
          </w:p>
        </w:tc>
      </w:tr>
      <w:tr>
        <w:tc>
          <w:p>
            <w:pPr>
              <w:pStyle w:val="Compact"/>
              <w:jc w:val="left"/>
            </w:pPr>
            <w:r>
              <w:t xml:space="preserve">Past Year Benzodiazepine Receipt, n (%)</w:t>
            </w:r>
          </w:p>
        </w:tc>
        <w:tc>
          <w:p>
            <w:pPr>
              <w:pStyle w:val="Compact"/>
              <w:jc w:val="left"/>
            </w:pPr>
            <w:r>
              <w:t xml:space="preserve">1,606 (5.8)</w:t>
            </w:r>
          </w:p>
        </w:tc>
        <w:tc>
          <w:p>
            <w:pPr>
              <w:pStyle w:val="Compact"/>
              <w:jc w:val="left"/>
            </w:pPr>
            <w:r>
              <w:t xml:space="preserve">227 (15.6)</w:t>
            </w:r>
          </w:p>
        </w:tc>
        <w:tc>
          <w:p>
            <w:pPr>
              <w:pStyle w:val="Compact"/>
              <w:jc w:val="left"/>
            </w:pPr>
            <w:r>
              <w:t xml:space="preserve">1,379 (5.3)</w:t>
            </w:r>
          </w:p>
        </w:tc>
        <w:tc>
          <w:p>
            <w:pPr>
              <w:pStyle w:val="Compact"/>
              <w:jc w:val="left"/>
            </w:pPr>
            <w:r>
              <w:t xml:space="preserve">&lt;0.0001</w:t>
            </w:r>
          </w:p>
        </w:tc>
      </w:tr>
      <w:tr>
        <w:tc>
          <w:p>
            <w:pPr>
              <w:pStyle w:val="Compact"/>
              <w:jc w:val="left"/>
            </w:pPr>
            <w:r>
              <w:t xml:space="preserve">Past Year Receipt of Non-Opioid Analgesics (NSAIDs, neuropathic agents, topical capsaicin &amp; lidocaine), n (%)</w:t>
            </w:r>
          </w:p>
        </w:tc>
        <w:tc>
          <w:p>
            <w:pPr>
              <w:pStyle w:val="Compact"/>
            </w:pPr>
          </w:p>
        </w:tc>
        <w:tc>
          <w:p>
            <w:pPr>
              <w:pStyle w:val="Compact"/>
            </w:pPr>
          </w:p>
        </w:tc>
        <w:tc>
          <w:p>
            <w:pPr>
              <w:pStyle w:val="Compact"/>
            </w:pPr>
          </w:p>
        </w:tc>
        <w:tc>
          <w:p>
            <w:pPr>
              <w:pStyle w:val="Compact"/>
            </w:pPr>
          </w:p>
        </w:tc>
      </w:tr>
      <w:tr>
        <w:tc>
          <w:p>
            <w:pPr>
              <w:pStyle w:val="Compact"/>
            </w:pPr>
          </w:p>
        </w:tc>
        <w:tc>
          <w:p>
            <w:pPr>
              <w:pStyle w:val="Compact"/>
              <w:jc w:val="left"/>
            </w:pPr>
            <w:r>
              <w:t xml:space="preserve">4,875 (17.6)</w:t>
            </w:r>
          </w:p>
        </w:tc>
        <w:tc>
          <w:p>
            <w:pPr>
              <w:pStyle w:val="Compact"/>
              <w:jc w:val="left"/>
            </w:pPr>
            <w:r>
              <w:t xml:space="preserve">620 (42.6)</w:t>
            </w:r>
          </w:p>
        </w:tc>
        <w:tc>
          <w:p>
            <w:pPr>
              <w:pStyle w:val="Compact"/>
              <w:jc w:val="left"/>
            </w:pPr>
            <w:r>
              <w:t xml:space="preserve">4,255 (16.2)</w:t>
            </w:r>
          </w:p>
        </w:tc>
        <w:tc>
          <w:p>
            <w:pPr>
              <w:pStyle w:val="Compact"/>
              <w:jc w:val="left"/>
            </w:pPr>
            <w:r>
              <w:t xml:space="preserve">&lt;0.0001</w:t>
            </w:r>
          </w:p>
        </w:tc>
      </w:tr>
      <w:tr>
        <w:tc>
          <w:p>
            <w:pPr>
              <w:pStyle w:val="Compact"/>
              <w:jc w:val="left"/>
            </w:pPr>
            <w:r>
              <w:t xml:space="preserve">Past Year Number of Opioid Prescriptions Filled, n (%)</w:t>
            </w:r>
          </w:p>
        </w:tc>
        <w:tc>
          <w:p>
            <w:pPr>
              <w:pStyle w:val="Compact"/>
            </w:pPr>
          </w:p>
        </w:tc>
        <w:tc>
          <w:p>
            <w:pPr>
              <w:pStyle w:val="Compact"/>
            </w:pPr>
          </w:p>
        </w:tc>
        <w:tc>
          <w:p>
            <w:pPr>
              <w:pStyle w:val="Compact"/>
            </w:pPr>
          </w:p>
        </w:tc>
        <w:tc>
          <w:p>
            <w:pPr>
              <w:pStyle w:val="Compact"/>
            </w:pPr>
          </w:p>
        </w:tc>
      </w:tr>
      <w:tr>
        <w:tc>
          <w:p>
            <w:pPr>
              <w:pStyle w:val="Compact"/>
              <w:jc w:val="left"/>
            </w:pPr>
            <w:r>
              <w:t xml:space="preserve">0</w:t>
            </w:r>
          </w:p>
        </w:tc>
        <w:tc>
          <w:p>
            <w:pPr>
              <w:pStyle w:val="Compact"/>
              <w:jc w:val="left"/>
            </w:pPr>
            <w:r>
              <w:t xml:space="preserve">21,543 (77.8)</w:t>
            </w:r>
          </w:p>
        </w:tc>
        <w:tc>
          <w:p>
            <w:pPr>
              <w:pStyle w:val="Compact"/>
              <w:jc w:val="left"/>
            </w:pPr>
            <w:r>
              <w:t xml:space="preserve">549 (37.7)</w:t>
            </w:r>
          </w:p>
        </w:tc>
        <w:tc>
          <w:p>
            <w:pPr>
              <w:pStyle w:val="Compact"/>
              <w:jc w:val="left"/>
            </w:pPr>
            <w:r>
              <w:t xml:space="preserve">20,994 (80.0)</w:t>
            </w:r>
          </w:p>
        </w:tc>
        <w:tc>
          <w:p>
            <w:pPr>
              <w:pStyle w:val="Compact"/>
              <w:jc w:val="left"/>
            </w:pPr>
            <w:r>
              <w:t xml:space="preserve">&lt;0.0001</w:t>
            </w:r>
          </w:p>
        </w:tc>
      </w:tr>
      <w:tr>
        <w:tc>
          <w:p>
            <w:pPr>
              <w:pStyle w:val="Compact"/>
              <w:jc w:val="left"/>
            </w:pPr>
            <w:r>
              <w:t xml:space="preserve">1</w:t>
            </w:r>
          </w:p>
        </w:tc>
        <w:tc>
          <w:p>
            <w:pPr>
              <w:pStyle w:val="Compact"/>
              <w:jc w:val="left"/>
            </w:pPr>
            <w:r>
              <w:t xml:space="preserve">3,167 (11.7)</w:t>
            </w:r>
          </w:p>
        </w:tc>
        <w:tc>
          <w:p>
            <w:pPr>
              <w:pStyle w:val="Compact"/>
              <w:jc w:val="left"/>
            </w:pPr>
            <w:r>
              <w:t xml:space="preserve">249 (17.1)</w:t>
            </w:r>
          </w:p>
        </w:tc>
        <w:tc>
          <w:p>
            <w:pPr>
              <w:pStyle w:val="Compact"/>
              <w:jc w:val="left"/>
            </w:pPr>
            <w:r>
              <w:t xml:space="preserve">2,918 (11.1)</w:t>
            </w:r>
          </w:p>
        </w:tc>
        <w:tc>
          <w:p>
            <w:pPr>
              <w:pStyle w:val="Compact"/>
            </w:pPr>
          </w:p>
        </w:tc>
      </w:tr>
      <w:tr>
        <w:tc>
          <w:p>
            <w:pPr>
              <w:pStyle w:val="Compact"/>
              <w:jc w:val="left"/>
            </w:pPr>
            <w:r>
              <w:t xml:space="preserve">2</w:t>
            </w:r>
          </w:p>
        </w:tc>
        <w:tc>
          <w:p>
            <w:pPr>
              <w:pStyle w:val="Compact"/>
              <w:jc w:val="left"/>
            </w:pPr>
            <w:r>
              <w:t xml:space="preserve">1,331 (4.8)</w:t>
            </w:r>
          </w:p>
        </w:tc>
        <w:tc>
          <w:p>
            <w:pPr>
              <w:pStyle w:val="Compact"/>
              <w:jc w:val="left"/>
            </w:pPr>
            <w:r>
              <w:t xml:space="preserve">197 (13.5)</w:t>
            </w:r>
          </w:p>
        </w:tc>
        <w:tc>
          <w:p>
            <w:pPr>
              <w:pStyle w:val="Compact"/>
              <w:jc w:val="left"/>
            </w:pPr>
            <w:r>
              <w:t xml:space="preserve">1,134 (4.3)</w:t>
            </w:r>
          </w:p>
        </w:tc>
        <w:tc>
          <w:p>
            <w:pPr>
              <w:pStyle w:val="Compact"/>
            </w:pPr>
          </w:p>
        </w:tc>
      </w:tr>
      <w:tr>
        <w:tc>
          <w:p>
            <w:pPr>
              <w:pStyle w:val="Compact"/>
              <w:jc w:val="left"/>
            </w:pPr>
            <w:r>
              <w:t xml:space="preserve">3</w:t>
            </w:r>
          </w:p>
        </w:tc>
        <w:tc>
          <w:p>
            <w:pPr>
              <w:pStyle w:val="Compact"/>
              <w:jc w:val="left"/>
            </w:pPr>
            <w:r>
              <w:t xml:space="preserve">646 (2.3)</w:t>
            </w:r>
          </w:p>
        </w:tc>
        <w:tc>
          <w:p>
            <w:pPr>
              <w:pStyle w:val="Compact"/>
              <w:jc w:val="left"/>
            </w:pPr>
            <w:r>
              <w:t xml:space="preserve">132 (9.1)</w:t>
            </w:r>
          </w:p>
        </w:tc>
        <w:tc>
          <w:p>
            <w:pPr>
              <w:pStyle w:val="Compact"/>
              <w:jc w:val="left"/>
            </w:pPr>
            <w:r>
              <w:t xml:space="preserve">514 (2.0)</w:t>
            </w:r>
          </w:p>
        </w:tc>
        <w:tc>
          <w:p>
            <w:pPr>
              <w:pStyle w:val="Compact"/>
            </w:pPr>
          </w:p>
        </w:tc>
      </w:tr>
      <w:tr>
        <w:tc>
          <w:p>
            <w:pPr>
              <w:pStyle w:val="Compact"/>
              <w:jc w:val="left"/>
            </w:pPr>
            <w:r>
              <w:t xml:space="preserve">9-Apr</w:t>
            </w:r>
          </w:p>
        </w:tc>
        <w:tc>
          <w:p>
            <w:pPr>
              <w:pStyle w:val="Compact"/>
              <w:jc w:val="left"/>
            </w:pPr>
            <w:r>
              <w:t xml:space="preserve">1,018 (3.7)</w:t>
            </w:r>
          </w:p>
        </w:tc>
        <w:tc>
          <w:p>
            <w:pPr>
              <w:pStyle w:val="Compact"/>
              <w:jc w:val="left"/>
            </w:pPr>
            <w:r>
              <w:t xml:space="preserve">330 (22.6)</w:t>
            </w:r>
          </w:p>
        </w:tc>
        <w:tc>
          <w:p>
            <w:pPr>
              <w:pStyle w:val="Compact"/>
              <w:jc w:val="left"/>
            </w:pPr>
            <w:r>
              <w:t xml:space="preserve">688 (2.6)</w:t>
            </w:r>
          </w:p>
        </w:tc>
        <w:tc>
          <w:p>
            <w:pPr>
              <w:pStyle w:val="Compact"/>
            </w:pPr>
          </w:p>
        </w:tc>
      </w:tr>
      <w:tr>
        <w:tc>
          <w:p>
            <w:pPr>
              <w:pStyle w:val="Compact"/>
              <w:jc w:val="left"/>
            </w:pPr>
            <w:r>
              <w:t xml:space="preserve">Receipt of Opioid at Discharge, n (%)</w:t>
            </w:r>
          </w:p>
        </w:tc>
        <w:tc>
          <w:p>
            <w:pPr>
              <w:pStyle w:val="Compact"/>
              <w:jc w:val="left"/>
            </w:pPr>
            <w:r>
              <w:t xml:space="preserve">8,028 (29.0)</w:t>
            </w:r>
          </w:p>
        </w:tc>
        <w:tc>
          <w:p>
            <w:pPr>
              <w:pStyle w:val="Compact"/>
              <w:jc w:val="left"/>
            </w:pPr>
            <w:r>
              <w:t xml:space="preserve">817 (56.1)</w:t>
            </w:r>
          </w:p>
        </w:tc>
        <w:tc>
          <w:p>
            <w:pPr>
              <w:pStyle w:val="Compact"/>
              <w:jc w:val="left"/>
            </w:pPr>
            <w:r>
              <w:t xml:space="preserve">7,211 (27.5)</w:t>
            </w:r>
          </w:p>
        </w:tc>
        <w:tc>
          <w:p>
            <w:pPr>
              <w:pStyle w:val="Compact"/>
              <w:jc w:val="left"/>
            </w:pPr>
            <w:r>
              <w:t xml:space="preserve">&lt;0.0001</w:t>
            </w:r>
          </w:p>
        </w:tc>
      </w:tr>
      <w:tr>
        <w:tc>
          <w:p>
            <w:pPr>
              <w:pStyle w:val="Compact"/>
              <w:jc w:val="left"/>
            </w:pPr>
            <w:r>
              <w:t xml:space="preserve">Milligrams of Morphine Per Hospital Day, n (%)</w:t>
            </w:r>
          </w:p>
        </w:tc>
        <w:tc>
          <w:p>
            <w:pPr>
              <w:pStyle w:val="Compact"/>
            </w:pPr>
          </w:p>
        </w:tc>
        <w:tc>
          <w:p>
            <w:pPr>
              <w:pStyle w:val="Compact"/>
            </w:pPr>
          </w:p>
        </w:tc>
        <w:tc>
          <w:p>
            <w:pPr>
              <w:pStyle w:val="Compact"/>
            </w:pPr>
          </w:p>
        </w:tc>
        <w:tc>
          <w:p>
            <w:pPr>
              <w:pStyle w:val="Compact"/>
            </w:pPr>
          </w:p>
        </w:tc>
      </w:tr>
      <w:tr>
        <w:tc>
          <w:p>
            <w:pPr>
              <w:pStyle w:val="Compact"/>
              <w:jc w:val="left"/>
            </w:pPr>
            <w:r>
              <w:t xml:space="preserve">0</w:t>
            </w:r>
          </w:p>
        </w:tc>
        <w:tc>
          <w:p>
            <w:pPr>
              <w:pStyle w:val="Compact"/>
              <w:jc w:val="left"/>
            </w:pPr>
            <w:r>
              <w:t xml:space="preserve">9,655 (34.8)</w:t>
            </w:r>
          </w:p>
        </w:tc>
        <w:tc>
          <w:p>
            <w:pPr>
              <w:pStyle w:val="Compact"/>
              <w:jc w:val="left"/>
            </w:pPr>
            <w:r>
              <w:t xml:space="preserve">189 (13.0)</w:t>
            </w:r>
          </w:p>
        </w:tc>
        <w:tc>
          <w:p>
            <w:pPr>
              <w:pStyle w:val="Compact"/>
              <w:jc w:val="left"/>
            </w:pPr>
            <w:r>
              <w:t xml:space="preserve">9,466 (36.1)</w:t>
            </w:r>
          </w:p>
        </w:tc>
        <w:tc>
          <w:p>
            <w:pPr>
              <w:pStyle w:val="Compact"/>
              <w:jc w:val="left"/>
            </w:pPr>
            <w:r>
              <w:t xml:space="preserve">&lt;0.0001</w:t>
            </w:r>
          </w:p>
        </w:tc>
      </w:tr>
      <w:tr>
        <w:tc>
          <w:p>
            <w:pPr>
              <w:pStyle w:val="Compact"/>
              <w:jc w:val="left"/>
            </w:pPr>
            <w:r>
              <w:t xml:space="preserve">0.01 &lt; 10</w:t>
            </w:r>
          </w:p>
        </w:tc>
        <w:tc>
          <w:p>
            <w:pPr>
              <w:pStyle w:val="Compact"/>
              <w:jc w:val="left"/>
            </w:pPr>
            <w:r>
              <w:t xml:space="preserve">3,320 (12.0)</w:t>
            </w:r>
          </w:p>
        </w:tc>
        <w:tc>
          <w:p>
            <w:pPr>
              <w:pStyle w:val="Compact"/>
              <w:jc w:val="left"/>
            </w:pPr>
            <w:r>
              <w:t xml:space="preserve">108 (7.4)</w:t>
            </w:r>
          </w:p>
        </w:tc>
        <w:tc>
          <w:p>
            <w:pPr>
              <w:pStyle w:val="Compact"/>
              <w:jc w:val="left"/>
            </w:pPr>
            <w:r>
              <w:t xml:space="preserve">3,212 (12.2)</w:t>
            </w:r>
          </w:p>
        </w:tc>
        <w:tc>
          <w:p>
            <w:pPr>
              <w:pStyle w:val="Compact"/>
            </w:pPr>
          </w:p>
        </w:tc>
      </w:tr>
      <w:tr>
        <w:tc>
          <w:p>
            <w:pPr>
              <w:pStyle w:val="Compact"/>
              <w:jc w:val="left"/>
            </w:pPr>
            <w:r>
              <w:t xml:space="preserve">10 &lt; 51</w:t>
            </w:r>
          </w:p>
        </w:tc>
        <w:tc>
          <w:p>
            <w:pPr>
              <w:pStyle w:val="Compact"/>
              <w:jc w:val="left"/>
            </w:pPr>
            <w:r>
              <w:t xml:space="preserve">7,337 (26.5)</w:t>
            </w:r>
          </w:p>
        </w:tc>
        <w:tc>
          <w:p>
            <w:pPr>
              <w:pStyle w:val="Compact"/>
              <w:jc w:val="left"/>
            </w:pPr>
            <w:r>
              <w:t xml:space="preserve">490 (33.6)</w:t>
            </w:r>
          </w:p>
        </w:tc>
        <w:tc>
          <w:p>
            <w:pPr>
              <w:pStyle w:val="Compact"/>
              <w:jc w:val="left"/>
            </w:pPr>
            <w:r>
              <w:t xml:space="preserve">6,847 (26.1)</w:t>
            </w:r>
          </w:p>
        </w:tc>
        <w:tc>
          <w:p>
            <w:pPr>
              <w:pStyle w:val="Compact"/>
            </w:pPr>
          </w:p>
        </w:tc>
      </w:tr>
      <w:tr>
        <w:tc>
          <w:p>
            <w:pPr>
              <w:pStyle w:val="Compact"/>
              <w:jc w:val="left"/>
            </w:pPr>
            <w:r>
              <w:t xml:space="preserve">51 &lt; 100</w:t>
            </w:r>
          </w:p>
        </w:tc>
        <w:tc>
          <w:p>
            <w:pPr>
              <w:pStyle w:val="Compact"/>
              <w:jc w:val="left"/>
            </w:pPr>
            <w:r>
              <w:t xml:space="preserve">4,413 (15.)</w:t>
            </w:r>
          </w:p>
        </w:tc>
        <w:tc>
          <w:p>
            <w:pPr>
              <w:pStyle w:val="Compact"/>
              <w:jc w:val="left"/>
            </w:pPr>
            <w:r>
              <w:t xml:space="preserve">371 (25.5)</w:t>
            </w:r>
          </w:p>
        </w:tc>
        <w:tc>
          <w:p>
            <w:pPr>
              <w:pStyle w:val="Compact"/>
              <w:jc w:val="left"/>
            </w:pPr>
            <w:r>
              <w:t xml:space="preserve">4,042 (15.4)</w:t>
            </w:r>
          </w:p>
        </w:tc>
        <w:tc>
          <w:p>
            <w:pPr>
              <w:pStyle w:val="Compact"/>
            </w:pPr>
          </w:p>
        </w:tc>
      </w:tr>
      <w:tr>
        <w:tc>
          <w:p>
            <w:pPr>
              <w:pStyle w:val="Compact"/>
              <w:jc w:val="left"/>
            </w:pPr>
            <w:r>
              <w:t xml:space="preserve">100+</w:t>
            </w:r>
          </w:p>
        </w:tc>
        <w:tc>
          <w:p>
            <w:pPr>
              <w:pStyle w:val="Compact"/>
              <w:jc w:val="left"/>
            </w:pPr>
            <w:r>
              <w:t xml:space="preserve">2,980 (10.8%)</w:t>
            </w:r>
          </w:p>
        </w:tc>
        <w:tc>
          <w:p>
            <w:pPr>
              <w:pStyle w:val="Compact"/>
              <w:jc w:val="left"/>
            </w:pPr>
            <w:r>
              <w:t xml:space="preserve">299 (20.5)</w:t>
            </w:r>
          </w:p>
        </w:tc>
        <w:tc>
          <w:p>
            <w:pPr>
              <w:pStyle w:val="Compact"/>
              <w:jc w:val="left"/>
            </w:pPr>
            <w:r>
              <w:t xml:space="preserve">2,681 (10.2)</w:t>
            </w: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Mean (SD)</w:t>
            </w:r>
          </w:p>
        </w:tc>
        <w:tc>
          <w:p>
            <w:pPr>
              <w:pStyle w:val="Compact"/>
              <w:jc w:val="left"/>
            </w:pPr>
            <w:r>
              <w:t xml:space="preserve">37.7 (65.4)</w:t>
            </w:r>
          </w:p>
        </w:tc>
        <w:tc>
          <w:p>
            <w:pPr>
              <w:pStyle w:val="Compact"/>
              <w:jc w:val="left"/>
            </w:pPr>
            <w:r>
              <w:t xml:space="preserve">64.4 (76.7)</w:t>
            </w:r>
          </w:p>
        </w:tc>
        <w:tc>
          <w:p>
            <w:pPr>
              <w:pStyle w:val="Compact"/>
              <w:jc w:val="left"/>
            </w:pPr>
            <w:r>
              <w:t xml:space="preserve">36.2 (64.4)</w:t>
            </w:r>
          </w:p>
        </w:tc>
        <w:tc>
          <w:p>
            <w:pPr>
              <w:pStyle w:val="Compact"/>
            </w:pPr>
          </w:p>
        </w:tc>
      </w:tr>
      <w:tr>
        <w:tc>
          <w:p>
            <w:pPr>
              <w:pStyle w:val="Compact"/>
              <w:jc w:val="left"/>
            </w:pPr>
            <w:r>
              <w:t xml:space="preserve">Median (25th, 75th)</w:t>
            </w:r>
          </w:p>
        </w:tc>
        <w:tc>
          <w:p>
            <w:pPr>
              <w:pStyle w:val="Compact"/>
              <w:jc w:val="left"/>
            </w:pPr>
            <w:r>
              <w:t xml:space="preserve">12.5 (0, 54.7)</w:t>
            </w:r>
          </w:p>
        </w:tc>
        <w:tc>
          <w:p>
            <w:pPr>
              <w:pStyle w:val="Compact"/>
              <w:jc w:val="left"/>
            </w:pPr>
            <w:r>
              <w:t xml:space="preserve">45.5 (14.3, 90.2)</w:t>
            </w:r>
          </w:p>
        </w:tc>
        <w:tc>
          <w:p>
            <w:pPr>
              <w:pStyle w:val="Compact"/>
              <w:jc w:val="left"/>
            </w:pPr>
            <w:r>
              <w:t xml:space="preserve">10.8 (0, 52.2)</w:t>
            </w:r>
          </w:p>
        </w:tc>
        <w:tc>
          <w:p>
            <w:pPr>
              <w:pStyle w:val="Compact"/>
            </w:pPr>
          </w:p>
        </w:tc>
      </w:tr>
      <w:tr>
        <w:tc>
          <w:p>
            <w:pPr>
              <w:pStyle w:val="Compact"/>
              <w:jc w:val="left"/>
            </w:pPr>
            <w:r>
              <w:t xml:space="preserve">Length of Hospital Stay (days)</w:t>
            </w:r>
          </w:p>
        </w:tc>
        <w:tc>
          <w:p>
            <w:pPr>
              <w:pStyle w:val="Compact"/>
            </w:pPr>
          </w:p>
        </w:tc>
        <w:tc>
          <w:p>
            <w:pPr>
              <w:pStyle w:val="Compact"/>
            </w:pPr>
          </w:p>
        </w:tc>
        <w:tc>
          <w:p>
            <w:pPr>
              <w:pStyle w:val="Compact"/>
            </w:pPr>
          </w:p>
        </w:tc>
        <w:tc>
          <w:p>
            <w:pPr>
              <w:pStyle w:val="Compact"/>
            </w:pPr>
          </w:p>
        </w:tc>
      </w:tr>
      <w:tr>
        <w:tc>
          <w:p>
            <w:pPr>
              <w:pStyle w:val="Compact"/>
              <w:jc w:val="left"/>
            </w:pPr>
            <w:r>
              <w:t xml:space="preserve">1</w:t>
            </w:r>
          </w:p>
        </w:tc>
        <w:tc>
          <w:p>
            <w:pPr>
              <w:pStyle w:val="Compact"/>
              <w:jc w:val="left"/>
            </w:pPr>
            <w:r>
              <w:t xml:space="preserve">8,449 (30.0)</w:t>
            </w:r>
          </w:p>
        </w:tc>
        <w:tc>
          <w:p>
            <w:pPr>
              <w:pStyle w:val="Compact"/>
              <w:jc w:val="left"/>
            </w:pPr>
            <w:r>
              <w:t xml:space="preserve">383 (26.3)</w:t>
            </w:r>
          </w:p>
        </w:tc>
        <w:tc>
          <w:p>
            <w:pPr>
              <w:pStyle w:val="Compact"/>
              <w:jc w:val="left"/>
            </w:pPr>
            <w:r>
              <w:t xml:space="preserve">8,066 (30.7)</w:t>
            </w:r>
          </w:p>
        </w:tc>
        <w:tc>
          <w:p>
            <w:pPr>
              <w:pStyle w:val="Compact"/>
              <w:jc w:val="left"/>
            </w:pPr>
            <w:r>
              <w:t xml:space="preserve">0.0003</w:t>
            </w:r>
          </w:p>
        </w:tc>
      </w:tr>
      <w:tr>
        <w:tc>
          <w:p>
            <w:pPr>
              <w:pStyle w:val="Compact"/>
              <w:jc w:val="left"/>
            </w:pPr>
            <w:r>
              <w:t xml:space="preserve">2</w:t>
            </w:r>
          </w:p>
        </w:tc>
        <w:tc>
          <w:p>
            <w:pPr>
              <w:pStyle w:val="Compact"/>
              <w:jc w:val="left"/>
            </w:pPr>
            <w:r>
              <w:t xml:space="preserve">5,655 (20.4)</w:t>
            </w:r>
          </w:p>
        </w:tc>
        <w:tc>
          <w:p>
            <w:pPr>
              <w:pStyle w:val="Compact"/>
              <w:jc w:val="left"/>
            </w:pPr>
            <w:r>
              <w:t xml:space="preserve">282 (19.4)</w:t>
            </w:r>
          </w:p>
        </w:tc>
        <w:tc>
          <w:p>
            <w:pPr>
              <w:pStyle w:val="Compact"/>
              <w:jc w:val="left"/>
            </w:pPr>
            <w:r>
              <w:t xml:space="preserve">5,373 (20.5)</w:t>
            </w:r>
          </w:p>
        </w:tc>
        <w:tc>
          <w:p>
            <w:pPr>
              <w:pStyle w:val="Compact"/>
            </w:pPr>
          </w:p>
        </w:tc>
      </w:tr>
      <w:tr>
        <w:tc>
          <w:p>
            <w:pPr>
              <w:pStyle w:val="Compact"/>
              <w:jc w:val="left"/>
            </w:pPr>
            <w:r>
              <w:t xml:space="preserve">5-Mar</w:t>
            </w:r>
          </w:p>
        </w:tc>
        <w:tc>
          <w:p>
            <w:pPr>
              <w:pStyle w:val="Compact"/>
              <w:jc w:val="left"/>
            </w:pPr>
            <w:r>
              <w:t xml:space="preserve">7,801 (28.2)</w:t>
            </w:r>
          </w:p>
        </w:tc>
        <w:tc>
          <w:p>
            <w:pPr>
              <w:pStyle w:val="Compact"/>
              <w:jc w:val="left"/>
            </w:pPr>
            <w:r>
              <w:t xml:space="preserve">450 (30.9)</w:t>
            </w:r>
          </w:p>
        </w:tc>
        <w:tc>
          <w:p>
            <w:pPr>
              <w:pStyle w:val="Compact"/>
              <w:jc w:val="left"/>
            </w:pPr>
            <w:r>
              <w:t xml:space="preserve">7,351 (28.0)</w:t>
            </w:r>
          </w:p>
        </w:tc>
        <w:tc>
          <w:p>
            <w:pPr>
              <w:pStyle w:val="Compact"/>
            </w:pPr>
          </w:p>
        </w:tc>
      </w:tr>
      <w:tr>
        <w:tc>
          <w:p>
            <w:pPr>
              <w:pStyle w:val="Compact"/>
              <w:jc w:val="left"/>
            </w:pPr>
            <w:r>
              <w:t xml:space="preserve">6+</w:t>
            </w:r>
          </w:p>
        </w:tc>
        <w:tc>
          <w:p>
            <w:pPr>
              <w:pStyle w:val="Compact"/>
              <w:jc w:val="left"/>
            </w:pPr>
            <w:r>
              <w:t xml:space="preserve">5,800 (20.9)</w:t>
            </w:r>
          </w:p>
        </w:tc>
        <w:tc>
          <w:p>
            <w:pPr>
              <w:pStyle w:val="Compact"/>
              <w:jc w:val="left"/>
            </w:pPr>
            <w:r>
              <w:t xml:space="preserve">342 (23.5)</w:t>
            </w:r>
          </w:p>
        </w:tc>
        <w:tc>
          <w:p>
            <w:pPr>
              <w:pStyle w:val="Compact"/>
              <w:jc w:val="left"/>
            </w:pPr>
            <w:r>
              <w:t xml:space="preserve">5,458 (20.8)</w:t>
            </w: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Mean (SD)</w:t>
            </w:r>
          </w:p>
        </w:tc>
        <w:tc>
          <w:p>
            <w:pPr>
              <w:pStyle w:val="Compact"/>
              <w:jc w:val="left"/>
            </w:pPr>
            <w:r>
              <w:t xml:space="preserve">4.7 (9.0)</w:t>
            </w:r>
          </w:p>
        </w:tc>
        <w:tc>
          <w:p>
            <w:pPr>
              <w:pStyle w:val="Compact"/>
              <w:jc w:val="left"/>
            </w:pPr>
            <w:r>
              <w:t xml:space="preserve">4.9 (7.7)</w:t>
            </w:r>
          </w:p>
        </w:tc>
        <w:tc>
          <w:p>
            <w:pPr>
              <w:pStyle w:val="Compact"/>
              <w:jc w:val="left"/>
            </w:pPr>
            <w:r>
              <w:t xml:space="preserve">4.6 (9.1)</w:t>
            </w:r>
          </w:p>
        </w:tc>
        <w:tc>
          <w:p>
            <w:pPr>
              <w:pStyle w:val="Compact"/>
            </w:pPr>
          </w:p>
        </w:tc>
      </w:tr>
      <w:tr>
        <w:tc>
          <w:p>
            <w:pPr>
              <w:pStyle w:val="Compact"/>
              <w:jc w:val="left"/>
            </w:pPr>
            <w:r>
              <w:t xml:space="preserve">Median (25th, 75th)</w:t>
            </w:r>
          </w:p>
        </w:tc>
        <w:tc>
          <w:p>
            <w:pPr>
              <w:pStyle w:val="Compact"/>
              <w:jc w:val="left"/>
            </w:pPr>
            <w:r>
              <w:t xml:space="preserve">2 (1, 5)</w:t>
            </w:r>
          </w:p>
        </w:tc>
        <w:tc>
          <w:p>
            <w:pPr>
              <w:pStyle w:val="Compact"/>
              <w:jc w:val="left"/>
            </w:pPr>
            <w:r>
              <w:t xml:space="preserve">3 (1, 5)</w:t>
            </w:r>
          </w:p>
        </w:tc>
        <w:tc>
          <w:p>
            <w:pPr>
              <w:pStyle w:val="Compact"/>
              <w:jc w:val="left"/>
            </w:pPr>
            <w:r>
              <w:t xml:space="preserve">2 (1, 5)</w:t>
            </w:r>
          </w:p>
        </w:tc>
        <w:tc>
          <w:p>
            <w:pPr>
              <w:pStyle w:val="Compact"/>
            </w:pPr>
          </w:p>
        </w:tc>
      </w:tr>
      <w:tr>
        <w:tc>
          <w:p>
            <w:pPr>
              <w:pStyle w:val="Compact"/>
              <w:jc w:val="left"/>
            </w:pPr>
            <w:r>
              <w:t xml:space="preserve">Number of Subsequent Hospitalizations within 12 Months post Hospital Discharge</w:t>
            </w:r>
          </w:p>
        </w:tc>
        <w:tc>
          <w:p>
            <w:pPr>
              <w:pStyle w:val="Compact"/>
            </w:pPr>
          </w:p>
        </w:tc>
        <w:tc>
          <w:p>
            <w:pPr>
              <w:pStyle w:val="Compact"/>
            </w:pPr>
          </w:p>
        </w:tc>
        <w:tc>
          <w:p>
            <w:pPr>
              <w:pStyle w:val="Compact"/>
            </w:pPr>
          </w:p>
        </w:tc>
        <w:tc>
          <w:p>
            <w:pPr>
              <w:pStyle w:val="Compact"/>
              <w:jc w:val="left"/>
            </w:pPr>
            <w:r>
              <w:t xml:space="preserve">&lt;0.001</w:t>
            </w:r>
          </w:p>
        </w:tc>
      </w:tr>
      <w:tr>
        <w:tc>
          <w:p>
            <w:pPr>
              <w:pStyle w:val="Compact"/>
              <w:jc w:val="left"/>
            </w:pPr>
            <w:r>
              <w:t xml:space="preserve">Mean (SD)</w:t>
            </w:r>
          </w:p>
        </w:tc>
        <w:tc>
          <w:p>
            <w:pPr>
              <w:pStyle w:val="Compact"/>
              <w:jc w:val="left"/>
            </w:pPr>
            <w:r>
              <w:t xml:space="preserve">NA</w:t>
            </w:r>
          </w:p>
        </w:tc>
        <w:tc>
          <w:p>
            <w:pPr>
              <w:pStyle w:val="Compact"/>
              <w:jc w:val="left"/>
            </w:pPr>
            <w:r>
              <w:t xml:space="preserve">1.48 (2.20)</w:t>
            </w:r>
          </w:p>
        </w:tc>
        <w:tc>
          <w:p>
            <w:pPr>
              <w:pStyle w:val="Compact"/>
              <w:jc w:val="left"/>
            </w:pPr>
            <w:r>
              <w:t xml:space="preserve">0.54 (1.21)</w:t>
            </w:r>
          </w:p>
        </w:tc>
        <w:tc>
          <w:p>
            <w:pPr>
              <w:pStyle w:val="Compact"/>
            </w:pPr>
          </w:p>
        </w:tc>
      </w:tr>
      <w:tr>
        <w:tc>
          <w:p>
            <w:pPr>
              <w:pStyle w:val="Compact"/>
              <w:jc w:val="left"/>
            </w:pPr>
            <w:r>
              <w:t xml:space="preserve">Median (25th, 75th)</w:t>
            </w:r>
          </w:p>
        </w:tc>
        <w:tc>
          <w:p>
            <w:pPr>
              <w:pStyle w:val="Compact"/>
              <w:jc w:val="left"/>
            </w:pPr>
            <w:r>
              <w:t xml:space="preserve">NA</w:t>
            </w:r>
          </w:p>
        </w:tc>
        <w:tc>
          <w:p>
            <w:pPr>
              <w:pStyle w:val="Compact"/>
              <w:jc w:val="left"/>
            </w:pPr>
            <w:r>
              <w:t xml:space="preserve">1 (0,2)</w:t>
            </w:r>
          </w:p>
        </w:tc>
        <w:tc>
          <w:p>
            <w:pPr>
              <w:pStyle w:val="Compact"/>
              <w:jc w:val="left"/>
            </w:pPr>
            <w:r>
              <w:t xml:space="preserve">0 (0,1)</w:t>
            </w:r>
          </w:p>
        </w:tc>
        <w:tc>
          <w:p>
            <w:pPr>
              <w:pStyle w:val="Compact"/>
            </w:pP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CDC. Wide-ranging online data for epidemiologic research (WONDER). Atlanta, GA: CDC, National Center for Health Statistics; 2016. Available at</w:t>
      </w:r>
      <w:r>
        <w:t xml:space="preserve"> </w:t>
      </w:r>
      <w:hyperlink r:id="rId23">
        <w:r>
          <w:rPr>
            <w:rStyle w:val="Hyperlink"/>
          </w:rPr>
          <w:t xml:space="preserve">http://wonder.cdc.gov</w:t>
        </w:r>
      </w:hyperlink>
      <w:r>
        <w:t xml:space="preserve">.</w:t>
      </w:r>
    </w:p>
  </w:footnote>
  <w:footnote w:id="24">
    <w:p>
      <w:pPr>
        <w:pStyle w:val="FootnoteText"/>
      </w:pPr>
      <w:r>
        <w:rPr>
          <w:rStyle w:val="FootnoteReference"/>
        </w:rPr>
        <w:footnoteRef/>
      </w:r>
      <w:r>
        <w:t xml:space="preserve"> </w:t>
      </w:r>
      <w:r>
        <w:t xml:space="preserve">Rudd RA, Seth P, David F, Scholl L. Increases in Drug and Opioid-Involved Overdose Deaths — United States, 2010–2015. MMWR Morb Mortal Wkly Rep 2016;65:1445–1452. DOI:</w:t>
      </w:r>
      <w:r>
        <w:t xml:space="preserve"> </w:t>
      </w:r>
      <w:hyperlink r:id="rId25">
        <w:r>
          <w:rPr>
            <w:rStyle w:val="Hyperlink"/>
          </w:rPr>
          <w:t xml:space="preserve">http://dx.doi.org/10.15585/mmwr.mm655051e1</w:t>
        </w:r>
      </w:hyperlink>
      <w:r>
        <w:t xml:space="preserve">.</w:t>
      </w:r>
    </w:p>
  </w:footnote>
  <w:footnote w:id="26">
    <w:p>
      <w:pPr>
        <w:pStyle w:val="FootnoteText"/>
      </w:pPr>
      <w:r>
        <w:rPr>
          <w:rStyle w:val="FootnoteReference"/>
        </w:rPr>
        <w:footnoteRef/>
      </w:r>
      <w:r>
        <w:t xml:space="preserve"> </w:t>
      </w:r>
      <w:r>
        <w:t xml:space="preserve">Pavlou Menelaos, Ambler Gareth, Seaman Shaun R, Guttmann Oliver, Elliott Perry, King Michael et al. How to develop a more accurate risk prediction model when there are few events BMJ 2015; 351 :h3868</w:t>
      </w:r>
    </w:p>
  </w:footnote>
  <w:footnote w:id="27">
    <w:p>
      <w:pPr>
        <w:pStyle w:val="FootnoteText"/>
      </w:pPr>
      <w:r>
        <w:rPr>
          <w:rStyle w:val="FootnoteReference"/>
        </w:rPr>
        <w:footnoteRef/>
      </w:r>
      <w:r>
        <w:t xml:space="preserve"> </w:t>
      </w:r>
      <w:r>
        <w:t xml:space="preserve">Khalilia, M., et al. (2011). "Predicting disease risks from highly imbalanced data using random forest." BMC Med Inform Decis Mak 11: 51.</w:t>
      </w:r>
    </w:p>
  </w:footnote>
  <w:footnote w:id="28">
    <w:p>
      <w:pPr>
        <w:pStyle w:val="FootnoteText"/>
      </w:pPr>
      <w:r>
        <w:rPr>
          <w:rStyle w:val="FootnoteReference"/>
        </w:rPr>
        <w:footnoteRef/>
      </w:r>
      <w:r>
        <w:t xml:space="preserve"> </w:t>
      </w:r>
      <w:r>
        <w:t xml:space="preserve">Yap B.W., et al. (2014) An Application of Oversampling, Undersampling, Bagging and Boosting in Handling Imbalanced Datasets. Proceedings of the First International Conference on Advanced Data and Information Engineering (DaEng-2013). Lecture Notes in Electrical Engineering, vol 285. Springer, Singapore</w:t>
      </w:r>
    </w:p>
  </w:footnote>
  <w:footnote w:id="29">
    <w:p>
      <w:pPr>
        <w:pStyle w:val="FootnoteText"/>
      </w:pPr>
      <w:r>
        <w:rPr>
          <w:rStyle w:val="FootnoteReference"/>
        </w:rPr>
        <w:footnoteRef/>
      </w:r>
      <w:r>
        <w:t xml:space="preserve"> </w:t>
      </w:r>
      <w:r>
        <w:t xml:space="preserve">D.E. Amrine, B.J. White, R.L. Larson Comparison of classification algorithms to predict outcomes of feedlot cattle identified and treated for bovine respiratory disease Comput. Electron. Agri., 105 (2014), pp. 9-19</w:t>
      </w:r>
    </w:p>
  </w:footnote>
  <w:footnote w:id="33">
    <w:p>
      <w:pPr>
        <w:pStyle w:val="FootnoteText"/>
      </w:pPr>
      <w:r>
        <w:rPr>
          <w:rStyle w:val="FootnoteReference"/>
        </w:rPr>
        <w:footnoteRef/>
      </w:r>
      <w:r>
        <w:t xml:space="preserve"> </w:t>
      </w:r>
      <w:r>
        <w:t xml:space="preserve">Browne, M. W. (2000). "Cross-validation methods." Journal of Mathematical Psychology 44(1): 108-132.</w:t>
      </w:r>
    </w:p>
  </w:footnote>
  <w:footnote w:id="34">
    <w:p>
      <w:pPr>
        <w:pStyle w:val="FootnoteText"/>
      </w:pPr>
      <w:r>
        <w:rPr>
          <w:rStyle w:val="FootnoteReference"/>
        </w:rPr>
        <w:footnoteRef/>
      </w:r>
      <w:r>
        <w:t xml:space="preserve"> </w:t>
      </w:r>
      <w:r>
        <w:t xml:space="preserve">Tibshirani, R. (1996). Regression Shrinkage and Selection via the Lasso. J. Roy. Stat. Soc. Ser. B, 58(1), 267–288.</w:t>
      </w:r>
    </w:p>
  </w:footnote>
  <w:footnote w:id="35">
    <w:p>
      <w:pPr>
        <w:pStyle w:val="FootnoteText"/>
      </w:pPr>
      <w:r>
        <w:rPr>
          <w:rStyle w:val="FootnoteReference"/>
        </w:rPr>
        <w:footnoteRef/>
      </w:r>
      <w:r>
        <w:t xml:space="preserve"> </w:t>
      </w:r>
      <w:r>
        <w:t xml:space="preserve">Fluss, R., et al. (2005). "Estimation of the Youden Index and its associated cutoff point." Biom J 47(4): 458-472.</w:t>
      </w:r>
    </w:p>
  </w:footnote>
  <w:footnote w:id="36">
    <w:p>
      <w:pPr>
        <w:pStyle w:val="FootnoteText"/>
      </w:pPr>
      <w:r>
        <w:rPr>
          <w:rStyle w:val="FootnoteReference"/>
        </w:rPr>
        <w:footnoteRef/>
      </w:r>
      <w:r>
        <w:t xml:space="preserve"> </w:t>
      </w:r>
      <w:r>
        <w:t xml:space="preserve">Zou, K. H., et al. (2007). "Receiver-operating characteristic analysis for evaluating diagnostic tests and predictive models." Circulation 115(5): 654-657.</w:t>
      </w:r>
    </w:p>
  </w:footnote>
  <w:footnote w:id="37">
    <w:p>
      <w:pPr>
        <w:pStyle w:val="FootnoteText"/>
      </w:pPr>
      <w:r>
        <w:rPr>
          <w:rStyle w:val="FootnoteReference"/>
        </w:rPr>
        <w:footnoteRef/>
      </w:r>
      <w:r>
        <w:t xml:space="preserve"> </w:t>
      </w:r>
      <w:r>
        <w:t xml:space="preserve">Nakamura, M., et al. (2013). "LVQ-SMOTE - Learning Vector Quantization based Synthetic Minority Over-sampling Technique for biomedical data." BioData Min 6(1): 16.</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e56938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hyperlink" Id="rId25" Target="http://dx.doi.org/10.15585/mmwr.mm655051e1" TargetMode="External" /><Relationship Type="http://schemas.openxmlformats.org/officeDocument/2006/relationships/hyperlink" Id="rId23" Target="http://wonder.cdc.gov" TargetMode="External" /></Relationships>
</file>

<file path=word/_rels/footnotes.xml.rels><?xml version="1.0" encoding="UTF-8"?>
<Relationships xmlns="http://schemas.openxmlformats.org/package/2006/relationships"><Relationship Type="http://schemas.openxmlformats.org/officeDocument/2006/relationships/hyperlink" Id="rId25" Target="http://dx.doi.org/10.15585/mmwr.mm655051e1" TargetMode="External" /><Relationship Type="http://schemas.openxmlformats.org/officeDocument/2006/relationships/hyperlink" Id="rId23" Target="http://wonder.cdc.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Proposal</dc:title>
  <dc:creator>Alyssa Forber; Susan Calcaterra, Elizabeth Juarez-Colunga, Kathryn Colborn</dc:creator>
  <dcterms:created xsi:type="dcterms:W3CDTF">2018-02-07T18:34:55Z</dcterms:created>
  <dcterms:modified xsi:type="dcterms:W3CDTF">2018-02-07T18:34:55Z</dcterms:modified>
</cp:coreProperties>
</file>