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0"/>
        </w:rPr>
        <w:t>海南数字“三农”金融服务平台</w:t>
      </w:r>
    </w:p>
    <w:p>
      <w:pPr>
        <w:jc w:val="center"/>
      </w:pPr>
      <w:r>
        <w:rPr>
          <w:rFonts w:ascii="宋体" w:hAnsi="宋体" w:eastAsia="宋体"/>
          <w:b/>
          <w:sz w:val="36"/>
        </w:rPr>
        <w:t>需求规格说明书（第一版）</w:t>
      </w:r>
    </w:p>
    <w:p>
      <w:pPr>
        <w:jc w:val="center"/>
      </w:pPr>
      <w:r>
        <w:rPr>
          <w:rFonts w:ascii="宋体" w:hAnsi="宋体" w:eastAsia="宋体"/>
          <w:b w:val="0"/>
          <w:sz w:val="24"/>
        </w:rPr>
        <w:t>适用范围：现状分析、用户分析、业务需求分析章节初稿</w:t>
      </w:r>
    </w:p>
    <w:p>
      <w:pPr>
        <w:jc w:val="center"/>
      </w:pPr>
      <w:r>
        <w:rPr>
          <w:rFonts w:ascii="宋体" w:hAnsi="宋体" w:eastAsia="宋体"/>
          <w:b w:val="0"/>
          <w:sz w:val="24"/>
        </w:rPr>
        <w:t>版本：V1.0</w:t>
      </w:r>
    </w:p>
    <w:p/>
    <w:p>
      <w:pPr>
        <w:spacing w:line="360" w:lineRule="auto"/>
        <w:ind w:firstLine="420"/>
      </w:pPr>
      <w:r>
        <w:rPr>
          <w:rFonts w:ascii="宋体" w:hAnsi="宋体" w:eastAsia="宋体"/>
          <w:b w:val="0"/>
          <w:sz w:val="24"/>
        </w:rPr>
        <w:t>说明：本文档依据现有需求分析材料整理生成，当前重点完成“现状分析”“用户分析”“业务需求分析”正式章节，其余章节先按模板保留占位，供后续补充。</w:t>
      </w:r>
    </w:p>
    <w:p>
      <w:r>
        <w:rPr>
          <w:rFonts w:ascii="宋体" w:hAnsi="宋体" w:eastAsia="宋体"/>
          <w:b/>
          <w:sz w:val="32"/>
        </w:rPr>
        <w:t>目录</w:t>
      </w:r>
    </w:p>
    <w:p>
      <w:r>
        <w:rPr>
          <w:rFonts w:ascii="宋体" w:hAnsi="宋体" w:eastAsia="宋体"/>
          <w:b w:val="0"/>
          <w:sz w:val="24"/>
        </w:rPr>
        <w:t>1. 引言</w:t>
      </w:r>
    </w:p>
    <w:p>
      <w:r>
        <w:rPr>
          <w:rFonts w:ascii="宋体" w:hAnsi="宋体" w:eastAsia="宋体"/>
          <w:b w:val="0"/>
          <w:sz w:val="24"/>
        </w:rPr>
        <w:t>1.1 编写目的</w:t>
      </w:r>
    </w:p>
    <w:p>
      <w:r>
        <w:rPr>
          <w:rFonts w:ascii="宋体" w:hAnsi="宋体" w:eastAsia="宋体"/>
          <w:b w:val="0"/>
          <w:sz w:val="24"/>
        </w:rPr>
        <w:t>1.2 项目背景</w:t>
      </w:r>
    </w:p>
    <w:p>
      <w:r>
        <w:rPr>
          <w:rFonts w:ascii="宋体" w:hAnsi="宋体" w:eastAsia="宋体"/>
          <w:b w:val="0"/>
          <w:sz w:val="24"/>
        </w:rPr>
        <w:t>1.3 术语与定义</w:t>
      </w:r>
    </w:p>
    <w:p>
      <w:r>
        <w:rPr>
          <w:rFonts w:ascii="宋体" w:hAnsi="宋体" w:eastAsia="宋体"/>
          <w:b w:val="0"/>
          <w:sz w:val="24"/>
        </w:rPr>
        <w:t>1.4 参考资料</w:t>
      </w:r>
    </w:p>
    <w:p>
      <w:r>
        <w:rPr>
          <w:rFonts w:ascii="宋体" w:hAnsi="宋体" w:eastAsia="宋体"/>
          <w:b w:val="0"/>
          <w:sz w:val="24"/>
        </w:rPr>
        <w:t>2. 项目总体描述</w:t>
      </w:r>
    </w:p>
    <w:p>
      <w:r>
        <w:rPr>
          <w:rFonts w:ascii="宋体" w:hAnsi="宋体" w:eastAsia="宋体"/>
          <w:b w:val="0"/>
          <w:sz w:val="24"/>
        </w:rPr>
        <w:t>2.1 项目目标</w:t>
      </w:r>
    </w:p>
    <w:p>
      <w:r>
        <w:rPr>
          <w:rFonts w:ascii="宋体" w:hAnsi="宋体" w:eastAsia="宋体"/>
          <w:b w:val="0"/>
          <w:sz w:val="24"/>
        </w:rPr>
        <w:t>2.2 用户特征</w:t>
      </w:r>
    </w:p>
    <w:p>
      <w:r>
        <w:rPr>
          <w:rFonts w:ascii="宋体" w:hAnsi="宋体" w:eastAsia="宋体"/>
          <w:b w:val="0"/>
          <w:sz w:val="24"/>
        </w:rPr>
        <w:t>2.3 运行环境</w:t>
      </w:r>
    </w:p>
    <w:p>
      <w:r>
        <w:rPr>
          <w:rFonts w:ascii="宋体" w:hAnsi="宋体" w:eastAsia="宋体"/>
          <w:b w:val="0"/>
          <w:sz w:val="24"/>
        </w:rPr>
        <w:t>2.4 约束与假设</w:t>
      </w:r>
    </w:p>
    <w:p>
      <w:r>
        <w:rPr>
          <w:rFonts w:ascii="宋体" w:hAnsi="宋体" w:eastAsia="宋体"/>
          <w:b w:val="0"/>
          <w:sz w:val="24"/>
        </w:rPr>
        <w:t>3. 功能需求</w:t>
      </w:r>
    </w:p>
    <w:p>
      <w:r>
        <w:rPr>
          <w:rFonts w:ascii="宋体" w:hAnsi="宋体" w:eastAsia="宋体"/>
          <w:b w:val="0"/>
          <w:sz w:val="24"/>
        </w:rPr>
        <w:t>3.1 系统总体功能结构</w:t>
      </w:r>
    </w:p>
    <w:p>
      <w:r>
        <w:rPr>
          <w:rFonts w:ascii="宋体" w:hAnsi="宋体" w:eastAsia="宋体"/>
          <w:b w:val="0"/>
          <w:sz w:val="24"/>
        </w:rPr>
        <w:t>3.2 功能模块划分</w:t>
      </w:r>
    </w:p>
    <w:p>
      <w:r>
        <w:rPr>
          <w:rFonts w:ascii="宋体" w:hAnsi="宋体" w:eastAsia="宋体"/>
          <w:b w:val="0"/>
          <w:sz w:val="24"/>
        </w:rPr>
        <w:t>3.3 详细功能说明</w:t>
      </w:r>
    </w:p>
    <w:p>
      <w:r>
        <w:rPr>
          <w:rFonts w:ascii="宋体" w:hAnsi="宋体" w:eastAsia="宋体"/>
          <w:b w:val="0"/>
          <w:sz w:val="24"/>
        </w:rPr>
        <w:t>4. 数据需求</w:t>
      </w:r>
    </w:p>
    <w:p>
      <w:r>
        <w:t>本章依据 docs/data 目录下各模块数据结构设计文档整理，补充平台级数据分类、存储选型和核心数据表分布。详细字段定义、主键约束、索引策略和扩展字段设计以各模块数据结构设计文档为准。</w:t>
      </w:r>
    </w:p>
    <w:p>
      <w:r>
        <w:rPr>
          <w:rFonts w:ascii="宋体" w:hAnsi="宋体" w:eastAsia="宋体"/>
          <w:b w:val="0"/>
          <w:sz w:val="24"/>
        </w:rPr>
        <w:t>5. 非功能需求</w:t>
      </w:r>
    </w:p>
    <w:p>
      <w:r>
        <w:rPr>
          <w:rFonts w:ascii="宋体" w:hAnsi="宋体" w:eastAsia="宋体"/>
          <w:b w:val="0"/>
          <w:sz w:val="24"/>
        </w:rPr>
        <w:t>6. 外部接口需求</w:t>
      </w:r>
    </w:p>
    <w:p>
      <w:r>
        <w:rPr>
          <w:rFonts w:ascii="宋体" w:hAnsi="宋体" w:eastAsia="宋体"/>
          <w:b w:val="0"/>
          <w:sz w:val="24"/>
        </w:rPr>
        <w:t>7. 系统部署与运行需求</w:t>
      </w:r>
    </w:p>
    <w:p>
      <w:r>
        <w:rPr>
          <w:rFonts w:ascii="宋体" w:hAnsi="宋体" w:eastAsia="宋体"/>
          <w:b/>
          <w:sz w:val="32"/>
        </w:rPr>
        <w:t>1. 引言</w:t>
      </w:r>
    </w:p>
    <w:p>
      <w:r>
        <w:rPr>
          <w:rFonts w:ascii="宋体" w:hAnsi="宋体" w:eastAsia="宋体"/>
          <w:b/>
          <w:sz w:val="28"/>
        </w:rPr>
        <w:t>1.1 编写目的</w:t>
      </w:r>
    </w:p>
    <w:p>
      <w:pPr>
        <w:spacing w:line="360" w:lineRule="auto"/>
        <w:ind w:firstLine="420"/>
      </w:pPr>
      <w:r>
        <w:rPr>
          <w:rFonts w:ascii="宋体" w:hAnsi="宋体" w:eastAsia="宋体"/>
          <w:b w:val="0"/>
          <w:sz w:val="24"/>
        </w:rPr>
        <w:t>本文档用于明确海南数字“三农”金融服务平台项目在现状分析、用户分析和业务需求分析阶段的建设背景、用户对象、业务目标和功能方向，为需求评审、方案设计、原型设计、接口设计和后续开发实施提供统一依据。</w:t>
      </w:r>
    </w:p>
    <w:p>
      <w:r>
        <w:rPr>
          <w:rFonts w:ascii="宋体" w:hAnsi="宋体" w:eastAsia="宋体"/>
          <w:b/>
          <w:sz w:val="28"/>
        </w:rPr>
        <w:t>1.2 项目背景</w:t>
      </w:r>
    </w:p>
    <w:p>
      <w:pPr>
        <w:spacing w:line="360" w:lineRule="auto"/>
        <w:ind w:firstLine="420"/>
      </w:pPr>
      <w:r>
        <w:rPr>
          <w:rFonts w:ascii="宋体" w:hAnsi="宋体" w:eastAsia="宋体"/>
          <w:b w:val="0"/>
          <w:sz w:val="24"/>
        </w:rPr>
        <w:t>在数字化转型持续深化的背景下，信息技术正在全面重塑农业农村领域的治理方式、生产方式和服务方式。随着乡村振兴战略深入实施，农业农村领域对数据驱动、精准治理和金融赋能的需求持续增强，传统以人工采集、分散管理、线下办理为主的业务模式已难以满足现代农业农村高质量发展的要求。</w:t>
      </w:r>
    </w:p>
    <w:p>
      <w:pPr>
        <w:spacing w:line="360" w:lineRule="auto"/>
        <w:ind w:firstLine="420"/>
      </w:pPr>
      <w:r>
        <w:rPr>
          <w:rFonts w:ascii="宋体" w:hAnsi="宋体" w:eastAsia="宋体"/>
          <w:b w:val="0"/>
          <w:sz w:val="24"/>
        </w:rPr>
        <w:t>当前，“三农”领域长期面临融资难、融资贵、融资慢等突出问题。传统金融服务模式在面对分散化、多样化、季节性强、风险特征复杂的农业农村客户群体时，存在信息不对称严重、信用评价依据不足、风险识别能力不强和服务效率不高等问题。同时，随着农业现代化进程加快，农业产业链不断延伸，新型农业经营主体持续增加，农村集体经济发展模式不断丰富，农业农村对金融服务的需求已呈现多层次、个性化、综合化的发展趋势。</w:t>
      </w:r>
    </w:p>
    <w:p>
      <w:pPr>
        <w:spacing w:line="360" w:lineRule="auto"/>
        <w:ind w:firstLine="420"/>
      </w:pPr>
      <w:r>
        <w:rPr>
          <w:rFonts w:ascii="宋体" w:hAnsi="宋体" w:eastAsia="宋体"/>
          <w:b w:val="0"/>
          <w:sz w:val="24"/>
        </w:rPr>
        <w:t>本项目以海南数字“三农”金融服务平台建设为抓手，围绕农业农村金融服务所需数据资源和业务场景，推进数据汇聚、治理、共享、分析、应用和监管一体化建设，形成“政府监管、金融服务、主体经营、村级治理”协同联动的数字化支撑体系。</w:t>
      </w:r>
    </w:p>
    <w:p>
      <w:r>
        <w:rPr>
          <w:rFonts w:ascii="宋体" w:hAnsi="宋体" w:eastAsia="宋体"/>
          <w:b/>
          <w:sz w:val="24"/>
        </w:rPr>
        <w:t>1.2.1 建设现状与基础</w:t>
      </w:r>
    </w:p>
    <w:p>
      <w:pPr>
        <w:spacing w:line="360" w:lineRule="auto"/>
        <w:ind w:firstLine="420"/>
      </w:pPr>
      <w:r>
        <w:rPr>
          <w:rFonts w:ascii="宋体" w:hAnsi="宋体" w:eastAsia="宋体"/>
          <w:b w:val="0"/>
          <w:sz w:val="24"/>
        </w:rPr>
        <w:t>海南省已具备一定的农业农村数据资源基础。农业农村大数据中心经过持续建设和积累，已初步汇聚农业生产、农村经济和农民生活等多维度数据资源，为本项目建设提供了较好的数据底座。部分涉农金融机构也已围绕村级和农户层面开展基础信息采集工作，积累了农业农村客户信息和金融服务经验。</w:t>
      </w:r>
    </w:p>
    <w:p>
      <w:pPr>
        <w:spacing w:line="360" w:lineRule="auto"/>
        <w:ind w:firstLine="420"/>
      </w:pPr>
      <w:r>
        <w:rPr>
          <w:rFonts w:ascii="宋体" w:hAnsi="宋体" w:eastAsia="宋体"/>
          <w:b w:val="0"/>
          <w:sz w:val="24"/>
        </w:rPr>
        <w:t>现有数据资源覆盖农作物种植、土地资源、气象影响、农村企业经营、土地流转、农村电商发展、农户收入结构等多个方面，具备进一步整合、治理和应用的空间。通过统一标准和数据治理体系建设，原有分散数据可逐步转化为可共享、可分析、可服务的数字资产。</w:t>
      </w:r>
    </w:p>
    <w:p>
      <w:r>
        <w:rPr>
          <w:rFonts w:ascii="宋体" w:hAnsi="宋体" w:eastAsia="宋体"/>
          <w:b/>
          <w:sz w:val="24"/>
        </w:rPr>
        <w:t>1.2.2 面临问题与挑战</w:t>
      </w:r>
    </w:p>
    <w:p>
      <w:pPr>
        <w:pStyle w:val="ListNumber"/>
        <w:spacing w:line="360" w:lineRule="auto"/>
      </w:pPr>
      <w:r>
        <w:rPr>
          <w:rFonts w:ascii="宋体" w:hAnsi="宋体" w:eastAsia="宋体"/>
          <w:b w:val="0"/>
          <w:sz w:val="24"/>
        </w:rPr>
        <w:t>传统数据采集方式成本高、效率低，农村地区地域广、分布散，进村入户采集需要投入大量人力物力，且回访核实难度大。</w:t>
      </w:r>
    </w:p>
    <w:p>
      <w:pPr>
        <w:pStyle w:val="ListNumber"/>
        <w:spacing w:line="360" w:lineRule="auto"/>
      </w:pPr>
      <w:r>
        <w:rPr>
          <w:rFonts w:ascii="宋体" w:hAnsi="宋体" w:eastAsia="宋体"/>
          <w:b w:val="0"/>
          <w:sz w:val="24"/>
        </w:rPr>
        <w:t>数据核准难度较大，缺乏统一有效的第三方验证机制，农户和经营主体填报信息容易出现遗漏、偏差和失真。</w:t>
      </w:r>
    </w:p>
    <w:p>
      <w:pPr>
        <w:pStyle w:val="ListNumber"/>
        <w:spacing w:line="360" w:lineRule="auto"/>
      </w:pPr>
      <w:r>
        <w:rPr>
          <w:rFonts w:ascii="宋体" w:hAnsi="宋体" w:eastAsia="宋体"/>
          <w:b w:val="0"/>
          <w:sz w:val="24"/>
        </w:rPr>
        <w:t>不同部门在采集口径、编码规则和统计方式上不统一，数据整合与共享存在明显壁垒。</w:t>
      </w:r>
    </w:p>
    <w:p>
      <w:pPr>
        <w:pStyle w:val="ListNumber"/>
        <w:spacing w:line="360" w:lineRule="auto"/>
      </w:pPr>
      <w:r>
        <w:rPr>
          <w:rFonts w:ascii="宋体" w:hAnsi="宋体" w:eastAsia="宋体"/>
          <w:b w:val="0"/>
          <w:sz w:val="24"/>
        </w:rPr>
        <w:t>部分数据依赖人工上报，审核机制仍以人工抽查和简单逻辑校验为主，难以满足高质量数据治理要求。</w:t>
      </w:r>
    </w:p>
    <w:p>
      <w:pPr>
        <w:pStyle w:val="ListNumber"/>
        <w:spacing w:line="360" w:lineRule="auto"/>
      </w:pPr>
      <w:r>
        <w:rPr>
          <w:rFonts w:ascii="宋体" w:hAnsi="宋体" w:eastAsia="宋体"/>
          <w:b w:val="0"/>
          <w:sz w:val="24"/>
        </w:rPr>
        <w:t>现有存储、传输和计算能力在应对海量、多源、动态增长的涉农数据方面仍存在短板。</w:t>
      </w:r>
    </w:p>
    <w:p>
      <w:pPr>
        <w:pStyle w:val="ListNumber"/>
        <w:spacing w:line="360" w:lineRule="auto"/>
      </w:pPr>
      <w:r>
        <w:rPr>
          <w:rFonts w:ascii="宋体" w:hAnsi="宋体" w:eastAsia="宋体"/>
          <w:b w:val="0"/>
          <w:sz w:val="24"/>
        </w:rPr>
        <w:t>既懂农业农村业务又懂数据治理、信息技术和模型分析的复合型人才较为匮乏。</w:t>
      </w:r>
    </w:p>
    <w:p>
      <w:r>
        <w:rPr>
          <w:rFonts w:ascii="宋体" w:hAnsi="宋体" w:eastAsia="宋体"/>
          <w:b/>
          <w:sz w:val="28"/>
        </w:rPr>
        <w:t>1.3 术语与定义</w:t>
      </w:r>
    </w:p>
    <w:p>
      <w:pPr>
        <w:spacing w:line="360" w:lineRule="auto"/>
        <w:ind w:firstLine="420"/>
      </w:pPr>
      <w:r>
        <w:rPr>
          <w:rFonts w:ascii="宋体" w:hAnsi="宋体" w:eastAsia="宋体"/>
          <w:b w:val="0"/>
          <w:sz w:val="24"/>
        </w:rPr>
        <w:t>三农：指农业、农村和农民。</w:t>
      </w:r>
    </w:p>
    <w:p>
      <w:pPr>
        <w:spacing w:line="360" w:lineRule="auto"/>
        <w:ind w:firstLine="420"/>
      </w:pPr>
      <w:r>
        <w:rPr>
          <w:rFonts w:ascii="宋体" w:hAnsi="宋体" w:eastAsia="宋体"/>
          <w:b w:val="0"/>
          <w:sz w:val="24"/>
        </w:rPr>
        <w:t>新型农业经营主体：指家庭农场、农民合作社、农业企业等从事农业生产经营活动的组织或主体。</w:t>
      </w:r>
    </w:p>
    <w:p>
      <w:pPr>
        <w:spacing w:line="360" w:lineRule="auto"/>
        <w:ind w:firstLine="420"/>
      </w:pPr>
      <w:r>
        <w:rPr>
          <w:rFonts w:ascii="宋体" w:hAnsi="宋体" w:eastAsia="宋体"/>
          <w:b w:val="0"/>
          <w:sz w:val="24"/>
        </w:rPr>
        <w:t>农经一张图：指对农业农村经济相关数据进行统一汇聚、统计分析、可视化展示和风险预警的综合监管应用。</w:t>
      </w:r>
    </w:p>
    <w:p>
      <w:pPr>
        <w:spacing w:line="360" w:lineRule="auto"/>
        <w:ind w:firstLine="420"/>
      </w:pPr>
      <w:r>
        <w:rPr>
          <w:rFonts w:ascii="宋体" w:hAnsi="宋体" w:eastAsia="宋体"/>
          <w:b w:val="0"/>
          <w:sz w:val="24"/>
        </w:rPr>
        <w:t>信用画像：指基于主体基础信息、经营数据、财务数据和信用记录形成的多维度综合评价结果。</w:t>
      </w:r>
    </w:p>
    <w:p>
      <w:r>
        <w:rPr>
          <w:rFonts w:ascii="宋体" w:hAnsi="宋体" w:eastAsia="宋体"/>
          <w:b/>
          <w:sz w:val="28"/>
        </w:rPr>
        <w:t>1.4 参考资料</w:t>
      </w:r>
    </w:p>
    <w:p>
      <w:pPr>
        <w:pStyle w:val="ListNumber"/>
        <w:spacing w:line="360" w:lineRule="auto"/>
      </w:pPr>
      <w:r>
        <w:rPr>
          <w:rFonts w:ascii="宋体" w:hAnsi="宋体" w:eastAsia="宋体"/>
          <w:b w:val="0"/>
          <w:sz w:val="24"/>
        </w:rPr>
        <w:t>《海南数字“三农”金融服务平台需求分析》相关材料。</w:t>
      </w:r>
    </w:p>
    <w:p>
      <w:pPr>
        <w:pStyle w:val="ListNumber"/>
        <w:spacing w:line="360" w:lineRule="auto"/>
      </w:pPr>
      <w:r>
        <w:rPr>
          <w:rFonts w:ascii="宋体" w:hAnsi="宋体" w:eastAsia="宋体"/>
          <w:b w:val="0"/>
          <w:sz w:val="24"/>
        </w:rPr>
        <w:t>项目已整理的六个业务模块需求分析文档。</w:t>
      </w:r>
    </w:p>
    <w:p>
      <w:pPr>
        <w:pStyle w:val="ListNumber"/>
        <w:spacing w:line="360" w:lineRule="auto"/>
      </w:pPr>
      <w:r>
        <w:rPr>
          <w:rFonts w:ascii="宋体" w:hAnsi="宋体" w:eastAsia="宋体"/>
          <w:b w:val="0"/>
          <w:sz w:val="24"/>
        </w:rPr>
        <w:t>乡村振兴、数字乡村、农村集体经济管理相关政策和业务规范。</w:t>
      </w:r>
    </w:p>
    <w:p>
      <w:r>
        <w:rPr>
          <w:rFonts w:ascii="宋体" w:hAnsi="宋体" w:eastAsia="宋体"/>
          <w:b/>
          <w:sz w:val="32"/>
        </w:rPr>
        <w:t>2. 项目总体描述</w:t>
      </w:r>
    </w:p>
    <w:p>
      <w:r>
        <w:rPr>
          <w:rFonts w:ascii="宋体" w:hAnsi="宋体" w:eastAsia="宋体"/>
          <w:b/>
          <w:sz w:val="28"/>
        </w:rPr>
        <w:t>2.1 项目目标</w:t>
      </w:r>
    </w:p>
    <w:p>
      <w:pPr>
        <w:pStyle w:val="ListNumber"/>
        <w:spacing w:line="360" w:lineRule="auto"/>
      </w:pPr>
      <w:r>
        <w:rPr>
          <w:rFonts w:ascii="宋体" w:hAnsi="宋体" w:eastAsia="宋体"/>
          <w:b w:val="0"/>
          <w:sz w:val="24"/>
        </w:rPr>
        <w:t>充分激活已有农业农村大数据资源，提升数据资产化和业务应用能力。</w:t>
      </w:r>
    </w:p>
    <w:p>
      <w:pPr>
        <w:pStyle w:val="ListNumber"/>
        <w:spacing w:line="360" w:lineRule="auto"/>
      </w:pPr>
      <w:r>
        <w:rPr>
          <w:rFonts w:ascii="宋体" w:hAnsi="宋体" w:eastAsia="宋体"/>
          <w:b w:val="0"/>
          <w:sz w:val="24"/>
        </w:rPr>
        <w:t>构建面向政府部门、金融机构、村集体组织和新型农业经营主体的综合服务平台。</w:t>
      </w:r>
    </w:p>
    <w:p>
      <w:pPr>
        <w:pStyle w:val="ListNumber"/>
        <w:spacing w:line="360" w:lineRule="auto"/>
      </w:pPr>
      <w:r>
        <w:rPr>
          <w:rFonts w:ascii="宋体" w:hAnsi="宋体" w:eastAsia="宋体"/>
          <w:b w:val="0"/>
          <w:sz w:val="24"/>
        </w:rPr>
        <w:t>提升金融支农服务的精准性、可获得性和效率，缓解融资难、融资贵、融资慢问题。</w:t>
      </w:r>
    </w:p>
    <w:p>
      <w:pPr>
        <w:pStyle w:val="ListNumber"/>
        <w:spacing w:line="360" w:lineRule="auto"/>
      </w:pPr>
      <w:r>
        <w:rPr>
          <w:rFonts w:ascii="宋体" w:hAnsi="宋体" w:eastAsia="宋体"/>
          <w:b w:val="0"/>
          <w:sz w:val="24"/>
        </w:rPr>
        <w:t>强化农业农村领域数据治理、动态监管和风险预警能力。</w:t>
      </w:r>
    </w:p>
    <w:p>
      <w:pPr>
        <w:pStyle w:val="ListNumber"/>
        <w:spacing w:line="360" w:lineRule="auto"/>
      </w:pPr>
      <w:r>
        <w:rPr>
          <w:rFonts w:ascii="宋体" w:hAnsi="宋体" w:eastAsia="宋体"/>
          <w:b w:val="0"/>
          <w:sz w:val="24"/>
        </w:rPr>
        <w:t>支撑乡村振兴战略落地实施，促进农业增效、农村发展和农民增收。</w:t>
      </w:r>
    </w:p>
    <w:p>
      <w:r>
        <w:rPr>
          <w:rFonts w:ascii="宋体" w:hAnsi="宋体" w:eastAsia="宋体"/>
          <w:b/>
          <w:sz w:val="28"/>
        </w:rPr>
        <w:t>2.2 用户特征</w:t>
      </w:r>
    </w:p>
    <w:p>
      <w:r>
        <w:rPr>
          <w:rFonts w:ascii="宋体" w:hAnsi="宋体" w:eastAsia="宋体"/>
          <w:b/>
          <w:sz w:val="24"/>
        </w:rPr>
        <w:t>2.2.1 用户主体分析</w:t>
      </w:r>
    </w:p>
    <w:p>
      <w:pPr>
        <w:spacing w:line="360" w:lineRule="auto"/>
        <w:ind w:firstLine="420"/>
      </w:pPr>
      <w:r>
        <w:rPr>
          <w:rFonts w:ascii="宋体" w:hAnsi="宋体" w:eastAsia="宋体"/>
          <w:b w:val="0"/>
          <w:sz w:val="24"/>
        </w:rPr>
        <w:t>平台面向多主体协同应用，覆盖政府农业管理部门、金融机构、村集体组织、新型农业经营主体及农业服务提供商等用户群体。各类用户在平台中承担不同职责，围绕数据采集、业务办理、监督管理、金融服务和协同支撑形成完整的业务生态。</w:t>
      </w:r>
    </w:p>
    <w:p>
      <w:r>
        <w:rPr>
          <w:rFonts w:ascii="宋体" w:hAnsi="宋体" w:eastAsia="宋体"/>
          <w:b/>
          <w:sz w:val="24"/>
        </w:rPr>
        <w:t>2.2.2 用户详情分析</w:t>
      </w:r>
    </w:p>
    <w:p>
      <w:pPr>
        <w:spacing w:line="360" w:lineRule="auto"/>
        <w:ind w:firstLine="420"/>
      </w:pPr>
      <w:r>
        <w:rPr>
          <w:rFonts w:ascii="宋体" w:hAnsi="宋体" w:eastAsia="宋体"/>
          <w:b w:val="0"/>
          <w:sz w:val="24"/>
        </w:rPr>
        <w:t>政府农业管理部门包括农业主管领导、业务科室人员、乡镇会计、农经站和财政所工作人员等，主要负责政策制定、项目监管、数据审核、统计分析、财务监督和行政决策。</w:t>
      </w:r>
    </w:p>
    <w:p>
      <w:pPr>
        <w:spacing w:line="360" w:lineRule="auto"/>
        <w:ind w:firstLine="420"/>
      </w:pPr>
      <w:r>
        <w:rPr>
          <w:rFonts w:ascii="宋体" w:hAnsi="宋体" w:eastAsia="宋体"/>
          <w:b w:val="0"/>
          <w:sz w:val="24"/>
        </w:rPr>
        <w:t>金融机构包括银行、保险机构、担保机构及其他涉农金融服务主体，主要基于平台数据开展客户识别、授信评估、风险控制、产品营销和贷后管理。</w:t>
      </w:r>
    </w:p>
    <w:p>
      <w:pPr>
        <w:spacing w:line="360" w:lineRule="auto"/>
        <w:ind w:firstLine="420"/>
      </w:pPr>
      <w:r>
        <w:rPr>
          <w:rFonts w:ascii="宋体" w:hAnsi="宋体" w:eastAsia="宋体"/>
          <w:b w:val="0"/>
          <w:sz w:val="24"/>
        </w:rPr>
        <w:t>村集体组织主要指村委会及相关村级管理人员，是基层数据填报、财务管理和资源整合的重要使用主体，承担账务申请、收支管理、资产资源维护和村级事务配合等职责。</w:t>
      </w:r>
    </w:p>
    <w:p>
      <w:pPr>
        <w:spacing w:line="360" w:lineRule="auto"/>
        <w:ind w:firstLine="420"/>
      </w:pPr>
      <w:r>
        <w:rPr>
          <w:rFonts w:ascii="宋体" w:hAnsi="宋体" w:eastAsia="宋体"/>
          <w:b w:val="0"/>
          <w:sz w:val="24"/>
        </w:rPr>
        <w:t>新型农业经营主体主要包括家庭农场、农民合作社和农业企业等，主要通过平台完成经营数据和财务数据填报、金融需求申请、示范申报及项目申报等业务。</w:t>
      </w:r>
    </w:p>
    <w:p>
      <w:pPr>
        <w:spacing w:line="360" w:lineRule="auto"/>
        <w:ind w:firstLine="420"/>
      </w:pPr>
      <w:r>
        <w:rPr>
          <w:rFonts w:ascii="宋体" w:hAnsi="宋体" w:eastAsia="宋体"/>
          <w:b w:val="0"/>
          <w:sz w:val="24"/>
        </w:rPr>
        <w:t>农业服务提供商主要围绕农资供应、农业技术服务、农产品流通等环节开展业务，可基于平台数据优化服务布局，并反馈服务数据参与产业协同。</w:t>
      </w:r>
    </w:p>
    <w:p>
      <w:r>
        <w:rPr>
          <w:rFonts w:ascii="宋体" w:hAnsi="宋体" w:eastAsia="宋体"/>
          <w:b/>
          <w:sz w:val="24"/>
        </w:rPr>
        <w:t>2.2.3 用户需求分析</w:t>
      </w:r>
    </w:p>
    <w:p>
      <w:pPr>
        <w:pStyle w:val="ListNumber"/>
        <w:spacing w:line="360" w:lineRule="auto"/>
      </w:pPr>
      <w:r>
        <w:rPr>
          <w:rFonts w:ascii="宋体" w:hAnsi="宋体" w:eastAsia="宋体"/>
          <w:b w:val="0"/>
          <w:sz w:val="24"/>
        </w:rPr>
        <w:t>政府农业管理部门需要全面、准确、及时掌握“三农”基础数据、村集体财务数据、涉农主体经营数据和金融服务数据，以支撑科学决策、风险预警和过程监管。</w:t>
      </w:r>
    </w:p>
    <w:p>
      <w:pPr>
        <w:pStyle w:val="ListNumber"/>
        <w:spacing w:line="360" w:lineRule="auto"/>
      </w:pPr>
      <w:r>
        <w:rPr>
          <w:rFonts w:ascii="宋体" w:hAnsi="宋体" w:eastAsia="宋体"/>
          <w:b w:val="0"/>
          <w:sz w:val="24"/>
        </w:rPr>
        <w:t>金融机构需要降低农业农村金融服务中的信息不对称风险，提升客户画像、信用评估、精准营销和贷后管理能力。</w:t>
      </w:r>
    </w:p>
    <w:p>
      <w:pPr>
        <w:pStyle w:val="ListNumber"/>
        <w:spacing w:line="360" w:lineRule="auto"/>
      </w:pPr>
      <w:r>
        <w:rPr>
          <w:rFonts w:ascii="宋体" w:hAnsi="宋体" w:eastAsia="宋体"/>
          <w:b w:val="0"/>
          <w:sz w:val="24"/>
        </w:rPr>
        <w:t>村集体组织需要通过系统规范财务管理流程，提升账务处理效率和透明度，实现资产、资源、资金和合同的统一管理。</w:t>
      </w:r>
    </w:p>
    <w:p>
      <w:pPr>
        <w:pStyle w:val="ListNumber"/>
        <w:spacing w:line="360" w:lineRule="auto"/>
      </w:pPr>
      <w:r>
        <w:rPr>
          <w:rFonts w:ascii="宋体" w:hAnsi="宋体" w:eastAsia="宋体"/>
          <w:b w:val="0"/>
          <w:sz w:val="24"/>
        </w:rPr>
        <w:t>新型农业经营主体需要便捷获取贷款、担保、保险等金融支持，并通过平台展示经营能力和信用水平，获取更多政策和市场机会。</w:t>
      </w:r>
    </w:p>
    <w:p>
      <w:pPr>
        <w:pStyle w:val="ListNumber"/>
        <w:spacing w:line="360" w:lineRule="auto"/>
      </w:pPr>
      <w:r>
        <w:rPr>
          <w:rFonts w:ascii="宋体" w:hAnsi="宋体" w:eastAsia="宋体"/>
          <w:b w:val="0"/>
          <w:sz w:val="24"/>
        </w:rPr>
        <w:t>农业服务提供商需要获取农业经营主体和产业链相关数据，以便优化服务布局，建立更精准的供需匹配关系。</w:t>
      </w:r>
    </w:p>
    <w:p>
      <w:r>
        <w:rPr>
          <w:rFonts w:ascii="宋体" w:hAnsi="宋体" w:eastAsia="宋体"/>
          <w:b/>
          <w:sz w:val="28"/>
        </w:rPr>
        <w:t>2.3 运行环境</w:t>
      </w:r>
    </w:p>
    <w:p>
      <w:r>
        <w:rPr>
          <w:rFonts w:ascii="宋体" w:hAnsi="宋体" w:eastAsia="宋体"/>
          <w:b/>
          <w:sz w:val="24"/>
        </w:rPr>
        <w:t>2.3.1 硬件环境</w:t>
      </w:r>
    </w:p>
    <w:p>
      <w:r>
        <w:t>平台运行环境采用分层部署方式，结合业务访问量、数据采集批处理和数据库存储需求配置服务器资源。应用服务与数据库服务分角色部署，保证交易处理、数据采集、统计分析和数据库存储互不争抢核心资源。</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数量</w:t>
            </w:r>
          </w:p>
        </w:tc>
        <w:tc>
          <w:tcPr>
            <w:tcW w:type="dxa" w:w="2161"/>
          </w:tcPr>
          <w:p>
            <w:r>
              <w:t>硬件配置</w:t>
            </w:r>
          </w:p>
        </w:tc>
        <w:tc>
          <w:tcPr>
            <w:tcW w:type="dxa" w:w="2161"/>
          </w:tcPr>
          <w:p>
            <w:r>
              <w:t>建议部署角色</w:t>
            </w:r>
          </w:p>
        </w:tc>
      </w:tr>
      <w:tr>
        <w:tc>
          <w:tcPr>
            <w:tcW w:type="dxa" w:w="2161"/>
          </w:tcPr>
          <w:p>
            <w:r>
              <w:t>1</w:t>
            </w:r>
          </w:p>
        </w:tc>
        <w:tc>
          <w:tcPr>
            <w:tcW w:type="dxa" w:w="2161"/>
          </w:tcPr>
          <w:p>
            <w:r>
              <w:t>3台</w:t>
            </w:r>
          </w:p>
        </w:tc>
        <w:tc>
          <w:tcPr>
            <w:tcW w:type="dxa" w:w="2161"/>
          </w:tcPr>
          <w:p>
            <w:r>
              <w:t>内存32GB，CPU 16核，SSD 1TB，普通硬盘 2TB</w:t>
            </w:r>
          </w:p>
        </w:tc>
        <w:tc>
          <w:tcPr>
            <w:tcW w:type="dxa" w:w="2161"/>
          </w:tcPr>
          <w:p>
            <w:r>
              <w:t>应用服务节点、数据采集节点、接口服务节点</w:t>
            </w:r>
          </w:p>
        </w:tc>
      </w:tr>
      <w:tr>
        <w:tc>
          <w:tcPr>
            <w:tcW w:type="dxa" w:w="2161"/>
          </w:tcPr>
          <w:p>
            <w:r>
              <w:t>2</w:t>
            </w:r>
          </w:p>
        </w:tc>
        <w:tc>
          <w:tcPr>
            <w:tcW w:type="dxa" w:w="2161"/>
          </w:tcPr>
          <w:p>
            <w:r>
              <w:t>2台</w:t>
            </w:r>
          </w:p>
        </w:tc>
        <w:tc>
          <w:tcPr>
            <w:tcW w:type="dxa" w:w="2161"/>
          </w:tcPr>
          <w:p>
            <w:r>
              <w:t>内存64GB，CPU 16核，SSD 2TB，普通硬盘 1TB</w:t>
            </w:r>
          </w:p>
        </w:tc>
        <w:tc>
          <w:tcPr>
            <w:tcW w:type="dxa" w:w="2161"/>
          </w:tcPr>
          <w:p>
            <w:r>
              <w:t>数据库节点、统计分析节点</w:t>
            </w:r>
          </w:p>
        </w:tc>
      </w:tr>
      <w:tr>
        <w:tc>
          <w:tcPr>
            <w:tcW w:type="dxa" w:w="2161"/>
          </w:tcPr>
          <w:p>
            <w:r>
              <w:t>3</w:t>
            </w:r>
          </w:p>
        </w:tc>
        <w:tc>
          <w:tcPr>
            <w:tcW w:type="dxa" w:w="2161"/>
          </w:tcPr>
          <w:p>
            <w:r>
              <w:t>部署要求</w:t>
            </w:r>
          </w:p>
        </w:tc>
        <w:tc>
          <w:tcPr>
            <w:tcW w:type="dxa" w:w="2161"/>
          </w:tcPr>
          <w:p>
            <w:r>
              <w:t>应用与数据库分离部署，数据库节点优先保障SSD和内存资源</w:t>
            </w:r>
          </w:p>
        </w:tc>
        <w:tc>
          <w:tcPr>
            <w:tcW w:type="dxa" w:w="2161"/>
          </w:tcPr>
          <w:p>
            <w:r>
              <w:t>保证采集、交易、查询和统计并发稳定性</w:t>
            </w:r>
          </w:p>
        </w:tc>
      </w:tr>
    </w:tbl>
    <w:p>
      <w:r>
        <w:rPr>
          <w:rFonts w:ascii="宋体" w:hAnsi="宋体" w:eastAsia="宋体"/>
          <w:b/>
          <w:sz w:val="24"/>
        </w:rPr>
        <w:t>2.3.2 软件环境</w:t>
      </w:r>
    </w:p>
    <w:p>
      <w:r>
        <w:t>软件环境以国产化部署为原则，统一采用麒麟操作系统和 Java 17+ 运行环境，核心业务数据库采用金仓数据库，以满足政务项目对兼容性、安全性和可维护性的要求。</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类别</w:t>
            </w:r>
          </w:p>
        </w:tc>
        <w:tc>
          <w:tcPr>
            <w:tcW w:type="dxa" w:w="2161"/>
          </w:tcPr>
          <w:p>
            <w:r>
              <w:t>配置要求</w:t>
            </w:r>
          </w:p>
        </w:tc>
        <w:tc>
          <w:tcPr>
            <w:tcW w:type="dxa" w:w="2161"/>
          </w:tcPr>
          <w:p>
            <w:r>
              <w:t>用途说明</w:t>
            </w:r>
          </w:p>
        </w:tc>
      </w:tr>
      <w:tr>
        <w:tc>
          <w:tcPr>
            <w:tcW w:type="dxa" w:w="2161"/>
          </w:tcPr>
          <w:p>
            <w:r>
              <w:t>1</w:t>
            </w:r>
          </w:p>
        </w:tc>
        <w:tc>
          <w:tcPr>
            <w:tcW w:type="dxa" w:w="2161"/>
          </w:tcPr>
          <w:p>
            <w:r>
              <w:t>操作系统</w:t>
            </w:r>
          </w:p>
        </w:tc>
        <w:tc>
          <w:tcPr>
            <w:tcW w:type="dxa" w:w="2161"/>
          </w:tcPr>
          <w:p>
            <w:r>
              <w:t>麒麟操作系统</w:t>
            </w:r>
          </w:p>
        </w:tc>
        <w:tc>
          <w:tcPr>
            <w:tcW w:type="dxa" w:w="2161"/>
          </w:tcPr>
          <w:p>
            <w:r>
              <w:t>承载应用服务、数据采集服务和数据库服务</w:t>
            </w:r>
          </w:p>
        </w:tc>
      </w:tr>
      <w:tr>
        <w:tc>
          <w:tcPr>
            <w:tcW w:type="dxa" w:w="2161"/>
          </w:tcPr>
          <w:p>
            <w:r>
              <w:t>2</w:t>
            </w:r>
          </w:p>
        </w:tc>
        <w:tc>
          <w:tcPr>
            <w:tcW w:type="dxa" w:w="2161"/>
          </w:tcPr>
          <w:p>
            <w:r>
              <w:t>应用运行环境</w:t>
            </w:r>
          </w:p>
        </w:tc>
        <w:tc>
          <w:tcPr>
            <w:tcW w:type="dxa" w:w="2161"/>
          </w:tcPr>
          <w:p>
            <w:r>
              <w:t>Java 17+</w:t>
            </w:r>
          </w:p>
        </w:tc>
        <w:tc>
          <w:tcPr>
            <w:tcW w:type="dxa" w:w="2161"/>
          </w:tcPr>
          <w:p>
            <w:r>
              <w:t>承载平台后端业务服务、接口服务和定时任务</w:t>
            </w:r>
          </w:p>
        </w:tc>
      </w:tr>
      <w:tr>
        <w:tc>
          <w:tcPr>
            <w:tcW w:type="dxa" w:w="2161"/>
          </w:tcPr>
          <w:p>
            <w:r>
              <w:t>3</w:t>
            </w:r>
          </w:p>
        </w:tc>
        <w:tc>
          <w:tcPr>
            <w:tcW w:type="dxa" w:w="2161"/>
          </w:tcPr>
          <w:p>
            <w:r>
              <w:t>数据库</w:t>
            </w:r>
          </w:p>
        </w:tc>
        <w:tc>
          <w:tcPr>
            <w:tcW w:type="dxa" w:w="2161"/>
          </w:tcPr>
          <w:p>
            <w:r>
              <w:t>金仓数据库（KingbaseES）</w:t>
            </w:r>
          </w:p>
        </w:tc>
        <w:tc>
          <w:tcPr>
            <w:tcW w:type="dxa" w:w="2161"/>
          </w:tcPr>
          <w:p>
            <w:r>
              <w:t>承载业务主数据、交易数据、统计数据和批次追溯信息</w:t>
            </w:r>
          </w:p>
        </w:tc>
      </w:tr>
      <w:tr>
        <w:tc>
          <w:tcPr>
            <w:tcW w:type="dxa" w:w="2161"/>
          </w:tcPr>
          <w:p>
            <w:r>
              <w:t>4</w:t>
            </w:r>
          </w:p>
        </w:tc>
        <w:tc>
          <w:tcPr>
            <w:tcW w:type="dxa" w:w="2161"/>
          </w:tcPr>
          <w:p>
            <w:r>
              <w:t>部署原则</w:t>
            </w:r>
          </w:p>
        </w:tc>
        <w:tc>
          <w:tcPr>
            <w:tcW w:type="dxa" w:w="2161"/>
          </w:tcPr>
          <w:p>
            <w:r>
              <w:t>统一版本、统一参数、统一监控</w:t>
            </w:r>
          </w:p>
        </w:tc>
        <w:tc>
          <w:tcPr>
            <w:tcW w:type="dxa" w:w="2161"/>
          </w:tcPr>
          <w:p>
            <w:r>
              <w:t>降低跨环境差异，便于运维和问题定位</w:t>
            </w:r>
          </w:p>
        </w:tc>
      </w:tr>
    </w:tbl>
    <w:p>
      <w:r>
        <w:rPr>
          <w:rFonts w:ascii="宋体" w:hAnsi="宋体" w:eastAsia="宋体"/>
          <w:b/>
          <w:sz w:val="28"/>
        </w:rPr>
        <w:t>2.4 约束与假设</w:t>
      </w:r>
    </w:p>
    <w:p>
      <w:r>
        <w:rPr>
          <w:rFonts w:ascii="宋体" w:hAnsi="宋体" w:eastAsia="宋体"/>
          <w:b/>
          <w:sz w:val="32"/>
        </w:rPr>
        <w:t>3. 功能需求</w:t>
      </w:r>
    </w:p>
    <w:p>
      <w:r>
        <w:rPr>
          <w:rFonts w:ascii="宋体" w:hAnsi="宋体" w:eastAsia="宋体"/>
          <w:b/>
          <w:sz w:val="28"/>
        </w:rPr>
        <w:t>3.1 系统总体功能结构</w:t>
      </w:r>
    </w:p>
    <w:p>
      <w:pPr>
        <w:spacing w:line="360" w:lineRule="auto"/>
        <w:ind w:firstLine="420"/>
      </w:pPr>
      <w:r>
        <w:rPr>
          <w:rFonts w:ascii="宋体" w:hAnsi="宋体" w:eastAsia="宋体"/>
          <w:b w:val="0"/>
          <w:sz w:val="24"/>
        </w:rPr>
        <w:t>本项目围绕“数字三农金融数据底座 + 业务应用系统”进行建设，形成“数据汇聚、数据治理、监管分析、金融服务、业务协同”一体化功能体系。总体上包括数字“三农”金融数据总平台以及六个重点业务系统，即农经一张图、村委财务事务管理系统、村集体绩效评价管理系统、村集体经济收入台账系统、村集体智能审计系统和新型农业经营主体业务经营监管系统。</w:t>
      </w:r>
    </w:p>
    <w:p>
      <w:r>
        <w:rPr>
          <w:rFonts w:ascii="宋体" w:hAnsi="宋体" w:eastAsia="宋体"/>
          <w:b/>
          <w:sz w:val="28"/>
        </w:rPr>
        <w:t>3.2 功能模块划分</w:t>
      </w:r>
    </w:p>
    <w:p>
      <w:r>
        <w:rPr>
          <w:rFonts w:ascii="宋体" w:hAnsi="宋体" w:eastAsia="宋体"/>
          <w:b/>
          <w:sz w:val="24"/>
        </w:rPr>
        <w:t>3.2.1 数字“三农”金融数据总平台</w:t>
      </w:r>
    </w:p>
    <w:p>
      <w:pPr>
        <w:spacing w:line="360" w:lineRule="auto"/>
        <w:ind w:firstLine="420"/>
      </w:pPr>
      <w:r>
        <w:rPr>
          <w:rFonts w:ascii="宋体" w:hAnsi="宋体" w:eastAsia="宋体"/>
          <w:b w:val="0"/>
          <w:sz w:val="24"/>
        </w:rPr>
        <w:t>围绕“三农”金融服务所需数据源建设统一的数据汇聚、治理和服务体系，强化数据迭代更新和关联融合，为各业务系统和金融服务应用提供底座支撑。</w:t>
      </w:r>
    </w:p>
    <w:p>
      <w:r>
        <w:rPr>
          <w:rFonts w:ascii="宋体" w:hAnsi="宋体" w:eastAsia="宋体"/>
          <w:b/>
          <w:sz w:val="24"/>
        </w:rPr>
        <w:t>3.2.2 农经一张图</w:t>
      </w:r>
    </w:p>
    <w:p>
      <w:pPr>
        <w:spacing w:line="360" w:lineRule="auto"/>
        <w:ind w:firstLine="420"/>
      </w:pPr>
      <w:r>
        <w:rPr>
          <w:rFonts w:ascii="宋体" w:hAnsi="宋体" w:eastAsia="宋体"/>
          <w:b w:val="0"/>
          <w:sz w:val="24"/>
        </w:rPr>
        <w:t>整合农业农村相关业务系统数据，形成统一的数据展示、统计分析、动态监测和风险预警能力，为农业农村管理部门提供“以图管农”的综合监管手段。</w:t>
      </w:r>
    </w:p>
    <w:p>
      <w:r>
        <w:rPr>
          <w:rFonts w:ascii="宋体" w:hAnsi="宋体" w:eastAsia="宋体"/>
          <w:b/>
          <w:sz w:val="24"/>
        </w:rPr>
        <w:t>3.2.3 村委财务事务管理系统</w:t>
      </w:r>
    </w:p>
    <w:p>
      <w:pPr>
        <w:spacing w:line="360" w:lineRule="auto"/>
        <w:ind w:firstLine="420"/>
      </w:pPr>
      <w:r>
        <w:rPr>
          <w:rFonts w:ascii="宋体" w:hAnsi="宋体" w:eastAsia="宋体"/>
          <w:b w:val="0"/>
          <w:sz w:val="24"/>
        </w:rPr>
        <w:t>围绕村级资金、资产、资源开展全生命周期管理，支撑财务三表自动生成、账务申请、审核监管和村财智能化管理。</w:t>
      </w:r>
    </w:p>
    <w:p>
      <w:r>
        <w:rPr>
          <w:rFonts w:ascii="宋体" w:hAnsi="宋体" w:eastAsia="宋体"/>
          <w:b/>
          <w:sz w:val="24"/>
        </w:rPr>
        <w:t>3.2.4 村集体绩效评价管理系统</w:t>
      </w:r>
    </w:p>
    <w:p>
      <w:pPr>
        <w:spacing w:line="360" w:lineRule="auto"/>
        <w:ind w:firstLine="420"/>
      </w:pPr>
      <w:r>
        <w:rPr>
          <w:rFonts w:ascii="宋体" w:hAnsi="宋体" w:eastAsia="宋体"/>
          <w:b w:val="0"/>
          <w:sz w:val="24"/>
        </w:rPr>
        <w:t>支撑村集体经营情况评价和监督，构建数据采集、数据审核和评价报告等核心模块。</w:t>
      </w:r>
    </w:p>
    <w:p>
      <w:r>
        <w:rPr>
          <w:rFonts w:ascii="宋体" w:hAnsi="宋体" w:eastAsia="宋体"/>
          <w:b/>
          <w:sz w:val="24"/>
        </w:rPr>
        <w:t>3.2.5 村集体经济收入台账系统</w:t>
      </w:r>
    </w:p>
    <w:p>
      <w:pPr>
        <w:spacing w:line="360" w:lineRule="auto"/>
        <w:ind w:firstLine="420"/>
      </w:pPr>
      <w:r>
        <w:rPr>
          <w:rFonts w:ascii="宋体" w:hAnsi="宋体" w:eastAsia="宋体"/>
          <w:b w:val="0"/>
          <w:sz w:val="24"/>
        </w:rPr>
        <w:t>围绕村集体收入、支出和发展情况开展基础数据管理，覆盖PC端和手机端应用。</w:t>
      </w:r>
    </w:p>
    <w:p>
      <w:r>
        <w:rPr>
          <w:rFonts w:ascii="宋体" w:hAnsi="宋体" w:eastAsia="宋体"/>
          <w:b/>
          <w:sz w:val="24"/>
        </w:rPr>
        <w:t>3.2.6 村集体智能审计系统</w:t>
      </w:r>
    </w:p>
    <w:p>
      <w:pPr>
        <w:spacing w:line="360" w:lineRule="auto"/>
        <w:ind w:firstLine="420"/>
      </w:pPr>
      <w:r>
        <w:rPr>
          <w:rFonts w:ascii="宋体" w:hAnsi="宋体" w:eastAsia="宋体"/>
          <w:b w:val="0"/>
          <w:sz w:val="24"/>
        </w:rPr>
        <w:t>利用大数据和智能分析技术提升村集体财务审计效率、准确性和规范性，覆盖准备、实施和结果三阶段流程。</w:t>
      </w:r>
    </w:p>
    <w:p>
      <w:r>
        <w:rPr>
          <w:rFonts w:ascii="宋体" w:hAnsi="宋体" w:eastAsia="宋体"/>
          <w:b/>
          <w:sz w:val="24"/>
        </w:rPr>
        <w:t>3.2.7 新型农业经营主体业务经营监管系统</w:t>
      </w:r>
    </w:p>
    <w:p>
      <w:pPr>
        <w:spacing w:line="360" w:lineRule="auto"/>
        <w:ind w:firstLine="420"/>
      </w:pPr>
      <w:r>
        <w:rPr>
          <w:rFonts w:ascii="宋体" w:hAnsi="宋体" w:eastAsia="宋体"/>
          <w:b w:val="0"/>
          <w:sz w:val="24"/>
        </w:rPr>
        <w:t>围绕数据采集、信用画像、动态监管和业务申报构建对新型农业经营主体的综合监管服务能力。</w:t>
      </w:r>
    </w:p>
    <w:p>
      <w:r>
        <w:rPr>
          <w:rFonts w:ascii="宋体" w:hAnsi="宋体" w:eastAsia="宋体"/>
          <w:b/>
          <w:sz w:val="28"/>
        </w:rPr>
        <w:t>3.3 详细功能说明</w:t>
      </w:r>
    </w:p>
    <w:p>
      <w:r>
        <w:rPr>
          <w:rFonts w:ascii="宋体" w:hAnsi="宋体" w:eastAsia="宋体"/>
          <w:b/>
          <w:sz w:val="24"/>
        </w:rPr>
        <w:t>3.3.1 数字“三农”金融数据总平台业务需求</w:t>
      </w:r>
    </w:p>
    <w:p>
      <w:pPr>
        <w:pStyle w:val="ListNumber"/>
        <w:spacing w:line="360" w:lineRule="auto"/>
      </w:pPr>
      <w:r>
        <w:rPr>
          <w:rFonts w:ascii="宋体" w:hAnsi="宋体" w:eastAsia="宋体"/>
          <w:b w:val="0"/>
          <w:sz w:val="24"/>
        </w:rPr>
        <w:t>强化“三农”金融数据迭代更新和关联融合，提升数据实时性、完整性和可用性。</w:t>
      </w:r>
    </w:p>
    <w:p>
      <w:pPr>
        <w:pStyle w:val="ListNumber"/>
        <w:spacing w:line="360" w:lineRule="auto"/>
      </w:pPr>
      <w:r>
        <w:rPr>
          <w:rFonts w:ascii="宋体" w:hAnsi="宋体" w:eastAsia="宋体"/>
          <w:b w:val="0"/>
          <w:sz w:val="24"/>
        </w:rPr>
        <w:t>通过村委财务事务管理、绩效评价、审计、新型农业经营主体监管等业务系统持续获取高质量、可核验的基础数据。</w:t>
      </w:r>
    </w:p>
    <w:p>
      <w:pPr>
        <w:pStyle w:val="ListNumber"/>
        <w:spacing w:line="360" w:lineRule="auto"/>
      </w:pPr>
      <w:r>
        <w:rPr>
          <w:rFonts w:ascii="宋体" w:hAnsi="宋体" w:eastAsia="宋体"/>
          <w:b w:val="0"/>
          <w:sz w:val="24"/>
        </w:rPr>
        <w:t>建立统一数据标准、统一规则口径和统一共享机制，支撑跨系统、跨层级、跨部门的数据协同。</w:t>
      </w:r>
    </w:p>
    <w:p>
      <w:pPr>
        <w:pStyle w:val="ListNumber"/>
        <w:spacing w:line="360" w:lineRule="auto"/>
      </w:pPr>
      <w:r>
        <w:rPr>
          <w:rFonts w:ascii="宋体" w:hAnsi="宋体" w:eastAsia="宋体"/>
          <w:b w:val="0"/>
          <w:sz w:val="24"/>
        </w:rPr>
        <w:t>将清洗加工后的高质量数据资产汇聚至金融服务平台和相关监管平台，支撑金融产品创新、信用评价、风险预警和决策分析。</w:t>
      </w:r>
    </w:p>
    <w:p>
      <w:r>
        <w:rPr>
          <w:rFonts w:ascii="宋体" w:hAnsi="宋体" w:eastAsia="宋体"/>
          <w:b/>
          <w:sz w:val="24"/>
        </w:rPr>
        <w:t>3.3.2 农经一张图业务需求</w:t>
      </w:r>
    </w:p>
    <w:p>
      <w:pPr>
        <w:pStyle w:val="ListNumber"/>
        <w:spacing w:line="360" w:lineRule="auto"/>
      </w:pPr>
      <w:r>
        <w:rPr>
          <w:rFonts w:ascii="宋体" w:hAnsi="宋体" w:eastAsia="宋体"/>
          <w:b w:val="0"/>
          <w:sz w:val="24"/>
        </w:rPr>
        <w:t>建立统一的数据标准体系，包括数据格式、接口标准、数据质量规则和权限控制规则。</w:t>
      </w:r>
    </w:p>
    <w:p>
      <w:pPr>
        <w:pStyle w:val="ListNumber"/>
        <w:spacing w:line="360" w:lineRule="auto"/>
      </w:pPr>
      <w:r>
        <w:rPr>
          <w:rFonts w:ascii="宋体" w:hAnsi="宋体" w:eastAsia="宋体"/>
          <w:b w:val="0"/>
          <w:sz w:val="24"/>
        </w:rPr>
        <w:t>汇聚全省农业农村各类数据资源，构建统一的数据资源库。</w:t>
      </w:r>
    </w:p>
    <w:p>
      <w:pPr>
        <w:pStyle w:val="ListNumber"/>
        <w:spacing w:line="360" w:lineRule="auto"/>
      </w:pPr>
      <w:r>
        <w:rPr>
          <w:rFonts w:ascii="宋体" w:hAnsi="宋体" w:eastAsia="宋体"/>
          <w:b w:val="0"/>
          <w:sz w:val="24"/>
        </w:rPr>
        <w:t>为涉农部门提供查询、统计分析、报表生成和可视化展示等数据服务能力。</w:t>
      </w:r>
    </w:p>
    <w:p>
      <w:pPr>
        <w:pStyle w:val="ListNumber"/>
        <w:spacing w:line="360" w:lineRule="auto"/>
      </w:pPr>
      <w:r>
        <w:rPr>
          <w:rFonts w:ascii="宋体" w:hAnsi="宋体" w:eastAsia="宋体"/>
          <w:b w:val="0"/>
          <w:sz w:val="24"/>
        </w:rPr>
        <w:t>采用全省统一架构和省、市、县多级联动模式，实现五级联动、精细化管理和风险预警。</w:t>
      </w:r>
    </w:p>
    <w:p>
      <w:r>
        <w:rPr>
          <w:rFonts w:ascii="宋体" w:hAnsi="宋体" w:eastAsia="宋体"/>
          <w:b/>
          <w:sz w:val="24"/>
        </w:rPr>
        <w:t>3.3.3 村委财务事务管理系统业务需求</w:t>
      </w:r>
    </w:p>
    <w:p>
      <w:pPr>
        <w:pStyle w:val="ListNumber"/>
        <w:spacing w:line="360" w:lineRule="auto"/>
      </w:pPr>
      <w:r>
        <w:rPr>
          <w:rFonts w:ascii="宋体" w:hAnsi="宋体" w:eastAsia="宋体"/>
          <w:b w:val="0"/>
          <w:sz w:val="24"/>
        </w:rPr>
        <w:t>实现资产负债表、利润表和现金流量表自动生成。</w:t>
      </w:r>
    </w:p>
    <w:p>
      <w:pPr>
        <w:pStyle w:val="ListNumber"/>
        <w:spacing w:line="360" w:lineRule="auto"/>
      </w:pPr>
      <w:r>
        <w:rPr>
          <w:rFonts w:ascii="宋体" w:hAnsi="宋体" w:eastAsia="宋体"/>
          <w:b w:val="0"/>
          <w:sz w:val="24"/>
        </w:rPr>
        <w:t>建立村委财务数据和内部行政管理数据自动汇集机制，覆盖财务收支、资产变动、债权债务、会议记录和项目执行等信息。</w:t>
      </w:r>
    </w:p>
    <w:p>
      <w:pPr>
        <w:pStyle w:val="ListNumber"/>
        <w:spacing w:line="360" w:lineRule="auto"/>
      </w:pPr>
      <w:r>
        <w:rPr>
          <w:rFonts w:ascii="宋体" w:hAnsi="宋体" w:eastAsia="宋体"/>
          <w:b w:val="0"/>
          <w:sz w:val="24"/>
        </w:rPr>
        <w:t>为乡镇会计提供账务处理、凭证录入、账目查询、报表生成、财务分析、提醒和备份恢复等功能。</w:t>
      </w:r>
    </w:p>
    <w:p>
      <w:pPr>
        <w:pStyle w:val="ListNumber"/>
        <w:spacing w:line="360" w:lineRule="auto"/>
      </w:pPr>
      <w:r>
        <w:rPr>
          <w:rFonts w:ascii="宋体" w:hAnsi="宋体" w:eastAsia="宋体"/>
          <w:b w:val="0"/>
          <w:sz w:val="24"/>
        </w:rPr>
        <w:t>为农经站和财政所提供财务审核、资金拨付监管、指标分析和风险预警功能。</w:t>
      </w:r>
    </w:p>
    <w:p>
      <w:r>
        <w:rPr>
          <w:rFonts w:ascii="宋体" w:hAnsi="宋体" w:eastAsia="宋体"/>
          <w:b/>
          <w:sz w:val="24"/>
        </w:rPr>
        <w:t>3.3.4 村集体绩效评价管理系统业务需求</w:t>
      </w:r>
    </w:p>
    <w:p>
      <w:pPr>
        <w:pStyle w:val="ListNumber"/>
        <w:spacing w:line="360" w:lineRule="auto"/>
      </w:pPr>
      <w:r>
        <w:rPr>
          <w:rFonts w:ascii="宋体" w:hAnsi="宋体" w:eastAsia="宋体"/>
          <w:b w:val="0"/>
          <w:sz w:val="24"/>
        </w:rPr>
        <w:t>建设共享、开放、兼容的绩效管理信息化平台，支撑各级农业农村管理部门开展村集体绩效监管。</w:t>
      </w:r>
    </w:p>
    <w:p>
      <w:pPr>
        <w:pStyle w:val="ListNumber"/>
        <w:spacing w:line="360" w:lineRule="auto"/>
      </w:pPr>
      <w:r>
        <w:rPr>
          <w:rFonts w:ascii="宋体" w:hAnsi="宋体" w:eastAsia="宋体"/>
          <w:b w:val="0"/>
          <w:sz w:val="24"/>
        </w:rPr>
        <w:t>建立与农村财务系统、资产资源系统等相关系统的数据接口和共享机制。</w:t>
      </w:r>
    </w:p>
    <w:p>
      <w:pPr>
        <w:pStyle w:val="ListNumber"/>
        <w:spacing w:line="360" w:lineRule="auto"/>
      </w:pPr>
      <w:r>
        <w:rPr>
          <w:rFonts w:ascii="宋体" w:hAnsi="宋体" w:eastAsia="宋体"/>
          <w:b w:val="0"/>
          <w:sz w:val="24"/>
        </w:rPr>
        <w:t>以村集体经营情况为主线，构建数据采集、数据审核、评价报告等核心业务模块。</w:t>
      </w:r>
    </w:p>
    <w:p>
      <w:r>
        <w:rPr>
          <w:rFonts w:ascii="宋体" w:hAnsi="宋体" w:eastAsia="宋体"/>
          <w:b/>
          <w:sz w:val="24"/>
        </w:rPr>
        <w:t>3.3.5 村集体经济收入台账系统业务需求</w:t>
      </w:r>
    </w:p>
    <w:p>
      <w:pPr>
        <w:pStyle w:val="ListNumber"/>
        <w:spacing w:line="360" w:lineRule="auto"/>
      </w:pPr>
      <w:r>
        <w:rPr>
          <w:rFonts w:ascii="宋体" w:hAnsi="宋体" w:eastAsia="宋体"/>
          <w:b w:val="0"/>
          <w:sz w:val="24"/>
        </w:rPr>
        <w:t>建设PC端和手机端一体化应用，满足固定办公和移动填报双场景需求。</w:t>
      </w:r>
    </w:p>
    <w:p>
      <w:pPr>
        <w:pStyle w:val="ListNumber"/>
        <w:spacing w:line="360" w:lineRule="auto"/>
      </w:pPr>
      <w:r>
        <w:rPr>
          <w:rFonts w:ascii="宋体" w:hAnsi="宋体" w:eastAsia="宋体"/>
          <w:b w:val="0"/>
          <w:sz w:val="24"/>
        </w:rPr>
        <w:t>按照农业农村部统计口径，对经营收入、发包及上交收入、投资收益、补助收入和其他收入进行分类管理。</w:t>
      </w:r>
    </w:p>
    <w:p>
      <w:pPr>
        <w:pStyle w:val="ListNumber"/>
        <w:spacing w:line="360" w:lineRule="auto"/>
      </w:pPr>
      <w:r>
        <w:rPr>
          <w:rFonts w:ascii="宋体" w:hAnsi="宋体" w:eastAsia="宋体"/>
          <w:b w:val="0"/>
          <w:sz w:val="24"/>
        </w:rPr>
        <w:t>支持对收入与支出进行分类记录、查询、统计和分析，并生成相应报表。</w:t>
      </w:r>
    </w:p>
    <w:p>
      <w:pPr>
        <w:pStyle w:val="ListNumber"/>
        <w:spacing w:line="360" w:lineRule="auto"/>
      </w:pPr>
      <w:r>
        <w:rPr>
          <w:rFonts w:ascii="宋体" w:hAnsi="宋体" w:eastAsia="宋体"/>
          <w:b w:val="0"/>
          <w:sz w:val="24"/>
        </w:rPr>
        <w:t>支持年度GDP增速目标设定、跟踪和管理，辅助产业发展策略调整。</w:t>
      </w:r>
    </w:p>
    <w:p>
      <w:r>
        <w:rPr>
          <w:rFonts w:ascii="宋体" w:hAnsi="宋体" w:eastAsia="宋体"/>
          <w:b/>
          <w:sz w:val="24"/>
        </w:rPr>
        <w:t>3.3.6 村集体智能审计系统业务需求</w:t>
      </w:r>
    </w:p>
    <w:p>
      <w:pPr>
        <w:pStyle w:val="ListNumber"/>
        <w:spacing w:line="360" w:lineRule="auto"/>
      </w:pPr>
      <w:r>
        <w:rPr>
          <w:rFonts w:ascii="宋体" w:hAnsi="宋体" w:eastAsia="宋体"/>
          <w:b w:val="0"/>
          <w:sz w:val="24"/>
        </w:rPr>
        <w:t>运用大数据技术、人工智能算法和自动化数据处理能力，对村集体财务数据进行自动识别和智能分析。</w:t>
      </w:r>
    </w:p>
    <w:p>
      <w:pPr>
        <w:pStyle w:val="ListNumber"/>
        <w:spacing w:line="360" w:lineRule="auto"/>
      </w:pPr>
      <w:r>
        <w:rPr>
          <w:rFonts w:ascii="宋体" w:hAnsi="宋体" w:eastAsia="宋体"/>
          <w:b w:val="0"/>
          <w:sz w:val="24"/>
        </w:rPr>
        <w:t>自动发现异常数据、财务漏洞和风险线索，辅助审计人员快速定位问题。</w:t>
      </w:r>
    </w:p>
    <w:p>
      <w:pPr>
        <w:pStyle w:val="ListNumber"/>
        <w:spacing w:line="360" w:lineRule="auto"/>
      </w:pPr>
      <w:r>
        <w:rPr>
          <w:rFonts w:ascii="宋体" w:hAnsi="宋体" w:eastAsia="宋体"/>
          <w:b w:val="0"/>
          <w:sz w:val="24"/>
        </w:rPr>
        <w:t>建立覆盖准备阶段、实施阶段和结果阶段的全流程审计业务体系。</w:t>
      </w:r>
    </w:p>
    <w:p>
      <w:pPr>
        <w:pStyle w:val="ListNumber"/>
        <w:spacing w:line="360" w:lineRule="auto"/>
      </w:pPr>
      <w:r>
        <w:rPr>
          <w:rFonts w:ascii="宋体" w:hAnsi="宋体" w:eastAsia="宋体"/>
          <w:b w:val="0"/>
          <w:sz w:val="24"/>
        </w:rPr>
        <w:t>支持审计方案制定、实施测试、问题记录、报告编制和整改跟踪等完整流程。</w:t>
      </w:r>
    </w:p>
    <w:p>
      <w:r>
        <w:rPr>
          <w:rFonts w:ascii="宋体" w:hAnsi="宋体" w:eastAsia="宋体"/>
          <w:b/>
          <w:sz w:val="24"/>
        </w:rPr>
        <w:t>3.3.7 新型农业经营主体业务经营监管系统业务需求</w:t>
      </w:r>
    </w:p>
    <w:p>
      <w:pPr>
        <w:pStyle w:val="ListNumber"/>
        <w:spacing w:line="360" w:lineRule="auto"/>
      </w:pPr>
      <w:r>
        <w:rPr>
          <w:rFonts w:ascii="宋体" w:hAnsi="宋体" w:eastAsia="宋体"/>
          <w:b w:val="0"/>
          <w:sz w:val="24"/>
        </w:rPr>
        <w:t>拓展主体基础数据采集范围，重点采集经营现状、生产能力、销售情况和财务数据。</w:t>
      </w:r>
    </w:p>
    <w:p>
      <w:pPr>
        <w:pStyle w:val="ListNumber"/>
        <w:spacing w:line="360" w:lineRule="auto"/>
      </w:pPr>
      <w:r>
        <w:rPr>
          <w:rFonts w:ascii="宋体" w:hAnsi="宋体" w:eastAsia="宋体"/>
          <w:b w:val="0"/>
          <w:sz w:val="24"/>
        </w:rPr>
        <w:t>支持主体在线填报、系统自动抓取和线下核验等多种数据采集方式。</w:t>
      </w:r>
    </w:p>
    <w:p>
      <w:pPr>
        <w:pStyle w:val="ListNumber"/>
        <w:spacing w:line="360" w:lineRule="auto"/>
      </w:pPr>
      <w:r>
        <w:rPr>
          <w:rFonts w:ascii="宋体" w:hAnsi="宋体" w:eastAsia="宋体"/>
          <w:b w:val="0"/>
          <w:sz w:val="24"/>
        </w:rPr>
        <w:t>基于多维数据构建动态信用画像，反映主体基本特征、经营能力、财务状况、信用记录和发展潜力。</w:t>
      </w:r>
    </w:p>
    <w:p>
      <w:pPr>
        <w:pStyle w:val="ListNumber"/>
        <w:spacing w:line="360" w:lineRule="auto"/>
      </w:pPr>
      <w:r>
        <w:rPr>
          <w:rFonts w:ascii="宋体" w:hAnsi="宋体" w:eastAsia="宋体"/>
          <w:b w:val="0"/>
          <w:sz w:val="24"/>
        </w:rPr>
        <w:t>支持示范申报审批、示范监测、项目发布与申报审批等业务在线办理和全过程留痕。</w:t>
      </w:r>
    </w:p>
    <w:p>
      <w:r>
        <w:rPr>
          <w:rFonts w:ascii="宋体" w:hAnsi="宋体" w:eastAsia="宋体"/>
          <w:b/>
          <w:sz w:val="32"/>
        </w:rPr>
        <w:t>4. 数据需求</w:t>
      </w:r>
    </w:p>
    <w:p>
      <w:r>
        <w:rPr>
          <w:rFonts w:ascii="宋体" w:hAnsi="宋体" w:eastAsia="宋体"/>
          <w:b/>
          <w:sz w:val="28"/>
        </w:rPr>
        <w:t>4.1 数据分类</w:t>
      </w:r>
    </w:p>
    <w:p>
      <w:r>
        <w:t>平台数据按“静态数据”和“动态数据”两类管理。静态数据承担统一口径、组织关联、权限控制和规则配置作用；动态数据承载业务办理、状态流转、统计快照和审计留痕。</w:t>
      </w:r>
    </w:p>
    <w:p>
      <w:r>
        <w:t>4.1.1 静态数据</w:t>
      </w:r>
    </w:p>
    <w:p>
      <w:r>
        <w:t>静态数据主要来源于组织区划、权限体系、字典配置、财务基础设置和各模块主档模板，是全平台统一编码、统一口径和统一授权的基础。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数据类别</w:t>
            </w:r>
          </w:p>
        </w:tc>
        <w:tc>
          <w:tcPr>
            <w:tcW w:type="dxa" w:w="2161"/>
          </w:tcPr>
          <w:p>
            <w:r>
              <w:t>来源模块</w:t>
            </w:r>
          </w:p>
        </w:tc>
        <w:tc>
          <w:tcPr>
            <w:tcW w:type="dxa" w:w="2161"/>
          </w:tcPr>
          <w:p>
            <w:r>
              <w:t>典型对象/数据表</w:t>
            </w:r>
          </w:p>
        </w:tc>
        <w:tc>
          <w:tcPr>
            <w:tcW w:type="dxa" w:w="2161"/>
          </w:tcPr>
          <w:p>
            <w:r>
              <w:t>主要用途</w:t>
            </w:r>
          </w:p>
        </w:tc>
      </w:tr>
      <w:tr>
        <w:tc>
          <w:tcPr>
            <w:tcW w:type="dxa" w:w="2161"/>
          </w:tcPr>
          <w:p>
            <w:r>
              <w:t>行政区划与组织主数据</w:t>
            </w:r>
          </w:p>
        </w:tc>
        <w:tc>
          <w:tcPr>
            <w:tcW w:type="dxa" w:w="2161"/>
          </w:tcPr>
          <w:p>
            <w:r>
              <w:t>总平台、农经一张图、绩效、审计、收入台账、监管</w:t>
            </w:r>
          </w:p>
        </w:tc>
        <w:tc>
          <w:tcPr>
            <w:tcW w:type="dxa" w:w="2161"/>
          </w:tcPr>
          <w:p>
            <w:r>
              <w:t>adm_region、dim_region、sys_org、dim_org</w:t>
            </w:r>
          </w:p>
        </w:tc>
        <w:tc>
          <w:tcPr>
            <w:tcW w:type="dxa" w:w="2161"/>
          </w:tcPr>
          <w:p>
            <w:r>
              <w:t>统一区划口径、组织归属、区域汇总和地图定位</w:t>
            </w:r>
          </w:p>
        </w:tc>
      </w:tr>
      <w:tr>
        <w:tc>
          <w:tcPr>
            <w:tcW w:type="dxa" w:w="2161"/>
          </w:tcPr>
          <w:p>
            <w:r>
              <w:t>用户、角色与权限主数据</w:t>
            </w:r>
          </w:p>
        </w:tc>
        <w:tc>
          <w:tcPr>
            <w:tcW w:type="dxa" w:w="2161"/>
          </w:tcPr>
          <w:p>
            <w:r>
              <w:t>村委财务、绩效、审计、监管</w:t>
            </w:r>
          </w:p>
        </w:tc>
        <w:tc>
          <w:tcPr>
            <w:tcW w:type="dxa" w:w="2161"/>
          </w:tcPr>
          <w:p>
            <w:r>
              <w:t>sys_user、sys_role、sys_user_role、sys_permission</w:t>
            </w:r>
          </w:p>
        </w:tc>
        <w:tc>
          <w:tcPr>
            <w:tcW w:type="dxa" w:w="2161"/>
          </w:tcPr>
          <w:p>
            <w:r>
              <w:t>登录鉴权、菜单授权、流程分派和数据范围控制</w:t>
            </w:r>
          </w:p>
        </w:tc>
      </w:tr>
      <w:tr>
        <w:tc>
          <w:tcPr>
            <w:tcW w:type="dxa" w:w="2161"/>
          </w:tcPr>
          <w:p>
            <w:r>
              <w:t>数据字典与规则配置</w:t>
            </w:r>
          </w:p>
        </w:tc>
        <w:tc>
          <w:tcPr>
            <w:tcW w:type="dxa" w:w="2161"/>
          </w:tcPr>
          <w:p>
            <w:r>
              <w:t>全平台</w:t>
            </w:r>
          </w:p>
        </w:tc>
        <w:tc>
          <w:tcPr>
            <w:tcW w:type="dxa" w:w="2161"/>
          </w:tcPr>
          <w:p>
            <w:r>
              <w:t>sys_dict_type、sys_dict_item、warning_rule、指标/状态字典</w:t>
            </w:r>
          </w:p>
        </w:tc>
        <w:tc>
          <w:tcPr>
            <w:tcW w:type="dxa" w:w="2161"/>
          </w:tcPr>
          <w:p>
            <w:r>
              <w:t>统一状态枚举、业务规则、预警规则和页面下拉选项</w:t>
            </w:r>
          </w:p>
        </w:tc>
      </w:tr>
      <w:tr>
        <w:tc>
          <w:tcPr>
            <w:tcW w:type="dxa" w:w="2161"/>
          </w:tcPr>
          <w:p>
            <w:r>
              <w:t>财务基础主数据</w:t>
            </w:r>
          </w:p>
        </w:tc>
        <w:tc>
          <w:tcPr>
            <w:tcW w:type="dxa" w:w="2161"/>
          </w:tcPr>
          <w:p>
            <w:r>
              <w:t>村委财务、农经一张图</w:t>
            </w:r>
          </w:p>
        </w:tc>
        <w:tc>
          <w:tcPr>
            <w:tcW w:type="dxa" w:w="2161"/>
          </w:tcPr>
          <w:p>
            <w:r>
              <w:t>账套、会计期间、会计科目、科目类别、统计指标定义</w:t>
            </w:r>
          </w:p>
        </w:tc>
        <w:tc>
          <w:tcPr>
            <w:tcW w:type="dxa" w:w="2161"/>
          </w:tcPr>
          <w:p>
            <w:r>
              <w:t>统一会计口径、核算维度和统计分析口径</w:t>
            </w:r>
          </w:p>
        </w:tc>
      </w:tr>
      <w:tr>
        <w:tc>
          <w:tcPr>
            <w:tcW w:type="dxa" w:w="2161"/>
          </w:tcPr>
          <w:p>
            <w:r>
              <w:t>业务主档与模板</w:t>
            </w:r>
          </w:p>
        </w:tc>
        <w:tc>
          <w:tcPr>
            <w:tcW w:type="dxa" w:w="2161"/>
          </w:tcPr>
          <w:p>
            <w:r>
              <w:t>财务、审计、绩效、监管</w:t>
            </w:r>
          </w:p>
        </w:tc>
        <w:tc>
          <w:tcPr>
            <w:tcW w:type="dxa" w:w="2161"/>
          </w:tcPr>
          <w:p>
            <w:r>
              <w:t>资产分类、合同模板、审计事项库、评分指标、报告模板、流程模板</w:t>
            </w:r>
          </w:p>
        </w:tc>
        <w:tc>
          <w:tcPr>
            <w:tcW w:type="dxa" w:w="2161"/>
          </w:tcPr>
          <w:p>
            <w:r>
              <w:t>支撑业务初始化、模板复用和流程配置</w:t>
            </w:r>
          </w:p>
        </w:tc>
      </w:tr>
      <w:tr>
        <w:tc>
          <w:tcPr>
            <w:tcW w:type="dxa" w:w="2161"/>
          </w:tcPr>
          <w:p>
            <w:r>
              <w:t>地图与分析维度</w:t>
            </w:r>
          </w:p>
        </w:tc>
        <w:tc>
          <w:tcPr>
            <w:tcW w:type="dxa" w:w="2161"/>
          </w:tcPr>
          <w:p>
            <w:r>
              <w:t>农经一张图</w:t>
            </w:r>
          </w:p>
        </w:tc>
        <w:tc>
          <w:tcPr>
            <w:tcW w:type="dxa" w:w="2161"/>
          </w:tcPr>
          <w:p>
            <w:r>
              <w:t>dim_time、dim_region、dim_org</w:t>
            </w:r>
          </w:p>
        </w:tc>
        <w:tc>
          <w:tcPr>
            <w:tcW w:type="dxa" w:w="2161"/>
          </w:tcPr>
          <w:p>
            <w:r>
              <w:t>支撑地图联动、时间趋势、专题钻取和多维分析</w:t>
            </w:r>
          </w:p>
        </w:tc>
      </w:tr>
    </w:tbl>
    <w:p>
      <w:r>
        <w:t>4.1.2 动态数据</w:t>
      </w:r>
    </w:p>
    <w:p>
      <w:r>
        <w:t>动态数据随业务办理持续产生，覆盖财务核算、资产资源、合同履约、收入上报、绩效评价、智能审计、主体监管、风险预警和日志留痕等场景。</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数据类别</w:t>
            </w:r>
          </w:p>
        </w:tc>
        <w:tc>
          <w:tcPr>
            <w:tcW w:type="dxa" w:w="2161"/>
          </w:tcPr>
          <w:p>
            <w:r>
              <w:t>来源模块</w:t>
            </w:r>
          </w:p>
        </w:tc>
        <w:tc>
          <w:tcPr>
            <w:tcW w:type="dxa" w:w="2161"/>
          </w:tcPr>
          <w:p>
            <w:r>
              <w:t>典型对象/数据表</w:t>
            </w:r>
          </w:p>
        </w:tc>
        <w:tc>
          <w:tcPr>
            <w:tcW w:type="dxa" w:w="2161"/>
          </w:tcPr>
          <w:p>
            <w:r>
              <w:t>主要用途</w:t>
            </w:r>
          </w:p>
        </w:tc>
      </w:tr>
      <w:tr>
        <w:tc>
          <w:tcPr>
            <w:tcW w:type="dxa" w:w="2161"/>
          </w:tcPr>
          <w:p>
            <w:r>
              <w:t>财务核算与凭证数据</w:t>
            </w:r>
          </w:p>
        </w:tc>
        <w:tc>
          <w:tcPr>
            <w:tcW w:type="dxa" w:w="2161"/>
          </w:tcPr>
          <w:p>
            <w:r>
              <w:t>村委财务、农经一张图</w:t>
            </w:r>
          </w:p>
        </w:tc>
        <w:tc>
          <w:tcPr>
            <w:tcW w:type="dxa" w:w="2161"/>
          </w:tcPr>
          <w:p>
            <w:r>
              <w:t>凭证主表、凭证明细表、银行日记账、现金日记账、财务月汇总表</w:t>
            </w:r>
          </w:p>
        </w:tc>
        <w:tc>
          <w:tcPr>
            <w:tcW w:type="dxa" w:w="2161"/>
          </w:tcPr>
          <w:p>
            <w:r>
              <w:t>支持凭证录入、账簿生成、报表统计和专题汇聚</w:t>
            </w:r>
          </w:p>
        </w:tc>
      </w:tr>
      <w:tr>
        <w:tc>
          <w:tcPr>
            <w:tcW w:type="dxa" w:w="2161"/>
          </w:tcPr>
          <w:p>
            <w:r>
              <w:t>资产、资源与合同数据</w:t>
            </w:r>
          </w:p>
        </w:tc>
        <w:tc>
          <w:tcPr>
            <w:tcW w:type="dxa" w:w="2161"/>
          </w:tcPr>
          <w:p>
            <w:r>
              <w:t>村委财务、农经一张图</w:t>
            </w:r>
          </w:p>
        </w:tc>
        <w:tc>
          <w:tcPr>
            <w:tcW w:type="dxa" w:w="2161"/>
          </w:tcPr>
          <w:p>
            <w:r>
              <w:t>资产卡片、资产台账、资源台账、合同主表、合同执行表</w:t>
            </w:r>
          </w:p>
        </w:tc>
        <w:tc>
          <w:tcPr>
            <w:tcW w:type="dxa" w:w="2161"/>
          </w:tcPr>
          <w:p>
            <w:r>
              <w:t>支持资产资源管理、合同履约、收付款跟踪和专题展示</w:t>
            </w:r>
          </w:p>
        </w:tc>
      </w:tr>
      <w:tr>
        <w:tc>
          <w:tcPr>
            <w:tcW w:type="dxa" w:w="2161"/>
          </w:tcPr>
          <w:p>
            <w:r>
              <w:t>收入台账与上报数据</w:t>
            </w:r>
          </w:p>
        </w:tc>
        <w:tc>
          <w:tcPr>
            <w:tcW w:type="dxa" w:w="2161"/>
          </w:tcPr>
          <w:p>
            <w:r>
              <w:t>村集体经济收入台账</w:t>
            </w:r>
          </w:p>
        </w:tc>
        <w:tc>
          <w:tcPr>
            <w:tcW w:type="dxa" w:w="2161"/>
          </w:tcPr>
          <w:p>
            <w:r>
              <w:t>收入台账主表、收入台账明细表、上报批次表、区域汇总统计表</w:t>
            </w:r>
          </w:p>
        </w:tc>
        <w:tc>
          <w:tcPr>
            <w:tcW w:type="dxa" w:w="2161"/>
          </w:tcPr>
          <w:p>
            <w:r>
              <w:t>支持 PC/移动填报、审核上报、进度跟踪和统计分析</w:t>
            </w:r>
          </w:p>
        </w:tc>
      </w:tr>
      <w:tr>
        <w:tc>
          <w:tcPr>
            <w:tcW w:type="dxa" w:w="2161"/>
          </w:tcPr>
          <w:p>
            <w:r>
              <w:t>绩效评价与评分数据</w:t>
            </w:r>
          </w:p>
        </w:tc>
        <w:tc>
          <w:tcPr>
            <w:tcW w:type="dxa" w:w="2161"/>
          </w:tcPr>
          <w:p>
            <w:r>
              <w:t>村集体绩效评价管理系统</w:t>
            </w:r>
          </w:p>
        </w:tc>
        <w:tc>
          <w:tcPr>
            <w:tcW w:type="dxa" w:w="2161"/>
          </w:tcPr>
          <w:p>
            <w:r>
              <w:t>评价事项、采集任务、指标采集值、评分结果、评价报告</w:t>
            </w:r>
          </w:p>
        </w:tc>
        <w:tc>
          <w:tcPr>
            <w:tcW w:type="dxa" w:w="2161"/>
          </w:tcPr>
          <w:p>
            <w:r>
              <w:t>支持指标采集、审核、评分、报告输出和区县报送</w:t>
            </w:r>
          </w:p>
        </w:tc>
      </w:tr>
      <w:tr>
        <w:tc>
          <w:tcPr>
            <w:tcW w:type="dxa" w:w="2161"/>
          </w:tcPr>
          <w:p>
            <w:r>
              <w:t>审计过程数据</w:t>
            </w:r>
          </w:p>
        </w:tc>
        <w:tc>
          <w:tcPr>
            <w:tcW w:type="dxa" w:w="2161"/>
          </w:tcPr>
          <w:p>
            <w:r>
              <w:t>村集体智能审计系统</w:t>
            </w:r>
          </w:p>
        </w:tc>
        <w:tc>
          <w:tcPr>
            <w:tcW w:type="dxa" w:w="2161"/>
          </w:tcPr>
          <w:p>
            <w:r>
              <w:t>审计计划、审计方案、资料调取、审计底稿、审计报告、整改跟踪</w:t>
            </w:r>
          </w:p>
        </w:tc>
        <w:tc>
          <w:tcPr>
            <w:tcW w:type="dxa" w:w="2161"/>
          </w:tcPr>
          <w:p>
            <w:r>
              <w:t>支持审计全过程管理和问题闭环</w:t>
            </w:r>
          </w:p>
        </w:tc>
      </w:tr>
      <w:tr>
        <w:tc>
          <w:tcPr>
            <w:tcW w:type="dxa" w:w="2161"/>
          </w:tcPr>
          <w:p>
            <w:r>
              <w:t>主体监管与项目申报数据</w:t>
            </w:r>
          </w:p>
        </w:tc>
        <w:tc>
          <w:tcPr>
            <w:tcW w:type="dxa" w:w="2161"/>
          </w:tcPr>
          <w:p>
            <w:r>
              <w:t>新型农业经营主体财务经营监管系统</w:t>
            </w:r>
          </w:p>
        </w:tc>
        <w:tc>
          <w:tcPr>
            <w:tcW w:type="dxa" w:w="2161"/>
          </w:tcPr>
          <w:p>
            <w:r>
              <w:t>主体档案、成员出资、项目申报、示范监测、金融产品与贷后数据</w:t>
            </w:r>
          </w:p>
        </w:tc>
        <w:tc>
          <w:tcPr>
            <w:tcW w:type="dxa" w:w="2161"/>
          </w:tcPr>
          <w:p>
            <w:r>
              <w:t>支持主体画像、项目审批、示范监管和金融协同</w:t>
            </w:r>
          </w:p>
        </w:tc>
      </w:tr>
      <w:tr>
        <w:tc>
          <w:tcPr>
            <w:tcW w:type="dxa" w:w="2161"/>
          </w:tcPr>
          <w:p>
            <w:r>
              <w:t>预警快照与日志数据</w:t>
            </w:r>
          </w:p>
        </w:tc>
        <w:tc>
          <w:tcPr>
            <w:tcW w:type="dxa" w:w="2161"/>
          </w:tcPr>
          <w:p>
            <w:r>
              <w:t>全平台</w:t>
            </w:r>
          </w:p>
        </w:tc>
        <w:tc>
          <w:tcPr>
            <w:tcW w:type="dxa" w:w="2161"/>
          </w:tcPr>
          <w:p>
            <w:r>
              <w:t>预警事件、报表快照、操作日志、登录日志、同步日志</w:t>
            </w:r>
          </w:p>
        </w:tc>
        <w:tc>
          <w:tcPr>
            <w:tcW w:type="dxa" w:w="2161"/>
          </w:tcPr>
          <w:p>
            <w:r>
              <w:t>支持风险预警、统计快照、运行监控和审计追溯</w:t>
            </w:r>
          </w:p>
        </w:tc>
      </w:tr>
    </w:tbl>
    <w:p>
      <w:r>
        <w:rPr>
          <w:rFonts w:ascii="宋体" w:hAnsi="宋体" w:eastAsia="宋体"/>
          <w:b/>
          <w:sz w:val="28"/>
        </w:rPr>
        <w:t>4.2 数据库设计概述</w:t>
      </w:r>
    </w:p>
    <w:p>
      <w:r>
        <w:t>平台数据库设计遵循“统一主数据、分模块建模、分析与交易分层、日志留痕完整”的原则，在满足业务交易一致性的同时兼顾统计分析、地图联动和附件归档能力。</w:t>
      </w:r>
    </w:p>
    <w:p>
      <w:r>
        <w:t>4.2.1 数据库类型与选型</w:t>
      </w:r>
    </w:p>
    <w:p>
      <w:r>
        <w:t>平台数据库设计以金仓数据库（KingbaseES）作为统一关系型数据库底座，按“统一主数据、分模块建模、分层治理、全程留痕”的原则建设。数据库既要支撑在线交易和统计分析，也要支撑数据采集批次管理、质量校验和追溯审计。</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类型</w:t>
            </w:r>
          </w:p>
        </w:tc>
        <w:tc>
          <w:tcPr>
            <w:tcW w:type="dxa" w:w="2161"/>
          </w:tcPr>
          <w:p>
            <w:r>
              <w:t>建议选型</w:t>
            </w:r>
          </w:p>
        </w:tc>
        <w:tc>
          <w:tcPr>
            <w:tcW w:type="dxa" w:w="2161"/>
          </w:tcPr>
          <w:p>
            <w:r>
              <w:t>适用范围</w:t>
            </w:r>
          </w:p>
        </w:tc>
        <w:tc>
          <w:tcPr>
            <w:tcW w:type="dxa" w:w="2161"/>
          </w:tcPr>
          <w:p>
            <w:r>
              <w:t>说明</w:t>
            </w:r>
          </w:p>
        </w:tc>
      </w:tr>
      <w:tr>
        <w:tc>
          <w:tcPr>
            <w:tcW w:type="dxa" w:w="2161"/>
          </w:tcPr>
          <w:p>
            <w:r>
              <w:t>业务主库</w:t>
            </w:r>
          </w:p>
        </w:tc>
        <w:tc>
          <w:tcPr>
            <w:tcW w:type="dxa" w:w="2161"/>
          </w:tcPr>
          <w:p>
            <w:r>
              <w:t>金仓数据库（KingbaseES）</w:t>
            </w:r>
          </w:p>
        </w:tc>
        <w:tc>
          <w:tcPr>
            <w:tcW w:type="dxa" w:w="2161"/>
          </w:tcPr>
          <w:p>
            <w:r>
              <w:t>总平台、农经一张图、村委财务、绩效、收入台账、审计、监管</w:t>
            </w:r>
          </w:p>
        </w:tc>
        <w:tc>
          <w:tcPr>
            <w:tcW w:type="dxa" w:w="2161"/>
          </w:tcPr>
          <w:p>
            <w:r>
              <w:t>统一承载业务交易、主数据、报表汇总和批次管理</w:t>
            </w:r>
          </w:p>
        </w:tc>
      </w:tr>
      <w:tr>
        <w:tc>
          <w:tcPr>
            <w:tcW w:type="dxa" w:w="2161"/>
          </w:tcPr>
          <w:p>
            <w:r>
              <w:t>统计分析层</w:t>
            </w:r>
          </w:p>
        </w:tc>
        <w:tc>
          <w:tcPr>
            <w:tcW w:type="dxa" w:w="2161"/>
          </w:tcPr>
          <w:p>
            <w:r>
              <w:t>金仓数据库（KingbaseES）独立Schema或独立实例</w:t>
            </w:r>
          </w:p>
        </w:tc>
        <w:tc>
          <w:tcPr>
            <w:tcW w:type="dxa" w:w="2161"/>
          </w:tcPr>
          <w:p>
            <w:r>
              <w:t>统计报表、专题分析、汇总查询</w:t>
            </w:r>
          </w:p>
        </w:tc>
        <w:tc>
          <w:tcPr>
            <w:tcW w:type="dxa" w:w="2161"/>
          </w:tcPr>
          <w:p>
            <w:r>
              <w:t>与交易层逻辑隔离，降低复杂统计对交易性能的影响</w:t>
            </w:r>
          </w:p>
        </w:tc>
      </w:tr>
      <w:tr>
        <w:tc>
          <w:tcPr>
            <w:tcW w:type="dxa" w:w="2161"/>
          </w:tcPr>
          <w:p>
            <w:r>
              <w:t>日志审计层</w:t>
            </w:r>
          </w:p>
        </w:tc>
        <w:tc>
          <w:tcPr>
            <w:tcW w:type="dxa" w:w="2161"/>
          </w:tcPr>
          <w:p>
            <w:r>
              <w:t>金仓数据库（KingbaseES）</w:t>
            </w:r>
          </w:p>
        </w:tc>
        <w:tc>
          <w:tcPr>
            <w:tcW w:type="dxa" w:w="2161"/>
          </w:tcPr>
          <w:p>
            <w:r>
              <w:t>采集批次、接口调用、审计留痕、异常日志</w:t>
            </w:r>
          </w:p>
        </w:tc>
        <w:tc>
          <w:tcPr>
            <w:tcW w:type="dxa" w:w="2161"/>
          </w:tcPr>
          <w:p>
            <w:r>
              <w:t>保证全过程留痕、可审计和可回溯</w:t>
            </w:r>
          </w:p>
        </w:tc>
      </w:tr>
      <w:tr>
        <w:tc>
          <w:tcPr>
            <w:tcW w:type="dxa" w:w="2161"/>
          </w:tcPr>
          <w:p>
            <w:r>
              <w:t>设计要求</w:t>
            </w:r>
          </w:p>
        </w:tc>
        <w:tc>
          <w:tcPr>
            <w:tcW w:type="dxa" w:w="2161"/>
          </w:tcPr>
          <w:p>
            <w:r>
              <w:t>统一编码、统一字典、统一权限模型</w:t>
            </w:r>
          </w:p>
        </w:tc>
        <w:tc>
          <w:tcPr>
            <w:tcW w:type="dxa" w:w="2161"/>
          </w:tcPr>
          <w:p>
            <w:r>
              <w:t>全平台</w:t>
            </w:r>
          </w:p>
        </w:tc>
        <w:tc>
          <w:tcPr>
            <w:tcW w:type="dxa" w:w="2161"/>
          </w:tcPr>
          <w:p>
            <w:r>
              <w:t>避免跨模块重复建模和口径不一致</w:t>
            </w:r>
          </w:p>
        </w:tc>
      </w:tr>
    </w:tbl>
    <w:p>
      <w:r>
        <w:t>4.2.2 数据表结构</w:t>
      </w:r>
    </w:p>
    <w:p>
      <w:r>
        <w:t>根据现有数据结构设计，平台数据表总体分为公共基础表、主题事实表、业务过程表、统计快照表和日志审计表五类。规格说明书中保留模块级核心表清单，详细字段设计继续以各数据结构设计文档为准。</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表类别</w:t>
            </w:r>
          </w:p>
        </w:tc>
        <w:tc>
          <w:tcPr>
            <w:tcW w:type="dxa" w:w="2161"/>
          </w:tcPr>
          <w:p>
            <w:r>
              <w:t>典型来源模块</w:t>
            </w:r>
          </w:p>
        </w:tc>
        <w:tc>
          <w:tcPr>
            <w:tcW w:type="dxa" w:w="2161"/>
          </w:tcPr>
          <w:p>
            <w:r>
              <w:t>代表数据表/表组</w:t>
            </w:r>
          </w:p>
        </w:tc>
        <w:tc>
          <w:tcPr>
            <w:tcW w:type="dxa" w:w="2161"/>
          </w:tcPr>
          <w:p>
            <w:r>
              <w:t>作用说明</w:t>
            </w:r>
          </w:p>
        </w:tc>
      </w:tr>
      <w:tr>
        <w:tc>
          <w:tcPr>
            <w:tcW w:type="dxa" w:w="2161"/>
          </w:tcPr>
          <w:p>
            <w:r>
              <w:t>公共基础表</w:t>
            </w:r>
          </w:p>
        </w:tc>
        <w:tc>
          <w:tcPr>
            <w:tcW w:type="dxa" w:w="2161"/>
          </w:tcPr>
          <w:p>
            <w:r>
              <w:t>全平台</w:t>
            </w:r>
          </w:p>
        </w:tc>
        <w:tc>
          <w:tcPr>
            <w:tcW w:type="dxa" w:w="2161"/>
          </w:tcPr>
          <w:p>
            <w:r>
              <w:t>adm_region、sys_org、sys_user、sys_role、sys_permission、sys_dict_item</w:t>
            </w:r>
          </w:p>
        </w:tc>
        <w:tc>
          <w:tcPr>
            <w:tcW w:type="dxa" w:w="2161"/>
          </w:tcPr>
          <w:p>
            <w:r>
              <w:t>统一组织、区划、用户、角色、权限和字典基础能力</w:t>
            </w:r>
          </w:p>
        </w:tc>
      </w:tr>
      <w:tr>
        <w:tc>
          <w:tcPr>
            <w:tcW w:type="dxa" w:w="2161"/>
          </w:tcPr>
          <w:p>
            <w:r>
              <w:t>主题事实表</w:t>
            </w:r>
          </w:p>
        </w:tc>
        <w:tc>
          <w:tcPr>
            <w:tcW w:type="dxa" w:w="2161"/>
          </w:tcPr>
          <w:p>
            <w:r>
              <w:t>农经一张图</w:t>
            </w:r>
          </w:p>
        </w:tc>
        <w:tc>
          <w:tcPr>
            <w:tcW w:type="dxa" w:w="2161"/>
          </w:tcPr>
          <w:p>
            <w:r>
              <w:t>fact_finance_monthly_summary、fact_asset_item、fact_resource_item、fact_contract_main、fact_warning_event</w:t>
            </w:r>
          </w:p>
        </w:tc>
        <w:tc>
          <w:tcPr>
            <w:tcW w:type="dxa" w:w="2161"/>
          </w:tcPr>
          <w:p>
            <w:r>
              <w:t>承接各专题汇总结果、地图展示和预警分析</w:t>
            </w:r>
          </w:p>
        </w:tc>
      </w:tr>
      <w:tr>
        <w:tc>
          <w:tcPr>
            <w:tcW w:type="dxa" w:w="2161"/>
          </w:tcPr>
          <w:p>
            <w:r>
              <w:t>业务过程表</w:t>
            </w:r>
          </w:p>
        </w:tc>
        <w:tc>
          <w:tcPr>
            <w:tcW w:type="dxa" w:w="2161"/>
          </w:tcPr>
          <w:p>
            <w:r>
              <w:t>村委财务、收入台账、绩效、审计、监管</w:t>
            </w:r>
          </w:p>
        </w:tc>
        <w:tc>
          <w:tcPr>
            <w:tcW w:type="dxa" w:w="2161"/>
          </w:tcPr>
          <w:p>
            <w:r>
              <w:t>凭证、台账、采集任务、审计方案、项目申报、审批实例等</w:t>
            </w:r>
          </w:p>
        </w:tc>
        <w:tc>
          <w:tcPr>
            <w:tcW w:type="dxa" w:w="2161"/>
          </w:tcPr>
          <w:p>
            <w:r>
              <w:t>记录业务办理过程、状态流转和责任主体</w:t>
            </w:r>
          </w:p>
        </w:tc>
      </w:tr>
      <w:tr>
        <w:tc>
          <w:tcPr>
            <w:tcW w:type="dxa" w:w="2161"/>
          </w:tcPr>
          <w:p>
            <w:r>
              <w:t>统计快照表</w:t>
            </w:r>
          </w:p>
        </w:tc>
        <w:tc>
          <w:tcPr>
            <w:tcW w:type="dxa" w:w="2161"/>
          </w:tcPr>
          <w:p>
            <w:r>
              <w:t>农经一张图、收入台账、绩效、财务报表</w:t>
            </w:r>
          </w:p>
        </w:tc>
        <w:tc>
          <w:tcPr>
            <w:tcW w:type="dxa" w:w="2161"/>
          </w:tcPr>
          <w:p>
            <w:r>
              <w:t>月汇总、报表快照、区域统计、评分结果、做账进度快照</w:t>
            </w:r>
          </w:p>
        </w:tc>
        <w:tc>
          <w:tcPr>
            <w:tcW w:type="dxa" w:w="2161"/>
          </w:tcPr>
          <w:p>
            <w:r>
              <w:t>支撑大屏展示、趋势分析、报表留痕和历史比对</w:t>
            </w:r>
          </w:p>
        </w:tc>
      </w:tr>
      <w:tr>
        <w:tc>
          <w:tcPr>
            <w:tcW w:type="dxa" w:w="2161"/>
          </w:tcPr>
          <w:p>
            <w:r>
              <w:t>日志审计表</w:t>
            </w:r>
          </w:p>
        </w:tc>
        <w:tc>
          <w:tcPr>
            <w:tcW w:type="dxa" w:w="2161"/>
          </w:tcPr>
          <w:p>
            <w:r>
              <w:t>全平台</w:t>
            </w:r>
          </w:p>
        </w:tc>
        <w:tc>
          <w:tcPr>
            <w:tcW w:type="dxa" w:w="2161"/>
          </w:tcPr>
          <w:p>
            <w:r>
              <w:t>sys_login_log、sys_op_log、同步日志、操作记录、审批历史</w:t>
            </w:r>
          </w:p>
        </w:tc>
        <w:tc>
          <w:tcPr>
            <w:tcW w:type="dxa" w:w="2161"/>
          </w:tcPr>
          <w:p>
            <w:r>
              <w:t>满足系统运维、审计追踪和问题定位需求</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模块</w:t>
            </w:r>
          </w:p>
        </w:tc>
        <w:tc>
          <w:tcPr>
            <w:tcW w:type="dxa" w:w="2161"/>
          </w:tcPr>
          <w:p>
            <w:r>
              <w:t>核心数据表/表组</w:t>
            </w:r>
          </w:p>
        </w:tc>
        <w:tc>
          <w:tcPr>
            <w:tcW w:type="dxa" w:w="2161"/>
          </w:tcPr>
          <w:p>
            <w:r>
              <w:t>主要承载内容</w:t>
            </w:r>
          </w:p>
        </w:tc>
      </w:tr>
      <w:tr>
        <w:tc>
          <w:tcPr>
            <w:tcW w:type="dxa" w:w="2161"/>
          </w:tcPr>
          <w:p>
            <w:r>
              <w:t>1</w:t>
            </w:r>
          </w:p>
        </w:tc>
        <w:tc>
          <w:tcPr>
            <w:tcW w:type="dxa" w:w="2161"/>
          </w:tcPr>
          <w:p>
            <w:r>
              <w:t>平台公共主数据</w:t>
            </w:r>
          </w:p>
        </w:tc>
        <w:tc>
          <w:tcPr>
            <w:tcW w:type="dxa" w:w="2161"/>
          </w:tcPr>
          <w:p>
            <w:r>
              <w:t>行政区划、组织、用户、角色、权限、字典、流程模板</w:t>
            </w:r>
          </w:p>
        </w:tc>
        <w:tc>
          <w:tcPr>
            <w:tcW w:type="dxa" w:w="2161"/>
          </w:tcPr>
          <w:p>
            <w:r>
              <w:t>作为全部业务系统统一主数据底座和授权基础</w:t>
            </w:r>
          </w:p>
        </w:tc>
      </w:tr>
      <w:tr>
        <w:tc>
          <w:tcPr>
            <w:tcW w:type="dxa" w:w="2161"/>
          </w:tcPr>
          <w:p>
            <w:r>
              <w:t>2</w:t>
            </w:r>
          </w:p>
        </w:tc>
        <w:tc>
          <w:tcPr>
            <w:tcW w:type="dxa" w:w="2161"/>
          </w:tcPr>
          <w:p>
            <w:r>
              <w:t>农经一张图</w:t>
            </w:r>
          </w:p>
        </w:tc>
        <w:tc>
          <w:tcPr>
            <w:tcW w:type="dxa" w:w="2161"/>
          </w:tcPr>
          <w:p>
            <w:r>
              <w:t>dim_region、dim_org、dim_time、fact_finance_monthly_summary、fact_asset_item、fact_contract_main、warning_rule、fact_warning_event</w:t>
            </w:r>
          </w:p>
        </w:tc>
        <w:tc>
          <w:tcPr>
            <w:tcW w:type="dxa" w:w="2161"/>
          </w:tcPr>
          <w:p>
            <w:r>
              <w:t>承接多专题汇聚、地图展示、区域钻取和风险预警</w:t>
            </w:r>
          </w:p>
        </w:tc>
      </w:tr>
      <w:tr>
        <w:tc>
          <w:tcPr>
            <w:tcW w:type="dxa" w:w="2161"/>
          </w:tcPr>
          <w:p>
            <w:r>
              <w:t>3</w:t>
            </w:r>
          </w:p>
        </w:tc>
        <w:tc>
          <w:tcPr>
            <w:tcW w:type="dxa" w:w="2161"/>
          </w:tcPr>
          <w:p>
            <w:r>
              <w:t>村委财务事务管理系统</w:t>
            </w:r>
          </w:p>
        </w:tc>
        <w:tc>
          <w:tcPr>
            <w:tcW w:type="dxa" w:w="2161"/>
          </w:tcPr>
          <w:p>
            <w:r>
              <w:t>账套、会计期间、会计科目、凭证主表、凭证明细表、银行日记账、资产卡片、合同主表、审批实例表</w:t>
            </w:r>
          </w:p>
        </w:tc>
        <w:tc>
          <w:tcPr>
            <w:tcW w:type="dxa" w:w="2161"/>
          </w:tcPr>
          <w:p>
            <w:r>
              <w:t>承接村级财务、资金、资产、合同和审批闭环业务</w:t>
            </w:r>
          </w:p>
        </w:tc>
      </w:tr>
      <w:tr>
        <w:tc>
          <w:tcPr>
            <w:tcW w:type="dxa" w:w="2161"/>
          </w:tcPr>
          <w:p>
            <w:r>
              <w:t>4</w:t>
            </w:r>
          </w:p>
        </w:tc>
        <w:tc>
          <w:tcPr>
            <w:tcW w:type="dxa" w:w="2161"/>
          </w:tcPr>
          <w:p>
            <w:r>
              <w:t>村集体绩效评价管理系统</w:t>
            </w:r>
          </w:p>
        </w:tc>
        <w:tc>
          <w:tcPr>
            <w:tcW w:type="dxa" w:w="2161"/>
          </w:tcPr>
          <w:p>
            <w:r>
              <w:t>评价事项、指标定义、采集任务、指标采集值、评分结果、评价报告</w:t>
            </w:r>
          </w:p>
        </w:tc>
        <w:tc>
          <w:tcPr>
            <w:tcW w:type="dxa" w:w="2161"/>
          </w:tcPr>
          <w:p>
            <w:r>
              <w:t>承接指标采集、审核、评分、报告生成和区县报送</w:t>
            </w:r>
          </w:p>
        </w:tc>
      </w:tr>
      <w:tr>
        <w:tc>
          <w:tcPr>
            <w:tcW w:type="dxa" w:w="2161"/>
          </w:tcPr>
          <w:p>
            <w:r>
              <w:t>5</w:t>
            </w:r>
          </w:p>
        </w:tc>
        <w:tc>
          <w:tcPr>
            <w:tcW w:type="dxa" w:w="2161"/>
          </w:tcPr>
          <w:p>
            <w:r>
              <w:t>村集体经济收入台账系统</w:t>
            </w:r>
          </w:p>
        </w:tc>
        <w:tc>
          <w:tcPr>
            <w:tcW w:type="dxa" w:w="2161"/>
          </w:tcPr>
          <w:p>
            <w:r>
              <w:t>收入台账主表、收入台账明细表、台账附件表、上报批次表、区域汇总统计表</w:t>
            </w:r>
          </w:p>
        </w:tc>
        <w:tc>
          <w:tcPr>
            <w:tcW w:type="dxa" w:w="2161"/>
          </w:tcPr>
          <w:p>
            <w:r>
              <w:t>承接收入填报、审核上报、移动端填报和统计分析</w:t>
            </w:r>
          </w:p>
        </w:tc>
      </w:tr>
      <w:tr>
        <w:tc>
          <w:tcPr>
            <w:tcW w:type="dxa" w:w="2161"/>
          </w:tcPr>
          <w:p>
            <w:r>
              <w:t>6</w:t>
            </w:r>
          </w:p>
        </w:tc>
        <w:tc>
          <w:tcPr>
            <w:tcW w:type="dxa" w:w="2161"/>
          </w:tcPr>
          <w:p>
            <w:r>
              <w:t>村集体智能审计系统</w:t>
            </w:r>
          </w:p>
        </w:tc>
        <w:tc>
          <w:tcPr>
            <w:tcW w:type="dxa" w:w="2161"/>
          </w:tcPr>
          <w:p>
            <w:r>
              <w:t>审计计划、审计方案、资料调取、审计底稿、审计报告、整改跟踪、附件表</w:t>
            </w:r>
          </w:p>
        </w:tc>
        <w:tc>
          <w:tcPr>
            <w:tcW w:type="dxa" w:w="2161"/>
          </w:tcPr>
          <w:p>
            <w:r>
              <w:t>承接审计全过程管理、问题闭环和档案留痕</w:t>
            </w:r>
          </w:p>
        </w:tc>
      </w:tr>
      <w:tr>
        <w:tc>
          <w:tcPr>
            <w:tcW w:type="dxa" w:w="2161"/>
          </w:tcPr>
          <w:p>
            <w:r>
              <w:t>7</w:t>
            </w:r>
          </w:p>
        </w:tc>
        <w:tc>
          <w:tcPr>
            <w:tcW w:type="dxa" w:w="2161"/>
          </w:tcPr>
          <w:p>
            <w:r>
              <w:t>新型农业经营主体财务经营监管系统</w:t>
            </w:r>
          </w:p>
        </w:tc>
        <w:tc>
          <w:tcPr>
            <w:tcW w:type="dxa" w:w="2161"/>
          </w:tcPr>
          <w:p>
            <w:r>
              <w:t>主体档案、成员出资、经营统计、项目申报、示范监测、金融产品与贷后、公告政策表</w:t>
            </w:r>
          </w:p>
        </w:tc>
        <w:tc>
          <w:tcPr>
            <w:tcW w:type="dxa" w:w="2161"/>
          </w:tcPr>
          <w:p>
            <w:r>
              <w:t>承接主体监管、项目审批、金融服务协同和政策服务</w:t>
            </w:r>
          </w:p>
        </w:tc>
      </w:tr>
    </w:tbl>
    <w:p>
      <w:r>
        <w:t>说明：本节用于明确需求规格层面的数据承载范围和核心表对象，不替代详细数据库设计文档。后续接口设计、开发建模和测试数据准备，均应以 docs/data 目录下对应模块的数据结构设计文档为依据。</w:t>
      </w:r>
    </w:p>
    <w:p>
      <w:r>
        <w:rPr>
          <w:rFonts w:ascii="宋体" w:hAnsi="宋体" w:eastAsia="宋体"/>
          <w:b/>
          <w:sz w:val="28"/>
        </w:rPr>
        <w:t>4.3 数据词典</w:t>
      </w:r>
    </w:p>
    <w:p>
      <w:r>
        <w:t>数据字典用于统一全平台业务编码、状态枚举、分类口径和接口传输值，确保跨模块的数据采集、业务流转、统计分析和页面展示保持一致。</w:t>
      </w:r>
    </w:p>
    <w:p>
      <w:r>
        <w:t>字典管理原则：同一业务含义仅保留一个主字典编码；跨模块复用优先采用平台级字典；新增字典项时需同步评估页面展示、接口传输、统计口径和历史数据兼容。</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字典类别</w:t>
            </w:r>
          </w:p>
        </w:tc>
        <w:tc>
          <w:tcPr>
            <w:tcW w:type="dxa" w:w="2161"/>
          </w:tcPr>
          <w:p>
            <w:r>
              <w:t>典型字典项</w:t>
            </w:r>
          </w:p>
        </w:tc>
        <w:tc>
          <w:tcPr>
            <w:tcW w:type="dxa" w:w="2161"/>
          </w:tcPr>
          <w:p>
            <w:r>
              <w:t>适用模块</w:t>
            </w:r>
          </w:p>
        </w:tc>
        <w:tc>
          <w:tcPr>
            <w:tcW w:type="dxa" w:w="2161"/>
          </w:tcPr>
          <w:p>
            <w:r>
              <w:t>用途说明</w:t>
            </w:r>
          </w:p>
        </w:tc>
      </w:tr>
      <w:tr>
        <w:tc>
          <w:tcPr>
            <w:tcW w:type="dxa" w:w="2161"/>
          </w:tcPr>
          <w:p>
            <w:r>
              <w:t>组织区划字典</w:t>
            </w:r>
          </w:p>
        </w:tc>
        <w:tc>
          <w:tcPr>
            <w:tcW w:type="dxa" w:w="2161"/>
          </w:tcPr>
          <w:p>
            <w:r>
              <w:t>省、市、县、乡镇、村、组</w:t>
            </w:r>
          </w:p>
        </w:tc>
        <w:tc>
          <w:tcPr>
            <w:tcW w:type="dxa" w:w="2161"/>
          </w:tcPr>
          <w:p>
            <w:r>
              <w:t>全平台</w:t>
            </w:r>
          </w:p>
        </w:tc>
        <w:tc>
          <w:tcPr>
            <w:tcW w:type="dxa" w:w="2161"/>
          </w:tcPr>
          <w:p>
            <w:r>
              <w:t>统一区划口径和区域汇总维度</w:t>
            </w:r>
          </w:p>
        </w:tc>
      </w:tr>
      <w:tr>
        <w:tc>
          <w:tcPr>
            <w:tcW w:type="dxa" w:w="2161"/>
          </w:tcPr>
          <w:p>
            <w:r>
              <w:t>用户权限字典</w:t>
            </w:r>
          </w:p>
        </w:tc>
        <w:tc>
          <w:tcPr>
            <w:tcW w:type="dxa" w:w="2161"/>
          </w:tcPr>
          <w:p>
            <w:r>
              <w:t>用户状态、角色类型、权限类型、数据范围</w:t>
            </w:r>
          </w:p>
        </w:tc>
        <w:tc>
          <w:tcPr>
            <w:tcW w:type="dxa" w:w="2161"/>
          </w:tcPr>
          <w:p>
            <w:r>
              <w:t>全平台</w:t>
            </w:r>
          </w:p>
        </w:tc>
        <w:tc>
          <w:tcPr>
            <w:tcW w:type="dxa" w:w="2161"/>
          </w:tcPr>
          <w:p>
            <w:r>
              <w:t>统一登录授权和数据访问控制</w:t>
            </w:r>
          </w:p>
        </w:tc>
      </w:tr>
      <w:tr>
        <w:tc>
          <w:tcPr>
            <w:tcW w:type="dxa" w:w="2161"/>
          </w:tcPr>
          <w:p>
            <w:r>
              <w:t>财务核算字典</w:t>
            </w:r>
          </w:p>
        </w:tc>
        <w:tc>
          <w:tcPr>
            <w:tcW w:type="dxa" w:w="2161"/>
          </w:tcPr>
          <w:p>
            <w:r>
              <w:t>会计科目、凭证字、凭证状态、报表期间</w:t>
            </w:r>
          </w:p>
        </w:tc>
        <w:tc>
          <w:tcPr>
            <w:tcW w:type="dxa" w:w="2161"/>
          </w:tcPr>
          <w:p>
            <w:r>
              <w:t>村委财务、农经一张图、审计</w:t>
            </w:r>
          </w:p>
        </w:tc>
        <w:tc>
          <w:tcPr>
            <w:tcW w:type="dxa" w:w="2161"/>
          </w:tcPr>
          <w:p>
            <w:r>
              <w:t>统一财务口径和账表取值范围</w:t>
            </w:r>
          </w:p>
        </w:tc>
      </w:tr>
      <w:tr>
        <w:tc>
          <w:tcPr>
            <w:tcW w:type="dxa" w:w="2161"/>
          </w:tcPr>
          <w:p>
            <w:r>
              <w:t>资产资源字典</w:t>
            </w:r>
          </w:p>
        </w:tc>
        <w:tc>
          <w:tcPr>
            <w:tcW w:type="dxa" w:w="2161"/>
          </w:tcPr>
          <w:p>
            <w:r>
              <w:t>资产类别、资源类别、经营方式、权属状态</w:t>
            </w:r>
          </w:p>
        </w:tc>
        <w:tc>
          <w:tcPr>
            <w:tcW w:type="dxa" w:w="2161"/>
          </w:tcPr>
          <w:p>
            <w:r>
              <w:t>村委财务、农经一张图</w:t>
            </w:r>
          </w:p>
        </w:tc>
        <w:tc>
          <w:tcPr>
            <w:tcW w:type="dxa" w:w="2161"/>
          </w:tcPr>
          <w:p>
            <w:r>
              <w:t>统一资产资源分类和统计分析口径</w:t>
            </w:r>
          </w:p>
        </w:tc>
      </w:tr>
      <w:tr>
        <w:tc>
          <w:tcPr>
            <w:tcW w:type="dxa" w:w="2161"/>
          </w:tcPr>
          <w:p>
            <w:r>
              <w:t>合同业务字典</w:t>
            </w:r>
          </w:p>
        </w:tc>
        <w:tc>
          <w:tcPr>
            <w:tcW w:type="dxa" w:w="2161"/>
          </w:tcPr>
          <w:p>
            <w:r>
              <w:t>合同类型、履约状态、收款状态、审批状态</w:t>
            </w:r>
          </w:p>
        </w:tc>
        <w:tc>
          <w:tcPr>
            <w:tcW w:type="dxa" w:w="2161"/>
          </w:tcPr>
          <w:p>
            <w:r>
              <w:t>村委财务、农经一张图</w:t>
            </w:r>
          </w:p>
        </w:tc>
        <w:tc>
          <w:tcPr>
            <w:tcW w:type="dxa" w:w="2161"/>
          </w:tcPr>
          <w:p>
            <w:r>
              <w:t>统一合同全生命周期状态管理</w:t>
            </w:r>
          </w:p>
        </w:tc>
      </w:tr>
      <w:tr>
        <w:tc>
          <w:tcPr>
            <w:tcW w:type="dxa" w:w="2161"/>
          </w:tcPr>
          <w:p>
            <w:r>
              <w:t>绩效评价字典</w:t>
            </w:r>
          </w:p>
        </w:tc>
        <w:tc>
          <w:tcPr>
            <w:tcW w:type="dxa" w:w="2161"/>
          </w:tcPr>
          <w:p>
            <w:r>
              <w:t>评价等级、审核状态、指标类型</w:t>
            </w:r>
          </w:p>
        </w:tc>
        <w:tc>
          <w:tcPr>
            <w:tcW w:type="dxa" w:w="2161"/>
          </w:tcPr>
          <w:p>
            <w:r>
              <w:t>绩效评价</w:t>
            </w:r>
          </w:p>
        </w:tc>
        <w:tc>
          <w:tcPr>
            <w:tcW w:type="dxa" w:w="2161"/>
          </w:tcPr>
          <w:p>
            <w:r>
              <w:t>统一评价打分和审核流程取值</w:t>
            </w:r>
          </w:p>
        </w:tc>
      </w:tr>
      <w:tr>
        <w:tc>
          <w:tcPr>
            <w:tcW w:type="dxa" w:w="2161"/>
          </w:tcPr>
          <w:p>
            <w:r>
              <w:t>收入台账字典</w:t>
            </w:r>
          </w:p>
        </w:tc>
        <w:tc>
          <w:tcPr>
            <w:tcW w:type="dxa" w:w="2161"/>
          </w:tcPr>
          <w:p>
            <w:r>
              <w:t>收入类型、支出类型、填报状态、统计年度</w:t>
            </w:r>
          </w:p>
        </w:tc>
        <w:tc>
          <w:tcPr>
            <w:tcW w:type="dxa" w:w="2161"/>
          </w:tcPr>
          <w:p>
            <w:r>
              <w:t>收入台账</w:t>
            </w:r>
          </w:p>
        </w:tc>
        <w:tc>
          <w:tcPr>
            <w:tcW w:type="dxa" w:w="2161"/>
          </w:tcPr>
          <w:p>
            <w:r>
              <w:t>统一台账填报和统计分析口径</w:t>
            </w:r>
          </w:p>
        </w:tc>
      </w:tr>
      <w:tr>
        <w:tc>
          <w:tcPr>
            <w:tcW w:type="dxa" w:w="2161"/>
          </w:tcPr>
          <w:p>
            <w:r>
              <w:t>审计监管字典</w:t>
            </w:r>
          </w:p>
        </w:tc>
        <w:tc>
          <w:tcPr>
            <w:tcW w:type="dxa" w:w="2161"/>
          </w:tcPr>
          <w:p>
            <w:r>
              <w:t>疑点类型、整改状态、审计阶段、预警等级</w:t>
            </w:r>
          </w:p>
        </w:tc>
        <w:tc>
          <w:tcPr>
            <w:tcW w:type="dxa" w:w="2161"/>
          </w:tcPr>
          <w:p>
            <w:r>
              <w:t>智能审计、主体监管</w:t>
            </w:r>
          </w:p>
        </w:tc>
        <w:tc>
          <w:tcPr>
            <w:tcW w:type="dxa" w:w="2161"/>
          </w:tcPr>
          <w:p>
            <w:r>
              <w:t>统一问题分类、风险识别和整改跟踪</w:t>
            </w:r>
          </w:p>
        </w:tc>
      </w:tr>
      <w:tr>
        <w:tc>
          <w:tcPr>
            <w:tcW w:type="dxa" w:w="2161"/>
          </w:tcPr>
          <w:p>
            <w:r>
              <w:t>主体监管字典</w:t>
            </w:r>
          </w:p>
        </w:tc>
        <w:tc>
          <w:tcPr>
            <w:tcW w:type="dxa" w:w="2161"/>
          </w:tcPr>
          <w:p>
            <w:r>
              <w:t>主体类型、信用等级、经营状态、项目状态</w:t>
            </w:r>
          </w:p>
        </w:tc>
        <w:tc>
          <w:tcPr>
            <w:tcW w:type="dxa" w:w="2161"/>
          </w:tcPr>
          <w:p>
            <w:r>
              <w:t>新型农业经营主体监管</w:t>
            </w:r>
          </w:p>
        </w:tc>
        <w:tc>
          <w:tcPr>
            <w:tcW w:type="dxa" w:w="2161"/>
          </w:tcPr>
          <w:p>
            <w:r>
              <w:t>统一主体画像、监管分析和申报审批口径</w:t>
            </w:r>
          </w:p>
        </w:tc>
      </w:tr>
    </w:tbl>
    <w:p>
      <w:r>
        <w:rPr>
          <w:rFonts w:ascii="宋体" w:hAnsi="宋体" w:eastAsia="宋体"/>
          <w:b/>
          <w:sz w:val="28"/>
        </w:rPr>
        <w:t>4.4 数据采集与清洗规则</w:t>
      </w:r>
    </w:p>
    <w:p>
      <w:r>
        <w:t>平台数据采集遵循“需求驱动、白名单接入、分层落库、全程可追溯”的原则。数据采集范围以当前需求规格说明书对应模块为准，不以共享目录中的全部资源作为默认采集范围。根据共享目录清单与数据库设计说明书梳理结果，当前共享候选资源共174项，结合 data/requirements 下的需求范围收口后，首批纳入采集开发范围的数据表35项，二期预留88项，不纳入当前范围51项。</w:t>
      </w:r>
    </w:p>
    <w:p>
      <w:r>
        <w:t>4.4.1 采集范围</w:t>
      </w:r>
    </w:p>
    <w:p>
      <w:r>
        <w:t>首批数据采集应聚焦能够直接支撑农经一张图、村委财务事务管理、收入台账、绩效评价、智能审计和经营主体监管等模块的数据域，避免将种业、渔业、野生动物许可、农资统计等当前需求未直接消费的数据纳入一期实施范围。</w:t>
      </w:r>
    </w:p>
    <w:p>
      <w:r>
        <w:t>4.4.2 数据源与接入要求</w:t>
      </w:r>
    </w:p>
    <w:p>
      <w:r>
        <w:t>数据源识别分为三层：共享目录负责确定采集对象和数据库位置，数据库设计说明负责核对表设计与字段口径，业务数据库负责提供实际数据读取能力。采集实施必须使用表级白名单，不得以库级全量扫描替代需求范围控制。</w:t>
      </w:r>
    </w:p>
    <w:p>
      <w:r>
        <w:t>4.4.3 采集策略</w:t>
      </w:r>
    </w:p>
    <w:p>
      <w:r>
        <w:t>数据采集应采用“首次全量初始化 + 后续增量同步”的组合方式。对主档类、字典类和组织类数据，应优先保证口径统一；对财务、合同、资产、进销存、审计等过程类数据，应同步保留业务日期、更新时间、状态字段和来源批次，支持重跑、回溯和按批校验。</w:t>
      </w:r>
    </w:p>
    <w:p>
      <w:r>
        <w:t>4.4.4 数据清洗与质量控制规则</w:t>
      </w:r>
    </w:p>
    <w:p>
      <w:r>
        <w:t>数据清洗应围绕主键、编码、时间、状态、金额和敏感信息处理六类核心要素展开。清洗规则必须在采集链路中固化，任何异常不得通过手工口径在结果层直接修补。</w:t>
      </w:r>
    </w:p>
    <w:p>
      <w:r>
        <w:t>说明：详细的采集表级范围、首批35张必采表清单和二期预留/不采判定结果，应以数据采集专题文档和共享目录收口清单为准；本节仅定义需求规格说明书层面的采集范围、接入原则和质量控制要求。</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规则类别</w:t>
            </w:r>
          </w:p>
        </w:tc>
        <w:tc>
          <w:tcPr>
            <w:tcW w:type="dxa" w:w="2161"/>
          </w:tcPr>
          <w:p>
            <w:r>
              <w:t>清洗要求</w:t>
            </w:r>
          </w:p>
        </w:tc>
        <w:tc>
          <w:tcPr>
            <w:tcW w:type="dxa" w:w="2161"/>
          </w:tcPr>
          <w:p>
            <w:r>
              <w:t>异常处理要求</w:t>
            </w:r>
          </w:p>
        </w:tc>
        <w:tc>
          <w:tcPr>
            <w:tcW w:type="dxa" w:w="2161"/>
          </w:tcPr>
          <w:p>
            <w:r>
              <w:t>控制目标</w:t>
            </w:r>
          </w:p>
        </w:tc>
      </w:tr>
      <w:tr>
        <w:tc>
          <w:tcPr>
            <w:tcW w:type="dxa" w:w="2161"/>
          </w:tcPr>
          <w:p>
            <w:r>
              <w:t>主键与唯一性</w:t>
            </w:r>
          </w:p>
        </w:tc>
        <w:tc>
          <w:tcPr>
            <w:tcW w:type="dxa" w:w="2161"/>
          </w:tcPr>
          <w:p>
            <w:r>
              <w:t>每张采集表必须明确业务主键或技术主键，重复记录按主键去重</w:t>
            </w:r>
          </w:p>
        </w:tc>
        <w:tc>
          <w:tcPr>
            <w:tcW w:type="dxa" w:w="2161"/>
          </w:tcPr>
          <w:p>
            <w:r>
              <w:t>无法识别主键的表不得直接入正式库，先进入暂存区人工确认</w:t>
            </w:r>
          </w:p>
        </w:tc>
        <w:tc>
          <w:tcPr>
            <w:tcW w:type="dxa" w:w="2161"/>
          </w:tcPr>
          <w:p>
            <w:r>
              <w:t>保证记录唯一性</w:t>
            </w:r>
          </w:p>
        </w:tc>
      </w:tr>
      <w:tr>
        <w:tc>
          <w:tcPr>
            <w:tcW w:type="dxa" w:w="2161"/>
          </w:tcPr>
          <w:p>
            <w:r>
              <w:t>编码统一</w:t>
            </w:r>
          </w:p>
        </w:tc>
        <w:tc>
          <w:tcPr>
            <w:tcW w:type="dxa" w:w="2161"/>
          </w:tcPr>
          <w:p>
            <w:r>
              <w:t>组织区划、村社编码、主体编码、用户编码统一映射到平台主数据编码</w:t>
            </w:r>
          </w:p>
        </w:tc>
        <w:tc>
          <w:tcPr>
            <w:tcW w:type="dxa" w:w="2161"/>
          </w:tcPr>
          <w:p>
            <w:r>
              <w:t>编码缺失或无法映射时记录异常并回传源系统核对</w:t>
            </w:r>
          </w:p>
        </w:tc>
        <w:tc>
          <w:tcPr>
            <w:tcW w:type="dxa" w:w="2161"/>
          </w:tcPr>
          <w:p>
            <w:r>
              <w:t>保证跨系统关联一致</w:t>
            </w:r>
          </w:p>
        </w:tc>
      </w:tr>
      <w:tr>
        <w:tc>
          <w:tcPr>
            <w:tcW w:type="dxa" w:w="2161"/>
          </w:tcPr>
          <w:p>
            <w:r>
              <w:t>时间标准化</w:t>
            </w:r>
          </w:p>
        </w:tc>
        <w:tc>
          <w:tcPr>
            <w:tcW w:type="dxa" w:w="2161"/>
          </w:tcPr>
          <w:p>
            <w:r>
              <w:t>日期时间统一转换为标准时间字段，保留源字段原值</w:t>
            </w:r>
          </w:p>
        </w:tc>
        <w:tc>
          <w:tcPr>
            <w:tcW w:type="dxa" w:w="2161"/>
          </w:tcPr>
          <w:p>
            <w:r>
              <w:t>非法时间值写入异常日志，不允许静默丢弃</w:t>
            </w:r>
          </w:p>
        </w:tc>
        <w:tc>
          <w:tcPr>
            <w:tcW w:type="dxa" w:w="2161"/>
          </w:tcPr>
          <w:p>
            <w:r>
              <w:t>保证时间口径一致</w:t>
            </w:r>
          </w:p>
        </w:tc>
      </w:tr>
      <w:tr>
        <w:tc>
          <w:tcPr>
            <w:tcW w:type="dxa" w:w="2161"/>
          </w:tcPr>
          <w:p>
            <w:r>
              <w:t>字段口径统一</w:t>
            </w:r>
          </w:p>
        </w:tc>
        <w:tc>
          <w:tcPr>
            <w:tcW w:type="dxa" w:w="2161"/>
          </w:tcPr>
          <w:p>
            <w:r>
              <w:t>金额、数量、比例、状态等字段按平台统一字典和单位转换</w:t>
            </w:r>
          </w:p>
        </w:tc>
        <w:tc>
          <w:tcPr>
            <w:tcW w:type="dxa" w:w="2161"/>
          </w:tcPr>
          <w:p>
            <w:r>
              <w:t>转换失败时保留原值并标记清洗状态</w:t>
            </w:r>
          </w:p>
        </w:tc>
        <w:tc>
          <w:tcPr>
            <w:tcW w:type="dxa" w:w="2161"/>
          </w:tcPr>
          <w:p>
            <w:r>
              <w:t>保证统计结果可比</w:t>
            </w:r>
          </w:p>
        </w:tc>
      </w:tr>
      <w:tr>
        <w:tc>
          <w:tcPr>
            <w:tcW w:type="dxa" w:w="2161"/>
          </w:tcPr>
          <w:p>
            <w:r>
              <w:t>空值与缺失处理</w:t>
            </w:r>
          </w:p>
        </w:tc>
        <w:tc>
          <w:tcPr>
            <w:tcW w:type="dxa" w:w="2161"/>
          </w:tcPr>
          <w:p>
            <w:r>
              <w:t>关键字段如主体标识、业务日期、组织编码、状态字段不得为空</w:t>
            </w:r>
          </w:p>
        </w:tc>
        <w:tc>
          <w:tcPr>
            <w:tcW w:type="dxa" w:w="2161"/>
          </w:tcPr>
          <w:p>
            <w:r>
              <w:t>关键字段缺失记录进入待修复清单，不参与正式统计</w:t>
            </w:r>
          </w:p>
        </w:tc>
        <w:tc>
          <w:tcPr>
            <w:tcW w:type="dxa" w:w="2161"/>
          </w:tcPr>
          <w:p>
            <w:r>
              <w:t>保证核心指标可用</w:t>
            </w:r>
          </w:p>
        </w:tc>
      </w:tr>
      <w:tr>
        <w:tc>
          <w:tcPr>
            <w:tcW w:type="dxa" w:w="2161"/>
          </w:tcPr>
          <w:p>
            <w:r>
              <w:t>敏感数据处理</w:t>
            </w:r>
          </w:p>
        </w:tc>
        <w:tc>
          <w:tcPr>
            <w:tcW w:type="dxa" w:w="2161"/>
          </w:tcPr>
          <w:p>
            <w:r>
              <w:t>身份证号、手机号、银行卡号等敏感字段按安全要求脱敏存储和展示</w:t>
            </w:r>
          </w:p>
        </w:tc>
        <w:tc>
          <w:tcPr>
            <w:tcW w:type="dxa" w:w="2161"/>
          </w:tcPr>
          <w:p>
            <w:r>
              <w:t>脱敏失败或权限不明时停止该批次下游分发</w:t>
            </w:r>
          </w:p>
        </w:tc>
        <w:tc>
          <w:tcPr>
            <w:tcW w:type="dxa" w:w="2161"/>
          </w:tcPr>
          <w:p>
            <w:r>
              <w:t>保证数据安全合规</w:t>
            </w:r>
          </w:p>
        </w:tc>
      </w:tr>
      <w:tr>
        <w:tc>
          <w:tcPr>
            <w:tcW w:type="dxa" w:w="2161"/>
          </w:tcPr>
          <w:p>
            <w:r>
              <w:t>数据质量校验</w:t>
            </w:r>
          </w:p>
        </w:tc>
        <w:tc>
          <w:tcPr>
            <w:tcW w:type="dxa" w:w="2161"/>
          </w:tcPr>
          <w:p>
            <w:r>
              <w:t>采集前后执行记录数、主键数、更新时间范围和异常值比对</w:t>
            </w:r>
          </w:p>
        </w:tc>
        <w:tc>
          <w:tcPr>
            <w:tcW w:type="dxa" w:w="2161"/>
          </w:tcPr>
          <w:p>
            <w:r>
              <w:t>差异超阈值时阻断入库并生成告警</w:t>
            </w:r>
          </w:p>
        </w:tc>
        <w:tc>
          <w:tcPr>
            <w:tcW w:type="dxa" w:w="2161"/>
          </w:tcPr>
          <w:p>
            <w:r>
              <w:t>保证批次质量稳定</w:t>
            </w:r>
          </w:p>
        </w:tc>
      </w:tr>
      <w:tr>
        <w:tc>
          <w:tcPr>
            <w:tcW w:type="dxa" w:w="2161"/>
          </w:tcPr>
          <w:p>
            <w:r>
              <w:t>审计追溯</w:t>
            </w:r>
          </w:p>
        </w:tc>
        <w:tc>
          <w:tcPr>
            <w:tcW w:type="dxa" w:w="2161"/>
          </w:tcPr>
          <w:p>
            <w:r>
              <w:t>每批采集必须记录来源表、批次号、开始结束时间、处理结果和异常明细</w:t>
            </w:r>
          </w:p>
        </w:tc>
        <w:tc>
          <w:tcPr>
            <w:tcW w:type="dxa" w:w="2161"/>
          </w:tcPr>
          <w:p>
            <w:r>
              <w:t>批次失败时支持重跑，且不得覆盖成功批次的追溯信息</w:t>
            </w:r>
          </w:p>
        </w:tc>
        <w:tc>
          <w:tcPr>
            <w:tcW w:type="dxa" w:w="2161"/>
          </w:tcPr>
          <w:p>
            <w:r>
              <w:t>保证采集链路可追溯</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采集对象</w:t>
            </w:r>
          </w:p>
        </w:tc>
        <w:tc>
          <w:tcPr>
            <w:tcW w:type="dxa" w:w="2161"/>
          </w:tcPr>
          <w:p>
            <w:r>
              <w:t>建议策略</w:t>
            </w:r>
          </w:p>
        </w:tc>
        <w:tc>
          <w:tcPr>
            <w:tcW w:type="dxa" w:w="2161"/>
          </w:tcPr>
          <w:p>
            <w:r>
              <w:t>频率建议</w:t>
            </w:r>
          </w:p>
        </w:tc>
        <w:tc>
          <w:tcPr>
            <w:tcW w:type="dxa" w:w="2161"/>
          </w:tcPr>
          <w:p>
            <w:r>
              <w:t>说明</w:t>
            </w:r>
          </w:p>
        </w:tc>
      </w:tr>
      <w:tr>
        <w:tc>
          <w:tcPr>
            <w:tcW w:type="dxa" w:w="2161"/>
          </w:tcPr>
          <w:p>
            <w:r>
              <w:t>档案、组织、字典类主数据</w:t>
            </w:r>
          </w:p>
        </w:tc>
        <w:tc>
          <w:tcPr>
            <w:tcW w:type="dxa" w:w="2161"/>
          </w:tcPr>
          <w:p>
            <w:r>
              <w:t>首次全量，后续按更新时间或主键增量</w:t>
            </w:r>
          </w:p>
        </w:tc>
        <w:tc>
          <w:tcPr>
            <w:tcW w:type="dxa" w:w="2161"/>
          </w:tcPr>
          <w:p>
            <w:r>
              <w:t>每日一次</w:t>
            </w:r>
          </w:p>
        </w:tc>
        <w:tc>
          <w:tcPr>
            <w:tcW w:type="dxa" w:w="2161"/>
          </w:tcPr>
          <w:p>
            <w:r>
              <w:t>保证画像和主数据口径一致</w:t>
            </w:r>
          </w:p>
        </w:tc>
      </w:tr>
      <w:tr>
        <w:tc>
          <w:tcPr>
            <w:tcW w:type="dxa" w:w="2161"/>
          </w:tcPr>
          <w:p>
            <w:r>
              <w:t>财务、合同、资产、股权业务数据</w:t>
            </w:r>
          </w:p>
        </w:tc>
        <w:tc>
          <w:tcPr>
            <w:tcW w:type="dxa" w:w="2161"/>
          </w:tcPr>
          <w:p>
            <w:r>
              <w:t>首次全量，后续按业务日期和更新时间双条件增量</w:t>
            </w:r>
          </w:p>
        </w:tc>
        <w:tc>
          <w:tcPr>
            <w:tcW w:type="dxa" w:w="2161"/>
          </w:tcPr>
          <w:p>
            <w:r>
              <w:t>每日一次，月末可加密</w:t>
            </w:r>
          </w:p>
        </w:tc>
        <w:tc>
          <w:tcPr>
            <w:tcW w:type="dxa" w:w="2161"/>
          </w:tcPr>
          <w:p>
            <w:r>
              <w:t>避免漏采补录和反审核数据</w:t>
            </w:r>
          </w:p>
        </w:tc>
      </w:tr>
      <w:tr>
        <w:tc>
          <w:tcPr>
            <w:tcW w:type="dxa" w:w="2161"/>
          </w:tcPr>
          <w:p>
            <w:r>
              <w:t>经营主体、进销存、信贷监管数据</w:t>
            </w:r>
          </w:p>
        </w:tc>
        <w:tc>
          <w:tcPr>
            <w:tcW w:type="dxa" w:w="2161"/>
          </w:tcPr>
          <w:p>
            <w:r>
              <w:t>按主体编码分批全量初始化，后续增量同步</w:t>
            </w:r>
          </w:p>
        </w:tc>
        <w:tc>
          <w:tcPr>
            <w:tcW w:type="dxa" w:w="2161"/>
          </w:tcPr>
          <w:p>
            <w:r>
              <w:t>每日一次</w:t>
            </w:r>
          </w:p>
        </w:tc>
        <w:tc>
          <w:tcPr>
            <w:tcW w:type="dxa" w:w="2161"/>
          </w:tcPr>
          <w:p>
            <w:r>
              <w:t>支持主体经营分析和金融监管</w:t>
            </w:r>
          </w:p>
        </w:tc>
      </w:tr>
      <w:tr>
        <w:tc>
          <w:tcPr>
            <w:tcW w:type="dxa" w:w="2161"/>
          </w:tcPr>
          <w:p>
            <w:r>
              <w:t>收入台账、农产品行情类数据</w:t>
            </w:r>
          </w:p>
        </w:tc>
        <w:tc>
          <w:tcPr>
            <w:tcW w:type="dxa" w:w="2161"/>
          </w:tcPr>
          <w:p>
            <w:r>
              <w:t>全量初始化后按业务日期滚动增量</w:t>
            </w:r>
          </w:p>
        </w:tc>
        <w:tc>
          <w:tcPr>
            <w:tcW w:type="dxa" w:w="2161"/>
          </w:tcPr>
          <w:p>
            <w:r>
              <w:t>每日一次</w:t>
            </w:r>
          </w:p>
        </w:tc>
        <w:tc>
          <w:tcPr>
            <w:tcW w:type="dxa" w:w="2161"/>
          </w:tcPr>
          <w:p>
            <w:r>
              <w:t>用于统计分析和专题展示</w:t>
            </w:r>
          </w:p>
        </w:tc>
      </w:tr>
      <w:tr>
        <w:tc>
          <w:tcPr>
            <w:tcW w:type="dxa" w:w="2161"/>
          </w:tcPr>
          <w:p>
            <w:r>
              <w:t>审计、绩效、日志留痕数据</w:t>
            </w:r>
          </w:p>
        </w:tc>
        <w:tc>
          <w:tcPr>
            <w:tcW w:type="dxa" w:w="2161"/>
          </w:tcPr>
          <w:p>
            <w:r>
              <w:t>按任务批次或评价周期增量</w:t>
            </w:r>
          </w:p>
        </w:tc>
        <w:tc>
          <w:tcPr>
            <w:tcW w:type="dxa" w:w="2161"/>
          </w:tcPr>
          <w:p>
            <w:r>
              <w:t>按业务事件触发或每日一次</w:t>
            </w:r>
          </w:p>
        </w:tc>
        <w:tc>
          <w:tcPr>
            <w:tcW w:type="dxa" w:w="2161"/>
          </w:tcPr>
          <w:p>
            <w:r>
              <w:t>保证审计追溯链完整</w:t>
            </w:r>
          </w:p>
        </w:tc>
      </w:tr>
      <w:tr>
        <w:tc>
          <w:tcPr>
            <w:tcW w:type="dxa" w:w="2161"/>
          </w:tcPr>
          <w:p>
            <w:r>
              <w:t>附件及非结构化关联信息</w:t>
            </w:r>
          </w:p>
        </w:tc>
        <w:tc>
          <w:tcPr>
            <w:tcW w:type="dxa" w:w="2161"/>
          </w:tcPr>
          <w:p>
            <w:r>
              <w:t>先采元数据，附件文件独立归档</w:t>
            </w:r>
          </w:p>
        </w:tc>
        <w:tc>
          <w:tcPr>
            <w:tcW w:type="dxa" w:w="2161"/>
          </w:tcPr>
          <w:p>
            <w:r>
              <w:t>每日一次</w:t>
            </w:r>
          </w:p>
        </w:tc>
        <w:tc>
          <w:tcPr>
            <w:tcW w:type="dxa" w:w="2161"/>
          </w:tcPr>
          <w:p>
            <w:r>
              <w:t>避免把大文件同步逻辑与交易数据耦合</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数据源</w:t>
            </w:r>
          </w:p>
        </w:tc>
        <w:tc>
          <w:tcPr>
            <w:tcW w:type="dxa" w:w="2161"/>
          </w:tcPr>
          <w:p>
            <w:r>
              <w:t>来源说明</w:t>
            </w:r>
          </w:p>
        </w:tc>
        <w:tc>
          <w:tcPr>
            <w:tcW w:type="dxa" w:w="2161"/>
          </w:tcPr>
          <w:p>
            <w:r>
              <w:t>当前范围</w:t>
            </w:r>
          </w:p>
        </w:tc>
        <w:tc>
          <w:tcPr>
            <w:tcW w:type="dxa" w:w="2161"/>
          </w:tcPr>
          <w:p>
            <w:r>
              <w:t>接入要求</w:t>
            </w:r>
          </w:p>
        </w:tc>
      </w:tr>
      <w:tr>
        <w:tc>
          <w:tcPr>
            <w:tcW w:type="dxa" w:w="2161"/>
          </w:tcPr>
          <w:p>
            <w:r>
              <w:t>共享目录清单</w:t>
            </w:r>
          </w:p>
        </w:tc>
        <w:tc>
          <w:tcPr>
            <w:tcW w:type="dxa" w:w="2161"/>
          </w:tcPr>
          <w:p>
            <w:r>
              <w:t>三农一期共享目录清单-20260101.xlsx</w:t>
            </w:r>
          </w:p>
        </w:tc>
        <w:tc>
          <w:tcPr>
            <w:tcW w:type="dxa" w:w="2161"/>
          </w:tcPr>
          <w:p>
            <w:r>
              <w:t>174项共享资源，首批收口35项</w:t>
            </w:r>
          </w:p>
        </w:tc>
        <w:tc>
          <w:tcPr>
            <w:tcW w:type="dxa" w:w="2161"/>
          </w:tcPr>
          <w:p>
            <w:r>
              <w:t>作为采集对象清单和数据库定位依据</w:t>
            </w:r>
          </w:p>
        </w:tc>
      </w:tr>
      <w:tr>
        <w:tc>
          <w:tcPr>
            <w:tcW w:type="dxa" w:w="2161"/>
          </w:tcPr>
          <w:p>
            <w:r>
              <w:t>数据库设计说明</w:t>
            </w:r>
          </w:p>
        </w:tc>
        <w:tc>
          <w:tcPr>
            <w:tcW w:type="dxa" w:w="2161"/>
          </w:tcPr>
          <w:p>
            <w:r>
              <w:t>053-XX01-018-001.pdf</w:t>
            </w:r>
          </w:p>
        </w:tc>
        <w:tc>
          <w:tcPr>
            <w:tcW w:type="dxa" w:w="2161"/>
          </w:tcPr>
          <w:p>
            <w:r>
              <w:t>已匹配大部分共享表的设计信息</w:t>
            </w:r>
          </w:p>
        </w:tc>
        <w:tc>
          <w:tcPr>
            <w:tcW w:type="dxa" w:w="2161"/>
          </w:tcPr>
          <w:p>
            <w:r>
              <w:t>用于字段核对、主键判断和采集脚本设计</w:t>
            </w:r>
          </w:p>
        </w:tc>
      </w:tr>
      <w:tr>
        <w:tc>
          <w:tcPr>
            <w:tcW w:type="dxa" w:w="2161"/>
          </w:tcPr>
          <w:p>
            <w:r>
              <w:t>业务数据库节点</w:t>
            </w:r>
          </w:p>
        </w:tc>
        <w:tc>
          <w:tcPr>
            <w:tcW w:type="dxa" w:w="2161"/>
          </w:tcPr>
          <w:p>
            <w:r>
              <w:t>172.25.111.6</w:t>
            </w:r>
          </w:p>
        </w:tc>
        <w:tc>
          <w:tcPr>
            <w:tcW w:type="dxa" w:w="2161"/>
          </w:tcPr>
          <w:p>
            <w:r>
              <w:t>以首批必采表白名单为准</w:t>
            </w:r>
          </w:p>
        </w:tc>
        <w:tc>
          <w:tcPr>
            <w:tcW w:type="dxa" w:w="2161"/>
          </w:tcPr>
          <w:p>
            <w:r>
              <w:t>按表级白名单接入，不允许超范围扫描</w:t>
            </w:r>
          </w:p>
        </w:tc>
      </w:tr>
      <w:tr>
        <w:tc>
          <w:tcPr>
            <w:tcW w:type="dxa" w:w="2161"/>
          </w:tcPr>
          <w:p>
            <w:r>
              <w:t>业务数据库节点</w:t>
            </w:r>
          </w:p>
        </w:tc>
        <w:tc>
          <w:tcPr>
            <w:tcW w:type="dxa" w:w="2161"/>
          </w:tcPr>
          <w:p>
            <w:r>
              <w:t>172.21.199.156 / 172.21.128.23 / 10.111.162.138 / 10.111.162.133</w:t>
            </w:r>
          </w:p>
        </w:tc>
        <w:tc>
          <w:tcPr>
            <w:tcW w:type="dxa" w:w="2161"/>
          </w:tcPr>
          <w:p>
            <w:r>
              <w:t>仅接入已纳入需求范围的表</w:t>
            </w:r>
          </w:p>
        </w:tc>
        <w:tc>
          <w:tcPr>
            <w:tcW w:type="dxa" w:w="2161"/>
          </w:tcPr>
          <w:p>
            <w:r>
              <w:t>严格限制采集范围和账号权限</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数据域</w:t>
            </w:r>
          </w:p>
        </w:tc>
        <w:tc>
          <w:tcPr>
            <w:tcW w:type="dxa" w:w="2161"/>
          </w:tcPr>
          <w:p>
            <w:r>
              <w:t>典型关键词</w:t>
            </w:r>
          </w:p>
        </w:tc>
        <w:tc>
          <w:tcPr>
            <w:tcW w:type="dxa" w:w="2161"/>
          </w:tcPr>
          <w:p>
            <w:r>
              <w:t>首批表数</w:t>
            </w:r>
          </w:p>
        </w:tc>
        <w:tc>
          <w:tcPr>
            <w:tcW w:type="dxa" w:w="2161"/>
          </w:tcPr>
          <w:p>
            <w:r>
              <w:t>主要用途</w:t>
            </w:r>
          </w:p>
        </w:tc>
      </w:tr>
      <w:tr>
        <w:tc>
          <w:tcPr>
            <w:tcW w:type="dxa" w:w="2161"/>
          </w:tcPr>
          <w:p>
            <w:r>
              <w:t>农户档案与成员补贴</w:t>
            </w:r>
          </w:p>
        </w:tc>
        <w:tc>
          <w:tcPr>
            <w:tcW w:type="dxa" w:w="2161"/>
          </w:tcPr>
          <w:p>
            <w:r>
              <w:t>一户一档、农户档案、家庭成员、补贴</w:t>
            </w:r>
          </w:p>
        </w:tc>
        <w:tc>
          <w:tcPr>
            <w:tcW w:type="dxa" w:w="2161"/>
          </w:tcPr>
          <w:p>
            <w:r>
              <w:t>9</w:t>
            </w:r>
          </w:p>
        </w:tc>
        <w:tc>
          <w:tcPr>
            <w:tcW w:type="dxa" w:w="2161"/>
          </w:tcPr>
          <w:p>
            <w:r>
              <w:t>支撑农户画像、成员关联和补贴信息查询</w:t>
            </w:r>
          </w:p>
        </w:tc>
      </w:tr>
      <w:tr>
        <w:tc>
          <w:tcPr>
            <w:tcW w:type="dxa" w:w="2161"/>
          </w:tcPr>
          <w:p>
            <w:r>
              <w:t>三资财务核算</w:t>
            </w:r>
          </w:p>
        </w:tc>
        <w:tc>
          <w:tcPr>
            <w:tcW w:type="dxa" w:w="2161"/>
          </w:tcPr>
          <w:p>
            <w:r>
              <w:t>三资、财务、科目余额、账簿、报表</w:t>
            </w:r>
          </w:p>
        </w:tc>
        <w:tc>
          <w:tcPr>
            <w:tcW w:type="dxa" w:w="2161"/>
          </w:tcPr>
          <w:p>
            <w:r>
              <w:t>8</w:t>
            </w:r>
          </w:p>
        </w:tc>
        <w:tc>
          <w:tcPr>
            <w:tcW w:type="dxa" w:w="2161"/>
          </w:tcPr>
          <w:p>
            <w:r>
              <w:t>支撑财务中心、财务一张图和统计分析</w:t>
            </w:r>
          </w:p>
        </w:tc>
      </w:tr>
      <w:tr>
        <w:tc>
          <w:tcPr>
            <w:tcW w:type="dxa" w:w="2161"/>
          </w:tcPr>
          <w:p>
            <w:r>
              <w:t>合同资产股权资源</w:t>
            </w:r>
          </w:p>
        </w:tc>
        <w:tc>
          <w:tcPr>
            <w:tcW w:type="dxa" w:w="2161"/>
          </w:tcPr>
          <w:p>
            <w:r>
              <w:t>合同、资产、股权、资源</w:t>
            </w:r>
          </w:p>
        </w:tc>
        <w:tc>
          <w:tcPr>
            <w:tcW w:type="dxa" w:w="2161"/>
          </w:tcPr>
          <w:p>
            <w:r>
              <w:t>7</w:t>
            </w:r>
          </w:p>
        </w:tc>
        <w:tc>
          <w:tcPr>
            <w:tcW w:type="dxa" w:w="2161"/>
          </w:tcPr>
          <w:p>
            <w:r>
              <w:t>支撑农村集体三资管理和关联查询</w:t>
            </w:r>
          </w:p>
        </w:tc>
      </w:tr>
      <w:tr>
        <w:tc>
          <w:tcPr>
            <w:tcW w:type="dxa" w:w="2161"/>
          </w:tcPr>
          <w:p>
            <w:r>
              <w:t>经营主体与金融监管</w:t>
            </w:r>
          </w:p>
        </w:tc>
        <w:tc>
          <w:tcPr>
            <w:tcW w:type="dxa" w:w="2161"/>
          </w:tcPr>
          <w:p>
            <w:r>
              <w:t>经营主体、客户、商品、店铺、进销存、信贷、金融产品</w:t>
            </w:r>
          </w:p>
        </w:tc>
        <w:tc>
          <w:tcPr>
            <w:tcW w:type="dxa" w:w="2161"/>
          </w:tcPr>
          <w:p>
            <w:r>
              <w:t>6</w:t>
            </w:r>
          </w:p>
        </w:tc>
        <w:tc>
          <w:tcPr>
            <w:tcW w:type="dxa" w:w="2161"/>
          </w:tcPr>
          <w:p>
            <w:r>
              <w:t>支撑主体经营监管和金融服务场景</w:t>
            </w:r>
          </w:p>
        </w:tc>
      </w:tr>
      <w:tr>
        <w:tc>
          <w:tcPr>
            <w:tcW w:type="dxa" w:w="2161"/>
          </w:tcPr>
          <w:p>
            <w:r>
              <w:t>收入台账与经营统计</w:t>
            </w:r>
          </w:p>
        </w:tc>
        <w:tc>
          <w:tcPr>
            <w:tcW w:type="dxa" w:w="2161"/>
          </w:tcPr>
          <w:p>
            <w:r>
              <w:t>收入、台账、农产品、价格、滞销</w:t>
            </w:r>
          </w:p>
        </w:tc>
        <w:tc>
          <w:tcPr>
            <w:tcW w:type="dxa" w:w="2161"/>
          </w:tcPr>
          <w:p>
            <w:r>
              <w:t>3</w:t>
            </w:r>
          </w:p>
        </w:tc>
        <w:tc>
          <w:tcPr>
            <w:tcW w:type="dxa" w:w="2161"/>
          </w:tcPr>
          <w:p>
            <w:r>
              <w:t>支撑收入台账、行情和市场辅助分析</w:t>
            </w:r>
          </w:p>
        </w:tc>
      </w:tr>
      <w:tr>
        <w:tc>
          <w:tcPr>
            <w:tcW w:type="dxa" w:w="2161"/>
          </w:tcPr>
          <w:p>
            <w:r>
              <w:t>审计绩效数据</w:t>
            </w:r>
          </w:p>
        </w:tc>
        <w:tc>
          <w:tcPr>
            <w:tcW w:type="dxa" w:w="2161"/>
          </w:tcPr>
          <w:p>
            <w:r>
              <w:t>审计、绩效</w:t>
            </w:r>
          </w:p>
        </w:tc>
        <w:tc>
          <w:tcPr>
            <w:tcW w:type="dxa" w:w="2161"/>
          </w:tcPr>
          <w:p>
            <w:r>
              <w:t>1</w:t>
            </w:r>
          </w:p>
        </w:tc>
        <w:tc>
          <w:tcPr>
            <w:tcW w:type="dxa" w:w="2161"/>
          </w:tcPr>
          <w:p>
            <w:r>
              <w:t>支撑审计取数、绩效评价和留痕分析</w:t>
            </w:r>
          </w:p>
        </w:tc>
      </w:tr>
      <w:tr>
        <w:tc>
          <w:tcPr>
            <w:tcW w:type="dxa" w:w="2161"/>
          </w:tcPr>
          <w:p>
            <w:r>
              <w:t>党建与公告信息</w:t>
            </w:r>
          </w:p>
        </w:tc>
        <w:tc>
          <w:tcPr>
            <w:tcW w:type="dxa" w:w="2161"/>
          </w:tcPr>
          <w:p>
            <w:r>
              <w:t>三会一课、党员、党组织、通知公告</w:t>
            </w:r>
          </w:p>
        </w:tc>
        <w:tc>
          <w:tcPr>
            <w:tcW w:type="dxa" w:w="2161"/>
          </w:tcPr>
          <w:p>
            <w:r>
              <w:t>1</w:t>
            </w:r>
          </w:p>
        </w:tc>
        <w:tc>
          <w:tcPr>
            <w:tcW w:type="dxa" w:w="2161"/>
          </w:tcPr>
          <w:p>
            <w:r>
              <w:t>支撑基层党建和通知公告展示</w:t>
            </w:r>
          </w:p>
        </w:tc>
      </w:tr>
    </w:tbl>
    <w:p>
      <w:r>
        <w:rPr>
          <w:rFonts w:ascii="宋体" w:hAnsi="宋体" w:eastAsia="宋体"/>
          <w:b/>
          <w:sz w:val="32"/>
        </w:rPr>
        <w:t>5. 非功能需求</w:t>
      </w:r>
    </w:p>
    <w:p>
      <w:r>
        <w:rPr>
          <w:rFonts w:ascii="宋体" w:hAnsi="宋体" w:eastAsia="宋体"/>
          <w:b/>
          <w:sz w:val="28"/>
        </w:rPr>
        <w:t>5.1 性能需求</w:t>
      </w:r>
    </w:p>
    <w:p>
      <w:r>
        <w:rPr>
          <w:rFonts w:ascii="宋体" w:hAnsi="宋体" w:eastAsia="宋体"/>
          <w:b/>
          <w:sz w:val="28"/>
        </w:rPr>
        <w:t>5.2 安全性需求</w:t>
      </w:r>
    </w:p>
    <w:p>
      <w:r>
        <w:rPr>
          <w:rFonts w:ascii="宋体" w:hAnsi="宋体" w:eastAsia="宋体"/>
          <w:b/>
          <w:sz w:val="28"/>
        </w:rPr>
        <w:t>5.3 可用性与可靠性</w:t>
      </w:r>
    </w:p>
    <w:p>
      <w:r>
        <w:rPr>
          <w:rFonts w:ascii="宋体" w:hAnsi="宋体" w:eastAsia="宋体"/>
          <w:b/>
          <w:sz w:val="28"/>
        </w:rPr>
        <w:t>5.4 可维护性与可扩展性</w:t>
      </w:r>
    </w:p>
    <w:p>
      <w:r>
        <w:rPr>
          <w:rFonts w:ascii="宋体" w:hAnsi="宋体" w:eastAsia="宋体"/>
          <w:b/>
          <w:sz w:val="28"/>
        </w:rPr>
        <w:t>5.5 兼容性需求</w:t>
      </w:r>
    </w:p>
    <w:p>
      <w:r>
        <w:rPr>
          <w:rFonts w:ascii="宋体" w:hAnsi="宋体" w:eastAsia="宋体"/>
          <w:b/>
          <w:sz w:val="32"/>
        </w:rPr>
        <w:t>6. 外部接口需求</w:t>
      </w:r>
    </w:p>
    <w:p>
      <w:r>
        <w:rPr>
          <w:rFonts w:ascii="宋体" w:hAnsi="宋体" w:eastAsia="宋体"/>
          <w:b/>
          <w:sz w:val="28"/>
        </w:rPr>
        <w:t>6.1 用户界面（UI）要求</w:t>
      </w:r>
    </w:p>
    <w:p>
      <w:r>
        <w:rPr>
          <w:rFonts w:ascii="宋体" w:hAnsi="宋体" w:eastAsia="宋体"/>
          <w:b/>
          <w:sz w:val="28"/>
        </w:rPr>
        <w:t>6.2 硬件接口</w:t>
      </w:r>
    </w:p>
    <w:p>
      <w:r>
        <w:rPr>
          <w:rFonts w:ascii="宋体" w:hAnsi="宋体" w:eastAsia="宋体"/>
          <w:b/>
          <w:sz w:val="28"/>
        </w:rPr>
        <w:t>6.3 软件接口</w:t>
      </w:r>
    </w:p>
    <w:p>
      <w:r>
        <w:rPr>
          <w:rFonts w:ascii="宋体" w:hAnsi="宋体" w:eastAsia="宋体"/>
          <w:b/>
          <w:sz w:val="32"/>
        </w:rPr>
        <w:t>7. 系统部署与运行需求</w:t>
      </w:r>
    </w:p>
    <w:p>
      <w:r>
        <w:rPr>
          <w:rFonts w:ascii="宋体" w:hAnsi="宋体" w:eastAsia="宋体"/>
          <w:b/>
          <w:sz w:val="28"/>
        </w:rPr>
        <w:t>7.1 部署架构</w:t>
      </w:r>
    </w:p>
    <w:p>
      <w:r>
        <w:rPr>
          <w:rFonts w:ascii="宋体" w:hAnsi="宋体" w:eastAsia="宋体"/>
          <w:b/>
          <w:sz w:val="28"/>
        </w:rPr>
        <w:t>7.2 灾备与恢复策略</w:t>
      </w:r>
    </w:p>
    <w:p>
      <w:r>
        <w:rPr>
          <w:rFonts w:ascii="宋体" w:hAnsi="宋体" w:eastAsia="宋体"/>
          <w:b/>
          <w:sz w:val="28"/>
        </w:rPr>
        <w:t>7.3 系统监控与运维支持</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