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Pr="00BB5EF0" w:rsidRDefault="00E473CF" w:rsidP="00E473CF">
      <w:pPr>
        <w:pStyle w:val="Caption"/>
        <w:rPr>
          <w:rFonts w:cs="Times New Roman"/>
        </w:rPr>
      </w:pPr>
      <w:bookmarkStart w:id="6" w:name="_Ref235049565"/>
      <w:r>
        <w:t xml:space="preserve">Figure </w:t>
      </w:r>
      <w:fldSimple w:instr=" SEQ Figure \* ARABIC ">
        <w:r w:rsidR="00960E99">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Pr="00BB5EF0" w:rsidRDefault="00E473CF" w:rsidP="00E473CF">
      <w:pPr>
        <w:pStyle w:val="Caption"/>
        <w:rPr>
          <w:rFonts w:cs="Times New Roman"/>
        </w:rPr>
      </w:pPr>
      <w:bookmarkStart w:id="7" w:name="_Ref235049619"/>
      <w:r>
        <w:t xml:space="preserve">Figure </w:t>
      </w:r>
      <w:fldSimple w:instr=" SEQ Figure \* ARABIC ">
        <w:r w:rsidR="00960E99">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1A2CA0"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C90C8F">
        <w:rPr>
          <w:rFonts w:cs="Times New Roman"/>
        </w:rPr>
        <w:t xml:space="preserve"> </w:t>
      </w:r>
      <w:r w:rsidR="00C90C8F">
        <w:rPr>
          <w:rFonts w:cs="Times New Roman"/>
        </w:rPr>
        <w:fldChar w:fldCharType="begin"/>
      </w:r>
      <w:r w:rsidR="00C90C8F">
        <w:rPr>
          <w:rFonts w:cs="Times New Roman"/>
        </w:rPr>
        <w:instrText xml:space="preserve"> REF _Ref235572370 \h </w:instrText>
      </w:r>
      <w:r w:rsidR="00C90C8F">
        <w:rPr>
          <w:rFonts w:cs="Times New Roman"/>
        </w:rPr>
      </w:r>
      <w:r w:rsidR="00C90C8F">
        <w:rPr>
          <w:rFonts w:cs="Times New Roman"/>
        </w:rPr>
        <w:fldChar w:fldCharType="separate"/>
      </w:r>
      <w:r w:rsidR="00C90C8F">
        <w:t xml:space="preserve">Figure </w:t>
      </w:r>
      <w:r w:rsidR="00C90C8F">
        <w:rPr>
          <w:noProof/>
        </w:rPr>
        <w:t>3</w:t>
      </w:r>
      <w:r w:rsidR="00C90C8F">
        <w:t xml:space="preserve">: </w:t>
      </w:r>
      <w:r w:rsidR="00C90C8F" w:rsidRPr="00C90C8F">
        <w:t>Output IRF assuming rho=0.771 and e=0.0054</w:t>
      </w:r>
      <w:r w:rsidR="00C90C8F">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Pr="00BB5EF0" w:rsidRDefault="00C90C8F" w:rsidP="00C90C8F">
      <w:pPr>
        <w:pStyle w:val="Caption"/>
        <w:ind w:firstLine="567"/>
        <w:rPr>
          <w:rFonts w:cs="Times New Roman"/>
        </w:rPr>
      </w:pPr>
      <w:bookmarkStart w:id="26" w:name="_Ref235572370"/>
      <w:r>
        <w:t xml:space="preserve">Figure </w:t>
      </w:r>
      <w:fldSimple w:instr=" SEQ Figure \* ARABIC ">
        <w:r w:rsidR="00960E99">
          <w:rPr>
            <w:noProof/>
          </w:rPr>
          <w:t>3</w:t>
        </w:r>
      </w:fldSimple>
      <w:r>
        <w:t xml:space="preserve">: </w:t>
      </w:r>
      <w:r w:rsidRPr="00C90C8F">
        <w:t>Output IRF assuming rho=0.771 and e=0.0054</w:t>
      </w:r>
      <w:bookmarkEnd w:id="26"/>
    </w:p>
    <w:p w14:paraId="79511F0E" w14:textId="37623D5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748966B9"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90C8F">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Pr="00BB5EF0" w:rsidRDefault="00C90C8F" w:rsidP="00C90C8F">
      <w:pPr>
        <w:pStyle w:val="Caption"/>
        <w:rPr>
          <w:rFonts w:cs="Times New Roman"/>
        </w:rPr>
      </w:pPr>
      <w:bookmarkStart w:id="28" w:name="_Ref235572422"/>
      <w:r>
        <w:t xml:space="preserve">Figure </w:t>
      </w:r>
      <w:fldSimple w:instr=" SEQ Figure \* ARABIC ">
        <w:r w:rsidR="00960E99">
          <w:rPr>
            <w:noProof/>
          </w:rPr>
          <w:t>4</w:t>
        </w:r>
      </w:fldSimple>
      <w:r>
        <w:t xml:space="preserve">: </w:t>
      </w:r>
      <w:r w:rsidRPr="00C90C8F">
        <w:t>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1DC128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204CFB97"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C90C8F">
        <w:rPr>
          <w:rFonts w:cs="Times New Roman"/>
        </w:rPr>
        <w:t xml:space="preserve"> </w:t>
      </w:r>
      <w:r w:rsidR="00C90C8F">
        <w:rPr>
          <w:rFonts w:cs="Times New Roman"/>
        </w:rPr>
        <w:fldChar w:fldCharType="begin"/>
      </w:r>
      <w:r w:rsidR="00C90C8F">
        <w:rPr>
          <w:rFonts w:cs="Times New Roman"/>
        </w:rPr>
        <w:instrText xml:space="preserve"> REF _Ref235572517 \h </w:instrText>
      </w:r>
      <w:r w:rsidR="00C90C8F">
        <w:rPr>
          <w:rFonts w:cs="Times New Roman"/>
        </w:rPr>
      </w:r>
      <w:r w:rsidR="00C90C8F">
        <w:rPr>
          <w:rFonts w:cs="Times New Roman"/>
        </w:rPr>
        <w:fldChar w:fldCharType="separate"/>
      </w:r>
      <w:r w:rsidR="00C90C8F">
        <w:t xml:space="preserve">Figure </w:t>
      </w:r>
      <w:r w:rsidR="00C90C8F">
        <w:rPr>
          <w:noProof/>
        </w:rPr>
        <w:t>5</w:t>
      </w:r>
      <w:r w:rsidR="00C90C8F">
        <w:t xml:space="preserve">: </w:t>
      </w:r>
      <w:r w:rsidR="00C90C8F" w:rsidRPr="00C90C8F">
        <w:t>Positioning assuming lag=10 over one quarter</w:t>
      </w:r>
      <w:r w:rsidR="00C90C8F">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Pr="00BB5EF0" w:rsidRDefault="00C90C8F" w:rsidP="00C90C8F">
      <w:pPr>
        <w:pStyle w:val="Caption"/>
        <w:rPr>
          <w:rFonts w:cs="Times New Roman"/>
        </w:rPr>
      </w:pPr>
      <w:bookmarkStart w:id="33" w:name="_Ref235572517"/>
      <w:r>
        <w:t xml:space="preserve">Figure </w:t>
      </w:r>
      <w:fldSimple w:instr=" SEQ Figure \* ARABIC ">
        <w:r w:rsidR="00960E99">
          <w:rPr>
            <w:noProof/>
          </w:rPr>
          <w:t>5</w:t>
        </w:r>
      </w:fldSimple>
      <w:r>
        <w:t xml:space="preserve">: </w:t>
      </w:r>
      <w:r w:rsidRPr="00C90C8F">
        <w:t>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bookmarkStart w:id="47" w:name="_Ref235479484"/>
      <w:bookmarkStart w:id="48" w:name="_Ref235481826"/>
      <w:bookmarkStart w:id="49" w:name="_Ref235571544"/>
      <w:bookmarkStart w:id="50" w:name="_Ref235741468"/>
      <w:r w:rsidRPr="00BB5EF0">
        <w:rPr>
          <w:rFonts w:cs="Times New Roman"/>
        </w:rPr>
        <w:lastRenderedPageBreak/>
        <w:t xml:space="preserve">5. </w:t>
      </w:r>
      <w:r w:rsidR="005475C8">
        <w:rPr>
          <w:rFonts w:cs="Times New Roman"/>
        </w:rPr>
        <w:t>RESULTS</w:t>
      </w:r>
      <w:bookmarkEnd w:id="46"/>
      <w:bookmarkEnd w:id="47"/>
      <w:bookmarkEnd w:id="48"/>
      <w:bookmarkEnd w:id="49"/>
      <w:bookmarkEnd w:id="50"/>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4453BCD8"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FD5B29">
        <w:rPr>
          <w:rFonts w:cs="Times New Roman"/>
        </w:rPr>
        <w:t xml:space="preserve"> </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51" w:name="_Toc235286972"/>
      <w:bookmarkStart w:id="52" w:name="_Ref235741745"/>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51"/>
      <w:bookmarkEnd w:id="52"/>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60CEFA7E"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CC5D02">
        <w:rPr>
          <w:rFonts w:cs="Times New Roman"/>
        </w:rPr>
        <w:t xml:space="preserve"> for the S&amp;P 500 asset</w:t>
      </w:r>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F32328">
        <w:rPr>
          <w:rFonts w:cs="Times New Roman"/>
        </w:rPr>
        <w:fldChar w:fldCharType="begin"/>
      </w:r>
      <w:r w:rsidR="00F32328">
        <w:rPr>
          <w:rFonts w:cs="Times New Roman"/>
        </w:rPr>
        <w:instrText xml:space="preserve"> REF _Ref235569859 \h </w:instrText>
      </w:r>
      <w:r w:rsidR="00F32328">
        <w:rPr>
          <w:rFonts w:cs="Times New Roman"/>
        </w:rPr>
      </w:r>
      <w:r w:rsidR="00F32328">
        <w:rPr>
          <w:rFonts w:cs="Times New Roman"/>
        </w:rPr>
        <w:fldChar w:fldCharType="separate"/>
      </w:r>
      <w:r w:rsidR="007824AD">
        <w:t xml:space="preserve">Table </w:t>
      </w:r>
      <w:r w:rsidR="007824AD">
        <w:rPr>
          <w:noProof/>
        </w:rPr>
        <w:t>2</w:t>
      </w:r>
      <w:r w:rsidR="007824AD">
        <w:t>: Restricted view of S&amp;P 500 results for the full horizon</w:t>
      </w:r>
      <w:r w:rsidR="00F32328">
        <w:rPr>
          <w:rFonts w:cs="Times New Roman"/>
        </w:rPr>
        <w:fldChar w:fldCharType="end"/>
      </w:r>
      <w:r w:rsidR="00F32328">
        <w:rPr>
          <w:rFonts w:cs="Times New Roman"/>
        </w:rPr>
        <w:t xml:space="preserve"> 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53" w:name="_Ref232257104"/>
      <w:bookmarkStart w:id="54" w:name="_Ref235569859"/>
      <w:r>
        <w:t xml:space="preserve">Table </w:t>
      </w:r>
      <w:fldSimple w:instr=" SEQ Table \* ARABIC ">
        <w:r w:rsidR="00646A21">
          <w:rPr>
            <w:noProof/>
          </w:rPr>
          <w:t>2</w:t>
        </w:r>
      </w:fldSimple>
      <w:r>
        <w:t xml:space="preserve">: </w:t>
      </w:r>
      <w:bookmarkEnd w:id="53"/>
      <w:r w:rsidR="00F32328">
        <w:t>Restricted view of S&amp;P</w:t>
      </w:r>
      <w:r w:rsidR="007824AD">
        <w:t xml:space="preserve"> </w:t>
      </w:r>
      <w:r w:rsidR="00F32328">
        <w:t>500 results for the full horizon</w:t>
      </w:r>
      <w:bookmarkEnd w:id="5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5" w:name="_Ref232257115"/>
      <w:bookmarkStart w:id="56" w:name="_Ref235570827"/>
      <w:r>
        <w:lastRenderedPageBreak/>
        <w:t xml:space="preserve">Table </w:t>
      </w:r>
      <w:fldSimple w:instr=" SEQ Table \* ARABIC ">
        <w:r w:rsidR="00646A21">
          <w:rPr>
            <w:noProof/>
          </w:rPr>
          <w:t>3</w:t>
        </w:r>
      </w:fldSimple>
      <w:r>
        <w:t xml:space="preserve">: </w:t>
      </w:r>
      <w:bookmarkEnd w:id="55"/>
      <w:r w:rsidR="00882F60">
        <w:t>Restricted view of DJIA results for the full horizon</w:t>
      </w:r>
      <w:bookmarkEnd w:id="5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the analysis is devoted to net </w:t>
      </w:r>
      <w:proofErr w:type="spellStart"/>
      <w:r>
        <w:rPr>
          <w:rFonts w:cs="Times New Roman"/>
        </w:rPr>
        <w:t>PnL</w:t>
      </w:r>
      <w:proofErr w:type="spellEnd"/>
      <w:r>
        <w:rPr>
          <w:rFonts w:cs="Times New Roman"/>
        </w:rPr>
        <w:t xml:space="preserve"> and net SR. This is due to the realistic assumption of incurring trading costs 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22B3BDDC" w:rsidR="00774E62" w:rsidRDefault="00882F60" w:rsidP="007824AD">
      <w:pPr>
        <w:spacing w:line="360" w:lineRule="auto"/>
        <w:ind w:firstLine="567"/>
        <w:rPr>
          <w:rFonts w:cs="Times New Roman"/>
        </w:rPr>
      </w:pP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t>: Restricted view of S&amp;P 500 results for the full horizon</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_Ref235570827 \h </w:instrText>
      </w:r>
      <w:r>
        <w:rPr>
          <w:rFonts w:cs="Times New Roman"/>
        </w:rPr>
      </w:r>
      <w:r>
        <w:rPr>
          <w:rFonts w:cs="Times New Roman"/>
        </w:rPr>
        <w:fldChar w:fldCharType="separate"/>
      </w:r>
      <w:r>
        <w:t xml:space="preserve">Table </w:t>
      </w:r>
      <w:r>
        <w:rPr>
          <w:noProof/>
        </w:rPr>
        <w:t>3</w:t>
      </w:r>
      <w:r>
        <w:t>: Restricted view of DJIA results for the full horizon</w:t>
      </w:r>
      <w:r>
        <w:rPr>
          <w:rFonts w:cs="Times New Roman"/>
        </w:rPr>
        <w:fldChar w:fldCharType="end"/>
      </w:r>
      <w:r>
        <w:rPr>
          <w:rFonts w:cs="Times New Roman"/>
        </w:rPr>
        <w:t xml:space="preserve"> show the difference is typically negligible with </w:t>
      </w:r>
      <w:proofErr w:type="spellStart"/>
      <w:r>
        <w:rPr>
          <w:rFonts w:cs="Times New Roman"/>
        </w:rPr>
        <w:t>PnL</w:t>
      </w:r>
      <w:proofErr w:type="spellEnd"/>
      <w:r>
        <w:rPr>
          <w:rFonts w:cs="Times New Roman"/>
        </w:rPr>
        <w:t xml:space="preserve"> diverging by 0.01 at most between net and gross metric types</w:t>
      </w:r>
      <w:r w:rsidR="00774E62">
        <w:rPr>
          <w:rFonts w:cs="Times New Roman"/>
        </w:rPr>
        <w:t xml:space="preserve"> for both assets</w:t>
      </w:r>
      <w:r>
        <w:rPr>
          <w:rFonts w:cs="Times New Roman"/>
        </w:rPr>
        <w:t>. V</w:t>
      </w:r>
      <w:r w:rsidR="007824AD">
        <w:rPr>
          <w:rFonts w:cs="Times New Roman"/>
        </w:rPr>
        <w:t>ery few position changes over the horizon</w:t>
      </w:r>
      <w:r>
        <w:rPr>
          <w:rFonts w:cs="Times New Roman"/>
        </w:rPr>
        <w:t xml:space="preserve"> explain this phenomenon: there is a total of only 23 position changes for the unlevered 10 year-calibrated full horizon strategy variants, each of which is inexpensive.</w:t>
      </w:r>
      <w:r w:rsidR="00EE417A">
        <w:rPr>
          <w:rFonts w:cs="Times New Roman"/>
        </w:rPr>
        <w:t xml:space="preserve"> </w:t>
      </w:r>
      <w:r>
        <w:rPr>
          <w:rFonts w:cs="Times New Roman"/>
        </w:rPr>
        <w:t xml:space="preserve">This equates to a charge applied only 0.35% of the time out of 6540 daily observations throughout the horizon. </w:t>
      </w:r>
      <w:r w:rsidR="00EE417A">
        <w:rPr>
          <w:rFonts w:cs="Times New Roman"/>
        </w:rPr>
        <w:t xml:space="preserve">The effect is visualised in </w:t>
      </w:r>
      <w:r w:rsidR="00EE417A">
        <w:rPr>
          <w:rFonts w:cs="Times New Roman"/>
        </w:rPr>
        <w:fldChar w:fldCharType="begin"/>
      </w:r>
      <w:r w:rsidR="00EE417A">
        <w:rPr>
          <w:rFonts w:cs="Times New Roman"/>
        </w:rPr>
        <w:instrText xml:space="preserve"> REF _Ref235572611 \h </w:instrText>
      </w:r>
      <w:r w:rsidR="00EE417A">
        <w:rPr>
          <w:rFonts w:cs="Times New Roman"/>
        </w:rPr>
      </w:r>
      <w:r w:rsidR="00EE417A">
        <w:rPr>
          <w:rFonts w:cs="Times New Roman"/>
        </w:rPr>
        <w:fldChar w:fldCharType="separate"/>
      </w:r>
      <w:r w:rsidR="00EE417A">
        <w:t xml:space="preserve">Figure </w:t>
      </w:r>
      <w:r w:rsidR="00EE417A">
        <w:rPr>
          <w:noProof/>
        </w:rPr>
        <w:t>6</w:t>
      </w:r>
      <w:r w:rsidR="00EE417A">
        <w:t xml:space="preserve">: </w:t>
      </w:r>
      <w:proofErr w:type="spellStart"/>
      <w:r w:rsidR="00EE417A" w:rsidRPr="00C90C8F">
        <w:t>PnL</w:t>
      </w:r>
      <w:proofErr w:type="spellEnd"/>
      <w:r w:rsidR="00EE417A" w:rsidRPr="00C90C8F">
        <w:t xml:space="preserve"> </w:t>
      </w:r>
      <w:r w:rsidR="00EE417A">
        <w:t xml:space="preserve">and positions </w:t>
      </w:r>
      <w:r w:rsidR="00EE417A" w:rsidRPr="00C90C8F">
        <w:t>for mean-reversion rbc_10cal_1999-12-31_2025-09-30_30lag</w:t>
      </w:r>
      <w:r w:rsidR="00EE417A">
        <w:rPr>
          <w:rFonts w:cs="Times New Roman"/>
        </w:rPr>
        <w:fldChar w:fldCharType="end"/>
      </w:r>
      <w:r w:rsidR="00EE417A">
        <w:rPr>
          <w:rFonts w:cs="Times New Roman"/>
        </w:rPr>
        <w:t xml:space="preserve">. </w:t>
      </w:r>
      <w:r w:rsidR="00774E62">
        <w:rPr>
          <w:rFonts w:cs="Times New Roman"/>
        </w:rPr>
        <w:t xml:space="preserve">Equivalently, </w:t>
      </w:r>
      <w:r>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77777777" w:rsidR="00774E62" w:rsidRDefault="00774E62" w:rsidP="007824AD">
      <w:pPr>
        <w:spacing w:line="360" w:lineRule="auto"/>
        <w:ind w:firstLine="567"/>
        <w:rPr>
          <w:rFonts w:cs="Times New Roman"/>
        </w:rPr>
      </w:pPr>
      <w:r>
        <w:rPr>
          <w:rFonts w:cs="Times New Roman"/>
        </w:rPr>
        <w:t xml:space="preserve">In fact, all full horizon strategy variants ranged 23-37 trades as per </w:t>
      </w:r>
      <w:r>
        <w:rPr>
          <w:rFonts w:cs="Times New Roman"/>
        </w:rPr>
        <w:fldChar w:fldCharType="begin"/>
      </w:r>
      <w:r>
        <w:rPr>
          <w:rFonts w:cs="Times New Roman"/>
        </w:rPr>
        <w:instrText xml:space="preserve"> REF _Ref231755684 \h </w:instrText>
      </w:r>
      <w:r>
        <w:rPr>
          <w:rFonts w:cs="Times New Roman"/>
        </w:rPr>
      </w:r>
      <w:r>
        <w:rPr>
          <w:rFonts w:cs="Times New Roman"/>
        </w:rPr>
        <w:fldChar w:fldCharType="separate"/>
      </w:r>
      <w:r>
        <w:t xml:space="preserve">Table </w:t>
      </w:r>
      <w:r>
        <w:rPr>
          <w:noProof/>
        </w:rPr>
        <w:t>4</w:t>
      </w:r>
      <w:r>
        <w:t>: Position changes in 12/1999-09/2025 strategies</w:t>
      </w:r>
      <w:r>
        <w:rPr>
          <w:rFonts w:cs="Times New Roman"/>
        </w:rPr>
        <w:fldChar w:fldCharType="end"/>
      </w:r>
      <w:r>
        <w:rPr>
          <w:rFonts w:cs="Times New Roman"/>
        </w:rPr>
        <w:t xml:space="preserve">. Therefore, 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is on the more realistic net performance.</w:t>
      </w:r>
    </w:p>
    <w:p w14:paraId="5CE0CD0F" w14:textId="77777777" w:rsidR="00C90C8F" w:rsidRDefault="00C90C8F" w:rsidP="00C90C8F">
      <w:pPr>
        <w:pStyle w:val="Caption"/>
        <w:keepNext/>
      </w:pPr>
      <w:bookmarkStart w:id="57" w:name="_Ref231755684"/>
      <w:r>
        <w:t xml:space="preserve">Table </w:t>
      </w:r>
      <w:fldSimple w:instr=" SEQ Table \* ARABIC ">
        <w:r>
          <w:rPr>
            <w:noProof/>
          </w:rPr>
          <w:t>4</w:t>
        </w:r>
      </w:fldSimple>
      <w:r>
        <w:t>: Position changes in 12/1999-09/2025 strategies</w:t>
      </w:r>
      <w:bookmarkEnd w:id="57"/>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lastRenderedPageBreak/>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 xml:space="preserve">is a key advantage of the DSGE strategy framework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58" w:name="_Ref235572611"/>
      <w:r>
        <w:t xml:space="preserve">Figure </w:t>
      </w:r>
      <w:fldSimple w:instr=" SEQ Figure \* ARABIC ">
        <w:r w:rsidR="00960E99">
          <w:rPr>
            <w:noProof/>
          </w:rPr>
          <w:t>6</w:t>
        </w:r>
      </w:fldSimple>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58"/>
    </w:p>
    <w:p w14:paraId="7F239305" w14:textId="52E54696" w:rsidR="00E8120E" w:rsidRPr="00BB5EF0" w:rsidRDefault="00E8120E" w:rsidP="00E8120E">
      <w:pPr>
        <w:pStyle w:val="Heading2"/>
        <w:spacing w:line="360" w:lineRule="auto"/>
        <w:rPr>
          <w:rFonts w:cs="Times New Roman"/>
        </w:rPr>
      </w:pPr>
      <w:bookmarkStart w:id="59" w:name="_Ref232342318"/>
      <w:bookmarkStart w:id="60" w:name="_Ref232356595"/>
      <w:bookmarkStart w:id="61" w:name="_Ref232358409"/>
      <w:bookmarkStart w:id="62"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9"/>
      <w:bookmarkEnd w:id="60"/>
      <w:bookmarkEnd w:id="61"/>
      <w:bookmarkEnd w:id="62"/>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4B066457" w:rsidR="00FC6CB3" w:rsidRDefault="00FC6CB3" w:rsidP="00E8120E">
      <w:pPr>
        <w:spacing w:line="360" w:lineRule="auto"/>
        <w:ind w:firstLine="567"/>
        <w:rPr>
          <w:rFonts w:cs="Times New Roman"/>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w:t>
      </w:r>
      <w:r w:rsidR="00960E99">
        <w:rPr>
          <w:rFonts w:cs="Times New Roman"/>
        </w:rPr>
        <w:t xml:space="preserve"> </w:t>
      </w:r>
      <w:r w:rsidR="00960E99">
        <w:rPr>
          <w:rFonts w:cs="Times New Roman"/>
        </w:rPr>
        <w:fldChar w:fldCharType="begin"/>
      </w:r>
      <w:r w:rsidR="00960E99">
        <w:rPr>
          <w:rFonts w:cs="Times New Roman"/>
        </w:rPr>
        <w:instrText xml:space="preserve"> REF _Ref235572693 \h </w:instrText>
      </w:r>
      <w:r w:rsidR="00960E99">
        <w:rPr>
          <w:rFonts w:cs="Times New Roman"/>
        </w:rPr>
      </w:r>
      <w:r w:rsidR="00960E99">
        <w:rPr>
          <w:rFonts w:cs="Times New Roman"/>
        </w:rPr>
        <w:fldChar w:fldCharType="separate"/>
      </w:r>
      <w:r w:rsidR="00960E99">
        <w:t xml:space="preserve">Figure </w:t>
      </w:r>
      <w:r w:rsidR="00960E99">
        <w:rPr>
          <w:noProof/>
        </w:rPr>
        <w:t>7</w:t>
      </w:r>
      <w:r w:rsidR="00960E99">
        <w:t xml:space="preserve">: </w:t>
      </w:r>
      <w:r w:rsidR="00960E99" w:rsidRPr="00960E99">
        <w:t>Strategy comparison across horizons for S&amp;P 500</w:t>
      </w:r>
      <w:r w:rsidR="00960E99">
        <w:rPr>
          <w:rFonts w:cs="Times New Roman"/>
        </w:rPr>
        <w:fldChar w:fldCharType="end"/>
      </w:r>
      <w:r w:rsidR="00164609">
        <w:rPr>
          <w:rFonts w:cs="Times New Roman"/>
        </w:rPr>
        <w:t>.</w:t>
      </w:r>
      <w:r w:rsidR="006A2CBF">
        <w:rPr>
          <w:rFonts w:cs="Times New Roman"/>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63" w:name="_Ref232275706"/>
      <w:r>
        <w:lastRenderedPageBreak/>
        <w:t xml:space="preserve">Table </w:t>
      </w:r>
      <w:fldSimple w:instr=" SEQ Table \* ARABIC ">
        <w:r w:rsidR="00646A21">
          <w:rPr>
            <w:noProof/>
          </w:rPr>
          <w:t>5</w:t>
        </w:r>
      </w:fldSimple>
      <w:r>
        <w:t>: Strategy comparison across horizons for S&amp;P</w:t>
      </w:r>
      <w:r w:rsidR="00E30419">
        <w:t xml:space="preserve"> </w:t>
      </w:r>
      <w:r>
        <w:t>500</w:t>
      </w:r>
      <w:bookmarkEnd w:id="6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6A2CBF">
        <w:trPr>
          <w:trHeight w:val="285"/>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64" w:name="_Ref235572693"/>
      <w:r>
        <w:t xml:space="preserve">Figure </w:t>
      </w:r>
      <w:fldSimple w:instr=" SEQ Figure \* ARABIC ">
        <w:r>
          <w:rPr>
            <w:noProof/>
          </w:rPr>
          <w:t>7</w:t>
        </w:r>
      </w:fldSimple>
      <w:r>
        <w:t xml:space="preserve">: </w:t>
      </w:r>
      <w:r w:rsidRPr="00960E99">
        <w:t>Strategy comparison across horizons for S&amp;P 500</w:t>
      </w:r>
      <w:bookmarkEnd w:id="64"/>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w:t>
      </w:r>
      <w:r w:rsidR="0071480D">
        <w:rPr>
          <w:rFonts w:cs="Times New Roman"/>
        </w:rPr>
        <w:lastRenderedPageBreak/>
        <w:t xml:space="preserve">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sidR="00DE2C3C">
        <w:rPr>
          <w:rFonts w:cs="Times New Roman"/>
        </w:rPr>
        <w:t xml:space="preserve"> whilst the buy-and-hold strategy does not</w:t>
      </w:r>
      <w:r>
        <w:rPr>
          <w:rFonts w:cs="Times New Roman"/>
        </w:rPr>
        <w:t>.</w:t>
      </w:r>
    </w:p>
    <w:p w14:paraId="7829B217" w14:textId="5F6CA101"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The also addresses one of the research questions: forecasts can both lead and follow realised values in generating profitable trades and this feature changes depending on the time horizon.</w:t>
      </w:r>
    </w:p>
    <w:p w14:paraId="073EB6F5" w14:textId="36427A85" w:rsidR="005C6FB3" w:rsidRDefault="005C6FB3" w:rsidP="00E8120E">
      <w:pPr>
        <w:spacing w:line="360" w:lineRule="auto"/>
        <w:ind w:firstLine="567"/>
        <w:rPr>
          <w:rFonts w:cs="Times New Roman"/>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 xml:space="preserve">readings or sudden geopolitical crises. Secondly, the systematic trading strategy is long-term by design, </w:t>
      </w:r>
      <w:r w:rsidR="005F7204">
        <w:rPr>
          <w:rFonts w:cs="Times New Roman"/>
        </w:rPr>
        <w:lastRenderedPageBreak/>
        <w:t>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and further makes the case for the hypothesis that there exists value in generating DSGE-based systematic trading frameworks</w:t>
      </w:r>
      <w:r>
        <w:rPr>
          <w:rFonts w:cs="Times New Roman"/>
        </w:rPr>
        <w:t>.</w:t>
      </w:r>
      <w:r w:rsidR="00E30419">
        <w:rPr>
          <w:rFonts w:cs="Times New Roman"/>
        </w:rPr>
        <w:t xml:space="preserve"> </w:t>
      </w:r>
      <w:r w:rsidR="00960E99">
        <w:rPr>
          <w:rFonts w:cs="Times New Roman"/>
        </w:rPr>
        <w:fldChar w:fldCharType="begin"/>
      </w:r>
      <w:r w:rsidR="00960E99">
        <w:rPr>
          <w:rFonts w:cs="Times New Roman"/>
        </w:rPr>
        <w:instrText xml:space="preserve"> REF _Ref235572732 \h </w:instrText>
      </w:r>
      <w:r w:rsidR="00960E99">
        <w:rPr>
          <w:rFonts w:cs="Times New Roman"/>
        </w:rPr>
      </w:r>
      <w:r w:rsidR="00960E99">
        <w:rPr>
          <w:rFonts w:cs="Times New Roman"/>
        </w:rPr>
        <w:fldChar w:fldCharType="separate"/>
      </w:r>
      <w:r w:rsidR="00960E99">
        <w:t xml:space="preserve">Figure </w:t>
      </w:r>
      <w:r w:rsidR="00960E99">
        <w:rPr>
          <w:noProof/>
        </w:rPr>
        <w:t>8</w:t>
      </w:r>
      <w:r w:rsidR="00960E99">
        <w:t xml:space="preserve">: </w:t>
      </w:r>
      <w:r w:rsidR="00960E99" w:rsidRPr="00960E99">
        <w:t>Strategy comparison across horizons for S&amp;P 500 with strategy type switching</w:t>
      </w:r>
      <w:r w:rsidR="00960E99">
        <w:rPr>
          <w:rFonts w:cs="Times New Roman"/>
        </w:rPr>
        <w:fldChar w:fldCharType="end"/>
      </w:r>
      <w:r w:rsidR="00960E99">
        <w:rPr>
          <w:rFonts w:cs="Times New Roman"/>
        </w:rPr>
        <w:t xml:space="preserve"> </w:t>
      </w:r>
      <w:r w:rsidR="00E30419">
        <w:rPr>
          <w:rFonts w:cs="Times New Roman"/>
        </w:rPr>
        <w:t xml:space="preserve">visualises </w:t>
      </w:r>
      <w:r w:rsidR="0030670E">
        <w:rPr>
          <w:rFonts w:cs="Times New Roman"/>
        </w:rPr>
        <w:t>the impact of the 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65" w:name="_Ref235572732"/>
      <w:r>
        <w:t xml:space="preserve">Figure </w:t>
      </w:r>
      <w:fldSimple w:instr=" SEQ Figure \* ARABIC ">
        <w:r>
          <w:rPr>
            <w:noProof/>
          </w:rPr>
          <w:t>8</w:t>
        </w:r>
      </w:fldSimple>
      <w:r>
        <w:t xml:space="preserve">: </w:t>
      </w:r>
      <w:r w:rsidRPr="00960E99">
        <w:t>Strategy comparison across horizons for S&amp;P 500 with strategy type switching</w:t>
      </w:r>
      <w:bookmarkEnd w:id="65"/>
    </w:p>
    <w:p w14:paraId="7EC06FD4" w14:textId="3C994D62"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6A2CBF">
        <w:rPr>
          <w:rFonts w:cs="Times New Roman"/>
        </w:rPr>
        <w:t xml:space="preserve"> and </w:t>
      </w:r>
      <w:r w:rsidR="006A2CBF">
        <w:rPr>
          <w:rFonts w:cs="Times New Roman"/>
        </w:rPr>
        <w:fldChar w:fldCharType="begin"/>
      </w:r>
      <w:r w:rsidR="006A2CBF">
        <w:rPr>
          <w:rFonts w:cs="Times New Roman"/>
        </w:rPr>
        <w:instrText xml:space="preserve"> REF _Ref235572768 \h </w:instrText>
      </w:r>
      <w:r w:rsidR="006A2CBF">
        <w:rPr>
          <w:rFonts w:cs="Times New Roman"/>
        </w:rPr>
      </w:r>
      <w:r w:rsidR="006A2CBF">
        <w:rPr>
          <w:rFonts w:cs="Times New Roman"/>
        </w:rPr>
        <w:fldChar w:fldCharType="separate"/>
      </w:r>
      <w:r w:rsidR="006A2CBF">
        <w:t xml:space="preserve">Figure </w:t>
      </w:r>
      <w:r w:rsidR="006A2CBF">
        <w:rPr>
          <w:noProof/>
        </w:rPr>
        <w:t>9</w:t>
      </w:r>
      <w:r w:rsidR="006A2CBF">
        <w:t xml:space="preserve">: </w:t>
      </w:r>
      <w:r w:rsidR="006A2CBF" w:rsidRPr="00960E99">
        <w:t>Strategy comparison across horizons for S&amp;P 500 and Dow Jones Industrial Average</w:t>
      </w:r>
      <w:r w:rsidR="006A2CB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66" w:name="_Ref232282432"/>
      <w:r>
        <w:t xml:space="preserve">Table </w:t>
      </w:r>
      <w:fldSimple w:instr=" SEQ Table \* ARABIC ">
        <w:r w:rsidR="00646A21">
          <w:rPr>
            <w:noProof/>
          </w:rPr>
          <w:t>6</w:t>
        </w:r>
      </w:fldSimple>
      <w:r>
        <w:t>: Strategy comparison across horizons for Dow Jones Industrial Average</w:t>
      </w:r>
      <w:bookmarkEnd w:id="66"/>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B2564B">
        <w:trPr>
          <w:trHeight w:val="285"/>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lastRenderedPageBreak/>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67" w:name="_Ref235572768"/>
      <w:r>
        <w:t xml:space="preserve">Figure </w:t>
      </w:r>
      <w:fldSimple w:instr=" SEQ Figure \* ARABIC ">
        <w:r>
          <w:rPr>
            <w:noProof/>
          </w:rPr>
          <w:t>9</w:t>
        </w:r>
      </w:fldSimple>
      <w:r>
        <w:t xml:space="preserve">: </w:t>
      </w:r>
      <w:r w:rsidRPr="00960E99">
        <w:t>Strategy comparison across horizons for S&amp;P 500 and Dow Jones Industrial Average</w:t>
      </w:r>
      <w:bookmarkEnd w:id="67"/>
    </w:p>
    <w:p w14:paraId="74708A34" w14:textId="2E62A42D" w:rsidR="00E8120E" w:rsidRPr="00BB5EF0" w:rsidRDefault="00E8120E" w:rsidP="00E8120E">
      <w:pPr>
        <w:pStyle w:val="Heading2"/>
        <w:spacing w:line="360" w:lineRule="auto"/>
        <w:rPr>
          <w:rFonts w:cs="Times New Roman"/>
        </w:rPr>
      </w:pPr>
      <w:bookmarkStart w:id="68"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8"/>
    </w:p>
    <w:p w14:paraId="0B2ED17F" w14:textId="63D5DE00"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sidR="0044279A">
        <w:rPr>
          <w:rFonts w:cs="Times New Roman"/>
        </w:rPr>
        <w:fldChar w:fldCharType="begin"/>
      </w:r>
      <w:r w:rsidR="0044279A">
        <w:rPr>
          <w:rFonts w:cs="Times New Roman"/>
        </w:rPr>
        <w:instrText xml:space="preserve"> REF _Ref235569859 \h </w:instrText>
      </w:r>
      <w:r w:rsidR="0044279A">
        <w:rPr>
          <w:rFonts w:cs="Times New Roman"/>
        </w:rPr>
      </w:r>
      <w:r w:rsidR="0044279A">
        <w:rPr>
          <w:rFonts w:cs="Times New Roman"/>
        </w:rPr>
        <w:fldChar w:fldCharType="separate"/>
      </w:r>
      <w:r w:rsidR="0044279A">
        <w:t xml:space="preserve">Table </w:t>
      </w:r>
      <w:r w:rsidR="0044279A">
        <w:rPr>
          <w:noProof/>
        </w:rPr>
        <w:t>2</w:t>
      </w:r>
      <w:r w:rsidR="0044279A">
        <w:rPr>
          <w:rFonts w:cs="Times New Roman"/>
        </w:rPr>
        <w:fldChar w:fldCharType="end"/>
      </w:r>
      <w:r w:rsidR="0044279A">
        <w:rPr>
          <w:rFonts w:cs="Times New Roman"/>
        </w:rPr>
        <w:t xml:space="preserve">, </w:t>
      </w:r>
      <w:r w:rsidR="0044279A">
        <w:rPr>
          <w:rFonts w:cs="Times New Roman"/>
        </w:rPr>
        <w:fldChar w:fldCharType="begin"/>
      </w:r>
      <w:r w:rsidR="0044279A">
        <w:rPr>
          <w:rFonts w:cs="Times New Roman"/>
        </w:rPr>
        <w:instrText xml:space="preserve"> REF _Ref235570827 \h </w:instrText>
      </w:r>
      <w:r w:rsidR="0044279A">
        <w:rPr>
          <w:rFonts w:cs="Times New Roman"/>
        </w:rPr>
      </w:r>
      <w:r w:rsidR="0044279A">
        <w:rPr>
          <w:rFonts w:cs="Times New Roman"/>
        </w:rPr>
        <w:fldChar w:fldCharType="separate"/>
      </w:r>
      <w:r w:rsidR="0044279A">
        <w:t xml:space="preserve">Table </w:t>
      </w:r>
      <w:r w:rsidR="0044279A">
        <w:rPr>
          <w:noProof/>
        </w:rPr>
        <w:t>3</w:t>
      </w:r>
      <w:r w:rsidR="0044279A">
        <w:rPr>
          <w:rFonts w:cs="Times New Roman"/>
        </w:rPr>
        <w:fldChar w:fldCharType="end"/>
      </w:r>
      <w:r w:rsidR="0044279A">
        <w:rPr>
          <w:rFonts w:cs="Times New Roman"/>
        </w:rPr>
        <w:t xml:space="preserve"> and </w:t>
      </w:r>
      <w:r w:rsidR="0044279A">
        <w:rPr>
          <w:rFonts w:cs="Times New Roman"/>
        </w:rPr>
        <w:fldChar w:fldCharType="begin"/>
      </w:r>
      <w:r w:rsidR="0044279A">
        <w:rPr>
          <w:rFonts w:cs="Times New Roman"/>
        </w:rPr>
        <w:instrText xml:space="preserve"> REF _Ref232278925 \h </w:instrText>
      </w:r>
      <w:r w:rsidR="0044279A">
        <w:rPr>
          <w:rFonts w:cs="Times New Roman"/>
        </w:rPr>
      </w:r>
      <w:r w:rsidR="0044279A">
        <w:rPr>
          <w:rFonts w:cs="Times New Roman"/>
        </w:rPr>
        <w:fldChar w:fldCharType="separate"/>
      </w:r>
      <w:r w:rsidR="0044279A" w:rsidRPr="00BB5EF0">
        <w:rPr>
          <w:rFonts w:cs="Times New Roman"/>
        </w:rPr>
        <w:t xml:space="preserve">Appendix </w:t>
      </w:r>
      <w:r w:rsidR="0044279A">
        <w:rPr>
          <w:rFonts w:cs="Times New Roman"/>
        </w:rPr>
        <w:t>B</w:t>
      </w:r>
      <w:r w:rsidR="0044279A">
        <w:rPr>
          <w:rFonts w:cs="Times New Roman"/>
        </w:rPr>
        <w:fldChar w:fldCharType="end"/>
      </w:r>
      <w:r w:rsidR="0044279A">
        <w:rPr>
          <w:rFonts w:cs="Times New Roman"/>
        </w:rPr>
        <w:t xml:space="preserve"> </w:t>
      </w:r>
      <w:r>
        <w:rPr>
          <w:rFonts w:cs="Times New Roman"/>
        </w:rPr>
        <w:t>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r w:rsidR="003C4263">
        <w:rPr>
          <w:rFonts w:cs="Times New Roman"/>
        </w:rPr>
        <w:t xml:space="preserve"> Realised data may assume more information about the state of the economy and react to additional short-term shocks.</w:t>
      </w:r>
    </w:p>
    <w:p w14:paraId="2F761455" w14:textId="07CAEC0E" w:rsidR="00D70035" w:rsidRDefault="00D70035" w:rsidP="00E8120E">
      <w:pPr>
        <w:spacing w:line="360" w:lineRule="auto"/>
        <w:ind w:firstLine="567"/>
        <w:rPr>
          <w:rFonts w:cs="Times New Roman"/>
        </w:rPr>
      </w:pPr>
      <w:r>
        <w:rPr>
          <w:rFonts w:cs="Times New Roman"/>
        </w:rPr>
        <w:t xml:space="preserve">The association between output performance and subsequent equity market moves is evident through the long-term consistency of the strategy, yet not as strong as other potentially </w:t>
      </w:r>
      <w:r>
        <w:rPr>
          <w:rFonts w:cs="Times New Roman"/>
        </w:rPr>
        <w:lastRenderedPageBreak/>
        <w:t xml:space="preserve">shorter-term variables, as net </w:t>
      </w:r>
      <w:r w:rsidR="0044279A">
        <w:rPr>
          <w:rFonts w:cs="Times New Roman"/>
        </w:rPr>
        <w:t xml:space="preserve">SRs </w:t>
      </w:r>
      <w:r>
        <w:rPr>
          <w:rFonts w:cs="Times New Roman"/>
        </w:rPr>
        <w:t xml:space="preserve">are below </w:t>
      </w:r>
      <w:r w:rsidR="0044279A">
        <w:rPr>
          <w:rFonts w:cs="Times New Roman"/>
        </w:rPr>
        <w:t xml:space="preserve">buy-and-hold net SRs </w:t>
      </w:r>
      <w:r>
        <w:rPr>
          <w:rFonts w:cs="Times New Roman"/>
        </w:rPr>
        <w:t>for several unlevered strategy variants.</w:t>
      </w:r>
      <w:r w:rsidR="00CA0FE0">
        <w:rPr>
          <w:rFonts w:cs="Times New Roman"/>
        </w:rPr>
        <w:t xml:space="preserve"> This is illustrated </w:t>
      </w:r>
      <w:r w:rsidR="0044279A">
        <w:rPr>
          <w:rFonts w:cs="Times New Roman"/>
        </w:rPr>
        <w:t xml:space="preserve">for variants of the full horizon strategy </w:t>
      </w:r>
      <w:r w:rsidR="00CA0FE0">
        <w:rPr>
          <w:rFonts w:cs="Times New Roman"/>
        </w:rPr>
        <w:t>in</w:t>
      </w:r>
      <w:r w:rsidR="00960E99">
        <w:rPr>
          <w:rFonts w:cs="Times New Roman"/>
        </w:rPr>
        <w:t xml:space="preserve"> </w:t>
      </w:r>
      <w:r w:rsidR="00960E99">
        <w:rPr>
          <w:rFonts w:cs="Times New Roman"/>
        </w:rPr>
        <w:fldChar w:fldCharType="begin"/>
      </w:r>
      <w:r w:rsidR="00960E99">
        <w:rPr>
          <w:rFonts w:cs="Times New Roman"/>
        </w:rPr>
        <w:instrText xml:space="preserve"> REF _Ref235572799 \h </w:instrText>
      </w:r>
      <w:r w:rsidR="00960E99">
        <w:rPr>
          <w:rFonts w:cs="Times New Roman"/>
        </w:rPr>
      </w:r>
      <w:r w:rsidR="00960E99">
        <w:rPr>
          <w:rFonts w:cs="Times New Roman"/>
        </w:rPr>
        <w:fldChar w:fldCharType="separate"/>
      </w:r>
      <w:r w:rsidR="00960E99">
        <w:t xml:space="preserve">Figure </w:t>
      </w:r>
      <w:r w:rsidR="00960E99">
        <w:rPr>
          <w:noProof/>
        </w:rPr>
        <w:t>10</w:t>
      </w:r>
      <w:r w:rsidR="00960E9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69" w:name="_Ref235572799"/>
      <w:r>
        <w:t xml:space="preserve">Figure </w:t>
      </w:r>
      <w:fldSimple w:instr=" SEQ Figure \* ARABIC ">
        <w:r>
          <w:rPr>
            <w:noProof/>
          </w:rPr>
          <w:t>10</w:t>
        </w:r>
      </w:fldSimple>
      <w:r>
        <w:t xml:space="preserve">: </w:t>
      </w:r>
      <w:r w:rsidRPr="00960E99">
        <w:t>MR and MOM Sharpe ratios</w:t>
      </w:r>
      <w:bookmarkEnd w:id="69"/>
    </w:p>
    <w:p w14:paraId="5299427F" w14:textId="1B4C1E24"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The association may therefore be the inverse during such periods, particularly during periods of increased volatility and financial crises. Over GFC and Covid periods, it can be seen that the forecast drives the direction for a profit-generating signal</w:t>
      </w:r>
      <w:r w:rsidR="00012C52">
        <w:rPr>
          <w:rFonts w:cs="Times New Roman"/>
        </w:rPr>
        <w:t>: a</w:t>
      </w:r>
      <w:r w:rsidR="00D52F26">
        <w:rPr>
          <w:rFonts w:cs="Times New Roman"/>
        </w:rPr>
        <w:t>s the economy encounters negative productivity shocks</w:t>
      </w:r>
      <w:r w:rsidR="00012C52">
        <w:rPr>
          <w:rFonts w:cs="Times New Roman"/>
        </w:rPr>
        <w:t xml:space="preserve"> </w:t>
      </w:r>
      <w:r w:rsidR="00D52F26">
        <w:rPr>
          <w:rFonts w:cs="Times New Roman"/>
        </w:rPr>
        <w:t xml:space="preserve">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012C52">
        <w:rPr>
          <w:rFonts w:cs="Times New Roman"/>
        </w:rPr>
        <w:t xml:space="preserve">. More importantly, following forecasts after initial </w:t>
      </w:r>
      <w:r w:rsidR="00E65238">
        <w:rPr>
          <w:rFonts w:cs="Times New Roman"/>
        </w:rPr>
        <w:t xml:space="preserve">market </w:t>
      </w:r>
      <w:r w:rsidR="00012C52">
        <w:rPr>
          <w:rFonts w:cs="Times New Roman"/>
        </w:rPr>
        <w:t xml:space="preserve">shocks </w:t>
      </w:r>
      <w:r w:rsidR="00E65238">
        <w:rPr>
          <w:rFonts w:cs="Times New Roman"/>
        </w:rPr>
        <w:t xml:space="preserve">subside </w:t>
      </w:r>
      <w:r w:rsidR="00012C52">
        <w:rPr>
          <w:rFonts w:cs="Times New Roman"/>
        </w:rPr>
        <w:t>and into the recovery phase is key for profitability, as e</w:t>
      </w:r>
      <w:r w:rsidR="003C4263">
        <w:rPr>
          <w:rFonts w:cs="Times New Roman"/>
        </w:rPr>
        <w:t>quity markets pri</w:t>
      </w:r>
      <w:r w:rsidR="00012C52">
        <w:rPr>
          <w:rFonts w:cs="Times New Roman"/>
        </w:rPr>
        <w:t xml:space="preserve">ce </w:t>
      </w:r>
      <w:r w:rsidR="003C4263">
        <w:rPr>
          <w:rFonts w:cs="Times New Roman"/>
        </w:rPr>
        <w:t xml:space="preserve">in </w:t>
      </w:r>
      <w:r w:rsidR="00E65238">
        <w:rPr>
          <w:rFonts w:cs="Times New Roman"/>
        </w:rPr>
        <w:t xml:space="preserve">a series of </w:t>
      </w:r>
      <w:r w:rsidR="009278D8">
        <w:rPr>
          <w:rFonts w:cs="Times New Roman"/>
        </w:rPr>
        <w:t xml:space="preserve">anticipated </w:t>
      </w:r>
      <w:r w:rsidR="003C4263">
        <w:rPr>
          <w:rFonts w:cs="Times New Roman"/>
        </w:rPr>
        <w:t>interest rate cuts</w:t>
      </w:r>
      <w:r w:rsidR="009278D8">
        <w:rPr>
          <w:rFonts w:cs="Times New Roman"/>
        </w:rPr>
        <w:t xml:space="preserve"> </w:t>
      </w:r>
      <w:r w:rsidR="003C4263">
        <w:rPr>
          <w:rFonts w:cs="Times New Roman"/>
        </w:rPr>
        <w:t>and depart</w:t>
      </w:r>
      <w:r w:rsidR="00012C52">
        <w:rPr>
          <w:rFonts w:cs="Times New Roman"/>
        </w:rPr>
        <w:t xml:space="preserve"> </w:t>
      </w:r>
      <w:r w:rsidR="003C4263">
        <w:rPr>
          <w:rFonts w:cs="Times New Roman"/>
        </w:rPr>
        <w:t>from the actual state of the economy</w:t>
      </w:r>
      <w:r w:rsidR="00012C52">
        <w:rPr>
          <w:rFonts w:cs="Times New Roman"/>
        </w:rPr>
        <w:t xml:space="preserve"> soon after</w:t>
      </w:r>
      <w:r w:rsidR="00E65238">
        <w:rPr>
          <w:rFonts w:cs="Times New Roman"/>
        </w:rPr>
        <w:t xml:space="preserve"> </w:t>
      </w:r>
      <w:r w:rsidR="00012C52">
        <w:rPr>
          <w:rFonts w:cs="Times New Roman"/>
        </w:rPr>
        <w:t>positive forecasts beat realised output</w:t>
      </w:r>
      <w:r w:rsidR="003C4263">
        <w:rPr>
          <w:rFonts w:cs="Times New Roman"/>
        </w:rPr>
        <w:t>.</w:t>
      </w:r>
    </w:p>
    <w:p w14:paraId="6B8EA90D" w14:textId="04ECCCAA" w:rsidR="00E8120E" w:rsidRDefault="00D52F26" w:rsidP="00BB55F7">
      <w:pPr>
        <w:spacing w:line="360" w:lineRule="auto"/>
        <w:ind w:firstLine="567"/>
        <w:rPr>
          <w:rFonts w:cs="Times New Roman"/>
        </w:rPr>
      </w:pPr>
      <w:r>
        <w:rPr>
          <w:rFonts w:cs="Times New Roman"/>
        </w:rPr>
        <w:lastRenderedPageBreak/>
        <w:t>The overall</w:t>
      </w:r>
      <w:r w:rsidR="00BB55F7">
        <w:rPr>
          <w:rFonts w:cs="Times New Roman"/>
        </w:rPr>
        <w:t xml:space="preserve"> mechanism appears to favour mean-reversion to</w:t>
      </w:r>
      <w:r w:rsidR="003C4263">
        <w:rPr>
          <w:rFonts w:cs="Times New Roman"/>
        </w:rPr>
        <w:t>wards</w:t>
      </w:r>
      <w:r w:rsidR="00BB55F7">
        <w:rPr>
          <w:rFonts w:cs="Times New Roman"/>
        </w:rPr>
        <w:t xml:space="preserve"> realised output</w:t>
      </w:r>
      <w:r w:rsidR="003C4263">
        <w:rPr>
          <w:rFonts w:cs="Times New Roman"/>
        </w:rPr>
        <w:t xml:space="preserve"> </w:t>
      </w:r>
      <w:r w:rsidR="00BB55F7">
        <w:rPr>
          <w:rFonts w:cs="Times New Roman"/>
        </w:rPr>
        <w:t xml:space="preserve">in the application of a trading signal to assets linked to the economy, which in this case </w:t>
      </w:r>
      <w:r w:rsidR="003C4263">
        <w:rPr>
          <w:rFonts w:cs="Times New Roman"/>
        </w:rPr>
        <w:t xml:space="preserve">are </w:t>
      </w:r>
      <w:r w:rsidR="00BB55F7">
        <w:rPr>
          <w:rFonts w:cs="Times New Roman"/>
        </w:rPr>
        <w:t xml:space="preserve">two major US equity indices. This reverses during volatile and troubling economic periods whereby pursuing the direction of the forecast </w:t>
      </w:r>
      <w:r w:rsidR="00F4013E">
        <w:rPr>
          <w:rFonts w:cs="Times New Roman"/>
        </w:rPr>
        <w:t xml:space="preserve">instead </w:t>
      </w:r>
      <w:r w:rsidR="00BB55F7">
        <w:rPr>
          <w:rFonts w:cs="Times New Roman"/>
        </w:rPr>
        <w:t>is beneficial.</w:t>
      </w:r>
      <w:r w:rsidR="00F4013E">
        <w:rPr>
          <w:rFonts w:cs="Times New Roman"/>
        </w:rPr>
        <w:t xml:space="preserve"> This therefore answers the research question on forecasts leading or following realised values in generating profitable trades.</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70"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0"/>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7777777"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267F5A4E" w:rsidR="005352DB" w:rsidRDefault="00534FDF" w:rsidP="00E8120E">
      <w:pPr>
        <w:spacing w:line="360" w:lineRule="auto"/>
        <w:ind w:firstLine="567"/>
        <w:rPr>
          <w:rFonts w:cs="Times New Roman"/>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lag variants for unlevered mean-reversion strategies.</w:t>
      </w:r>
      <w:r w:rsidR="001924E9">
        <w:rPr>
          <w:rFonts w:cs="Times New Roman"/>
        </w:rPr>
        <w:t xml:space="preserve"> This demonstrates that the DSGE trading strategy can be profitable traded under appropriate modelling choices. </w:t>
      </w:r>
      <w:r>
        <w:rPr>
          <w:rFonts w:cs="Times New Roman"/>
        </w:rPr>
        <w:t xml:space="preserve">Results </w:t>
      </w:r>
      <w:r w:rsidR="000B270A">
        <w:rPr>
          <w:rFonts w:cs="Times New Roman"/>
        </w:rPr>
        <w:t>for</w:t>
      </w:r>
      <w:r>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0B270A">
        <w:rPr>
          <w:rFonts w:cs="Times New Roman"/>
        </w:rPr>
        <w:fldChar w:fldCharType="end"/>
      </w:r>
      <w:r>
        <w:rPr>
          <w:rFonts w:cs="Times New Roman"/>
        </w:rPr>
        <w:t>.</w:t>
      </w:r>
    </w:p>
    <w:p w14:paraId="4D524616" w14:textId="0101638D" w:rsidR="000B270A" w:rsidRDefault="000B270A" w:rsidP="000B270A">
      <w:pPr>
        <w:pStyle w:val="Caption"/>
        <w:keepNext/>
      </w:pPr>
      <w:bookmarkStart w:id="71" w:name="_Ref232351342"/>
      <w:r>
        <w:t xml:space="preserve">Table </w:t>
      </w:r>
      <w:fldSimple w:instr=" SEQ Table \* ARABIC ">
        <w:r w:rsidR="00646A21">
          <w:rPr>
            <w:noProof/>
          </w:rPr>
          <w:t>7</w:t>
        </w:r>
      </w:fldSimple>
      <w:r>
        <w:t>: Unlevered S&amp;P500 Data Length Results for 30b signal lag for all horizons</w:t>
      </w:r>
      <w:bookmarkEnd w:id="7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1924E9">
        <w:trPr>
          <w:trHeight w:val="285"/>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72"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2"/>
    </w:p>
    <w:p w14:paraId="31182BB2" w14:textId="2BA46324" w:rsidR="00664A01" w:rsidRDefault="002B67E6" w:rsidP="00664A01">
      <w:pPr>
        <w:spacing w:line="360" w:lineRule="auto"/>
        <w:ind w:firstLine="567"/>
        <w:rPr>
          <w:rFonts w:cs="Times New Roman"/>
        </w:rPr>
      </w:pPr>
      <w:r>
        <w:rPr>
          <w:rFonts w:cs="Times New Roman"/>
        </w:rPr>
        <w:t xml:space="preserve">Three signals lags are run in the DSGE framework. These delay the relation of output forecasts </w:t>
      </w:r>
      <w:r w:rsidR="000777D7">
        <w:rPr>
          <w:rFonts w:cs="Times New Roman"/>
        </w:rPr>
        <w:t>to</w:t>
      </w:r>
      <w:r>
        <w:rPr>
          <w:rFonts w:cs="Times New Roman"/>
        </w:rPr>
        <w:t xml:space="preserve"> realised output values </w:t>
      </w:r>
      <w:r w:rsidR="001250A8">
        <w:rPr>
          <w:rFonts w:cs="Times New Roman"/>
        </w:rPr>
        <w:t xml:space="preserve">before </w:t>
      </w:r>
      <w:r>
        <w:rPr>
          <w:rFonts w:cs="Times New Roman"/>
        </w:rPr>
        <w:t xml:space="preserve">triggering </w:t>
      </w:r>
      <w:r w:rsidR="001250A8">
        <w:rPr>
          <w:rFonts w:cs="Times New Roman"/>
        </w:rPr>
        <w:t xml:space="preserve">the opening of </w:t>
      </w:r>
      <w:r>
        <w:rPr>
          <w:rFonts w:cs="Times New Roman"/>
        </w:rPr>
        <w:t>a position.</w:t>
      </w:r>
    </w:p>
    <w:p w14:paraId="2146E7F0" w14:textId="64DB7ED3" w:rsidR="001250A8"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w:t>
      </w:r>
      <w:r w:rsidR="001250A8">
        <w:rPr>
          <w:rFonts w:cs="Times New Roman"/>
        </w:rPr>
        <w:t xml:space="preserve">other variants </w:t>
      </w:r>
      <w:r w:rsidR="00BD58D0">
        <w:rPr>
          <w:rFonts w:cs="Times New Roman"/>
        </w:rPr>
        <w:t>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that of the winn</w:t>
      </w:r>
      <w:r w:rsidR="001250A8">
        <w:rPr>
          <w:rFonts w:cs="Times New Roman"/>
        </w:rPr>
        <w:t xml:space="preserve">ing variant, as portrayed in </w:t>
      </w:r>
      <w:r w:rsidR="001250A8">
        <w:rPr>
          <w:rFonts w:cs="Times New Roman"/>
        </w:rPr>
        <w:fldChar w:fldCharType="begin"/>
      </w:r>
      <w:r w:rsidR="001250A8">
        <w:rPr>
          <w:rFonts w:cs="Times New Roman"/>
        </w:rPr>
        <w:instrText xml:space="preserve"> REF _Ref232353644 \h </w:instrText>
      </w:r>
      <w:r w:rsidR="001250A8">
        <w:rPr>
          <w:rFonts w:cs="Times New Roman"/>
        </w:rPr>
      </w:r>
      <w:r w:rsidR="001250A8">
        <w:rPr>
          <w:rFonts w:cs="Times New Roman"/>
        </w:rPr>
        <w:fldChar w:fldCharType="separate"/>
      </w:r>
      <w:r w:rsidR="001250A8">
        <w:t xml:space="preserve">Table </w:t>
      </w:r>
      <w:r w:rsidR="001250A8">
        <w:rPr>
          <w:noProof/>
        </w:rPr>
        <w:t>8</w:t>
      </w:r>
      <w:r w:rsidR="001250A8">
        <w:rPr>
          <w:rFonts w:cs="Times New Roman"/>
        </w:rPr>
        <w:fldChar w:fldCharType="end"/>
      </w:r>
      <w:r>
        <w:rPr>
          <w:rFonts w:cs="Times New Roman"/>
        </w:rPr>
        <w:t xml:space="preserve">.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sidR="001250A8">
        <w:rPr>
          <w:rFonts w:cs="Times New Roman"/>
        </w:rPr>
        <w:t xml:space="preserve">begin to </w:t>
      </w:r>
      <w:r>
        <w:rPr>
          <w:rFonts w:cs="Times New Roman"/>
        </w:rPr>
        <w:t xml:space="preserve">take </w:t>
      </w:r>
      <w:r w:rsidR="001250A8">
        <w:rPr>
          <w:rFonts w:cs="Times New Roman"/>
        </w:rPr>
        <w:t xml:space="preserve">effect in equity markets </w:t>
      </w:r>
      <w:r>
        <w:rPr>
          <w:rFonts w:cs="Times New Roman"/>
        </w:rPr>
        <w:t xml:space="preserve">at least a month </w:t>
      </w:r>
      <w:r w:rsidR="001250A8">
        <w:rPr>
          <w:rFonts w:cs="Times New Roman"/>
        </w:rPr>
        <w:t xml:space="preserve">after the reference date and continue to </w:t>
      </w:r>
      <w:r>
        <w:rPr>
          <w:rFonts w:cs="Times New Roman"/>
        </w:rPr>
        <w:t>translate to corresponding</w:t>
      </w:r>
      <w:r w:rsidR="001250A8">
        <w:rPr>
          <w:rFonts w:cs="Times New Roman"/>
        </w:rPr>
        <w:t xml:space="preserve"> </w:t>
      </w:r>
      <w:r>
        <w:rPr>
          <w:rFonts w:cs="Times New Roman"/>
        </w:rPr>
        <w:t xml:space="preserve">valuations </w:t>
      </w:r>
      <w:r w:rsidR="001250A8">
        <w:rPr>
          <w:rFonts w:cs="Times New Roman"/>
        </w:rPr>
        <w:t xml:space="preserve">throughout the rest of the quarter </w:t>
      </w:r>
      <w:r>
        <w:rPr>
          <w:rFonts w:cs="Times New Roman"/>
        </w:rPr>
        <w:t>for mean-reversion variants</w:t>
      </w:r>
      <w:r w:rsidR="001250A8">
        <w:rPr>
          <w:rFonts w:cs="Times New Roman"/>
        </w:rPr>
        <w:t>.</w:t>
      </w:r>
    </w:p>
    <w:p w14:paraId="127753C4" w14:textId="14FB572B" w:rsidR="00BD58D0" w:rsidRDefault="00EB6591" w:rsidP="00664A01">
      <w:pPr>
        <w:spacing w:line="360" w:lineRule="auto"/>
        <w:ind w:firstLine="567"/>
        <w:rPr>
          <w:rFonts w:cs="Times New Roman"/>
        </w:rPr>
      </w:pPr>
      <w:r>
        <w:rPr>
          <w:rFonts w:cs="Times New Roman"/>
        </w:rPr>
        <w:t>A longer lag length is also more practical in terms of signal generation</w:t>
      </w:r>
      <w:r w:rsidR="005A45C1">
        <w:rPr>
          <w:rFonts w:cs="Times New Roman"/>
        </w:rPr>
        <w:t>: 30 business days allow more time for macroeconomic data providers to publish TFP and GDP data</w:t>
      </w:r>
      <w:r w:rsidR="001250A8">
        <w:rPr>
          <w:rFonts w:cs="Times New Roman"/>
        </w:rPr>
        <w:t xml:space="preserve"> and for the data to be processed for signal generation</w:t>
      </w:r>
      <w:r w:rsidR="005A45C1">
        <w:rPr>
          <w:rFonts w:cs="Times New Roman"/>
        </w:rPr>
        <w:t>.</w:t>
      </w:r>
    </w:p>
    <w:p w14:paraId="6E7913A5" w14:textId="56D09C08" w:rsidR="00646A21" w:rsidRDefault="00646A21" w:rsidP="00646A21">
      <w:pPr>
        <w:pStyle w:val="Caption"/>
        <w:keepNext/>
      </w:pPr>
      <w:bookmarkStart w:id="73" w:name="_Ref232353644"/>
      <w:r>
        <w:t xml:space="preserve">Table </w:t>
      </w:r>
      <w:fldSimple w:instr=" SEQ Table \* ARABIC ">
        <w:r>
          <w:rPr>
            <w:noProof/>
          </w:rPr>
          <w:t>8</w:t>
        </w:r>
      </w:fldSimple>
      <w:r>
        <w:t>: Unlevered S&amp;P500 MR signal lag results for 10y data length for all horizons</w:t>
      </w:r>
      <w:bookmarkEnd w:id="7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777D7">
        <w:trPr>
          <w:trHeight w:val="285"/>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330A21BF" w:rsidR="002B67E6" w:rsidRDefault="00BD58D0" w:rsidP="00664A01">
      <w:pPr>
        <w:spacing w:line="360" w:lineRule="auto"/>
        <w:ind w:firstLine="567"/>
        <w:rPr>
          <w:rFonts w:cs="Times New Roman"/>
        </w:rPr>
      </w:pPr>
      <w:r>
        <w:rPr>
          <w:rFonts w:cs="Times New Roman"/>
        </w:rPr>
        <w:t>The reverse is true for momentum strategies</w:t>
      </w:r>
      <w:r w:rsidR="001250A8">
        <w:rPr>
          <w:rFonts w:cs="Times New Roman"/>
        </w:rPr>
        <w:t xml:space="preserve"> in </w:t>
      </w:r>
      <w:r w:rsidR="001250A8">
        <w:rPr>
          <w:rFonts w:cs="Times New Roman"/>
        </w:rPr>
        <w:fldChar w:fldCharType="begin"/>
      </w:r>
      <w:r w:rsidR="001250A8">
        <w:rPr>
          <w:rFonts w:cs="Times New Roman"/>
        </w:rPr>
        <w:instrText xml:space="preserve"> REF _Ref232353707 \h </w:instrText>
      </w:r>
      <w:r w:rsidR="001250A8">
        <w:rPr>
          <w:rFonts w:cs="Times New Roman"/>
        </w:rPr>
      </w:r>
      <w:r w:rsidR="001250A8">
        <w:rPr>
          <w:rFonts w:cs="Times New Roman"/>
        </w:rPr>
        <w:fldChar w:fldCharType="separate"/>
      </w:r>
      <w:r w:rsidR="001250A8">
        <w:t xml:space="preserve">Table </w:t>
      </w:r>
      <w:r w:rsidR="001250A8">
        <w:rPr>
          <w:noProof/>
        </w:rPr>
        <w:t>9</w:t>
      </w:r>
      <w:r w:rsidR="001250A8">
        <w:rPr>
          <w:rFonts w:cs="Times New Roman"/>
        </w:rPr>
        <w:fldChar w:fldCharType="end"/>
      </w:r>
      <w:r>
        <w:rPr>
          <w:rFonts w:cs="Times New Roman"/>
        </w:rPr>
        <w:t xml:space="preserve">: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w:t>
      </w:r>
      <w:r w:rsidR="00CB5697">
        <w:rPr>
          <w:rFonts w:cs="Times New Roman"/>
        </w:rPr>
        <w:t xml:space="preserve"> </w:t>
      </w:r>
      <w:r w:rsidR="00AA0AB2">
        <w:rPr>
          <w:rFonts w:cs="Times New Roman"/>
        </w:rPr>
        <w:t>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w:t>
      </w:r>
      <w:r w:rsidR="00CB5697">
        <w:rPr>
          <w:rFonts w:cs="Times New Roman"/>
        </w:rPr>
        <w:t xml:space="preserve">associated </w:t>
      </w:r>
      <w:r>
        <w:rPr>
          <w:rFonts w:cs="Times New Roman"/>
        </w:rPr>
        <w:t>asset. However, this phenomenon is not as clear as with the 30b signal lags in mean-reversion</w:t>
      </w:r>
      <w:r w:rsidR="00CB5697">
        <w:rPr>
          <w:rFonts w:cs="Times New Roman"/>
        </w:rPr>
        <w:t xml:space="preserve"> whereby the 10b lag does not end victorious in two out of size momentum horizons</w:t>
      </w:r>
      <w:r>
        <w:rPr>
          <w:rFonts w:cs="Times New Roman"/>
        </w:rPr>
        <w:t>.</w:t>
      </w:r>
    </w:p>
    <w:p w14:paraId="701923D4" w14:textId="1FFABC31" w:rsidR="00646A21" w:rsidRDefault="00646A21" w:rsidP="00646A21">
      <w:pPr>
        <w:pStyle w:val="Caption"/>
        <w:keepNext/>
      </w:pPr>
      <w:bookmarkStart w:id="74" w:name="_Ref232353707"/>
      <w:r>
        <w:t xml:space="preserve">Table </w:t>
      </w:r>
      <w:fldSimple w:instr=" SEQ Table \* ARABIC ">
        <w:r>
          <w:rPr>
            <w:noProof/>
          </w:rPr>
          <w:t>9</w:t>
        </w:r>
      </w:fldSimple>
      <w:r>
        <w:t>: Unlevered S&amp;P500 MOM signal lag results for 10y data length for all horizons</w:t>
      </w:r>
      <w:bookmarkEnd w:id="74"/>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777D7">
        <w:trPr>
          <w:trHeight w:val="285"/>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019BEA3F"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r w:rsidR="00592723">
        <w:rPr>
          <w:rFonts w:cs="Times New Roman"/>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75" w:name="_Toc235286977"/>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5"/>
    </w:p>
    <w:p w14:paraId="3DE17229" w14:textId="0EEB4647" w:rsidR="00664A01" w:rsidRDefault="005F6B8B" w:rsidP="00664A01">
      <w:pPr>
        <w:spacing w:line="360" w:lineRule="auto"/>
        <w:ind w:firstLine="567"/>
        <w:rPr>
          <w:rFonts w:cs="Times New Roman"/>
        </w:rPr>
      </w:pPr>
      <w:r>
        <w:rPr>
          <w:rFonts w:cs="Times New Roman"/>
        </w:rPr>
        <w:t xml:space="preserve">Directly applying leverage as a scalar and doubling down on persistent positions collectively represent the concept of leverage. </w:t>
      </w: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sidR="00C76010">
        <w:rPr>
          <w:rFonts w:cs="Times New Roman"/>
        </w:rPr>
        <w:t xml:space="preserve">and </w:t>
      </w:r>
      <w:r w:rsidR="00960E99">
        <w:rPr>
          <w:rFonts w:cs="Times New Roman"/>
        </w:rPr>
        <w:fldChar w:fldCharType="begin"/>
      </w:r>
      <w:r w:rsidR="00960E99">
        <w:rPr>
          <w:rFonts w:cs="Times New Roman"/>
        </w:rPr>
        <w:instrText xml:space="preserve"> REF _Ref235572833 \h </w:instrText>
      </w:r>
      <w:r w:rsidR="00960E99">
        <w:rPr>
          <w:rFonts w:cs="Times New Roman"/>
        </w:rPr>
      </w:r>
      <w:r w:rsidR="00960E99">
        <w:rPr>
          <w:rFonts w:cs="Times New Roman"/>
        </w:rPr>
        <w:fldChar w:fldCharType="separate"/>
      </w:r>
      <w:r w:rsidR="00960E99">
        <w:t xml:space="preserve">Figure </w:t>
      </w:r>
      <w:r w:rsidR="00960E99">
        <w:rPr>
          <w:noProof/>
        </w:rPr>
        <w:t>11</w:t>
      </w:r>
      <w:r w:rsidR="00960E99">
        <w:rPr>
          <w:rFonts w:cs="Times New Roman"/>
        </w:rPr>
        <w:fldChar w:fldCharType="end"/>
      </w:r>
      <w:r w:rsidR="00960E99">
        <w:rPr>
          <w:rFonts w:cs="Times New Roman"/>
        </w:rPr>
        <w:t xml:space="preserve"> </w:t>
      </w:r>
      <w:r w:rsidR="00C76010">
        <w:rPr>
          <w:rFonts w:cs="Times New Roman"/>
        </w:rPr>
        <w:t xml:space="preserve">show that </w:t>
      </w:r>
      <w:r>
        <w:rPr>
          <w:rFonts w:cs="Times New Roman"/>
        </w:rPr>
        <w:t xml:space="preserve">they can </w:t>
      </w:r>
      <w:r w:rsidR="00C76010">
        <w:rPr>
          <w:rFonts w:cs="Times New Roman"/>
        </w:rPr>
        <w:t xml:space="preserve">have positive effects on net </w:t>
      </w:r>
      <w:proofErr w:type="spellStart"/>
      <w:r w:rsidR="00C76010">
        <w:rPr>
          <w:rFonts w:cs="Times New Roman"/>
        </w:rPr>
        <w:t>PnL</w:t>
      </w:r>
      <w:proofErr w:type="spellEnd"/>
      <w:r w:rsidR="00C76010">
        <w:rPr>
          <w:rFonts w:cs="Times New Roman"/>
        </w:rPr>
        <w:t xml:space="preserve"> and net SR.</w:t>
      </w:r>
    </w:p>
    <w:p w14:paraId="5959F5AC" w14:textId="00C5C326"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w:t>
      </w:r>
      <w:r w:rsidR="005F6B8B">
        <w:rPr>
          <w:rFonts w:cs="Times New Roman"/>
        </w:rPr>
        <w:t xml:space="preserve"> and the portfolio is established in a benign regime</w:t>
      </w:r>
      <w:r>
        <w:rPr>
          <w:rFonts w:cs="Times New Roman"/>
        </w:rPr>
        <w:t xml:space="preserve">, the portfolio is well prepared to earn excess returns and cover higher trading costs. </w:t>
      </w:r>
      <w:r w:rsidR="005F6B8B">
        <w:rPr>
          <w:rFonts w:cs="Times New Roman"/>
        </w:rPr>
        <w:t xml:space="preserve">Furthermore, the assets chosen for trading in this framework consist of a broad range of equities whose long-term cumulative value generally increases. </w:t>
      </w:r>
      <w:r>
        <w:rPr>
          <w:rFonts w:cs="Times New Roman"/>
        </w:rPr>
        <w:t>However, the benefit is path-dependent and may not materialise under high volatility.</w:t>
      </w:r>
    </w:p>
    <w:p w14:paraId="300C420D" w14:textId="77777777" w:rsidR="005F6B8B" w:rsidRDefault="003171F1" w:rsidP="00664A01">
      <w:pPr>
        <w:spacing w:line="360" w:lineRule="auto"/>
        <w:ind w:firstLine="567"/>
        <w:rPr>
          <w:rFonts w:cs="Times New Roman"/>
        </w:rPr>
      </w:pPr>
      <w:r>
        <w:rPr>
          <w:rFonts w:cs="Times New Roman"/>
        </w:rPr>
        <w:t>Doubling down is very similar to 2x leverage in the DSGE framework. This is due to long periods of time during which positioning remains unchanged, hence doubling down sets in</w:t>
      </w:r>
      <w:r w:rsidR="005F6B8B">
        <w:rPr>
          <w:rFonts w:cs="Times New Roman"/>
        </w:rPr>
        <w:t xml:space="preserve"> frequently</w:t>
      </w:r>
      <w:r>
        <w:rPr>
          <w:rFonts w:cs="Times New Roman"/>
        </w:rPr>
        <w:t>.</w:t>
      </w:r>
    </w:p>
    <w:p w14:paraId="107B905B" w14:textId="150A5D84" w:rsidR="005F6B8B" w:rsidRDefault="003171F1" w:rsidP="005F6B8B">
      <w:pPr>
        <w:spacing w:line="360" w:lineRule="auto"/>
        <w:ind w:firstLine="567"/>
        <w:rPr>
          <w:rFonts w:cs="Times New Roman"/>
        </w:rPr>
      </w:pPr>
      <w:r>
        <w:rPr>
          <w:rFonts w:cs="Times New Roman"/>
        </w:rPr>
        <w:t xml:space="preserve">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w:t>
      </w:r>
      <w:r w:rsidR="005F6B8B">
        <w:rPr>
          <w:rFonts w:cs="Times New Roman"/>
        </w:rPr>
        <w:t xml:space="preserve"> </w:t>
      </w:r>
      <w:r>
        <w:rPr>
          <w:rFonts w:cs="Times New Roman"/>
        </w:rPr>
        <w:t>signal</w:t>
      </w:r>
      <w:r w:rsidR="005F6B8B">
        <w:rPr>
          <w:rFonts w:cs="Times New Roman"/>
        </w:rPr>
        <w:t>-</w:t>
      </w:r>
      <w:r>
        <w:rPr>
          <w:rFonts w:cs="Times New Roman"/>
        </w:rPr>
        <w:t>lagged full horizon</w:t>
      </w:r>
      <w:r w:rsidR="005F6B8B">
        <w:rPr>
          <w:rFonts w:cs="Times New Roman"/>
        </w:rPr>
        <w:t xml:space="preserve"> </w:t>
      </w:r>
      <w:r>
        <w:rPr>
          <w:rFonts w:cs="Times New Roman"/>
        </w:rPr>
        <w:t>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r w:rsidR="005F6B8B">
        <w:rPr>
          <w:rFonts w:cs="Times New Roman"/>
        </w:rPr>
        <w:t xml:space="preserve"> The impact reinforces the view that there exist assets that can be profitably traded based on signals related to DSGE modelling</w:t>
      </w:r>
      <w:r w:rsidR="00593F06">
        <w:rPr>
          <w:rFonts w:cs="Times New Roman"/>
        </w:rPr>
        <w:t xml:space="preserve"> and reaffirms the hypothesis that there is value in pursuing this framework.</w:t>
      </w:r>
    </w:p>
    <w:p w14:paraId="6923C2E1" w14:textId="77777777" w:rsidR="00960E99" w:rsidRDefault="00C76010" w:rsidP="00960E99">
      <w:pPr>
        <w:keepNext/>
        <w:spacing w:line="360" w:lineRule="auto"/>
      </w:pPr>
      <w:r>
        <w:rPr>
          <w:noProof/>
        </w:rPr>
        <w:lastRenderedPageBreak/>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76" w:name="_Ref235572833"/>
      <w:r>
        <w:t xml:space="preserve">Figure </w:t>
      </w:r>
      <w:fldSimple w:instr=" SEQ Figure \* ARABIC ">
        <w:r>
          <w:rPr>
            <w:noProof/>
          </w:rPr>
          <w:t>11</w:t>
        </w:r>
      </w:fldSimple>
      <w:r>
        <w:t xml:space="preserve">: </w:t>
      </w:r>
      <w:proofErr w:type="spellStart"/>
      <w:r w:rsidRPr="00960E99">
        <w:t>PnL</w:t>
      </w:r>
      <w:proofErr w:type="spellEnd"/>
      <w:r w:rsidRPr="00960E99">
        <w:t xml:space="preserve"> with doubling down and 2x leverage of rbc_10cal_1999-12-31_2025-09-30_30lag</w:t>
      </w:r>
      <w:bookmarkEnd w:id="76"/>
    </w:p>
    <w:p w14:paraId="62B1B501" w14:textId="698EB614" w:rsidR="00093290" w:rsidRPr="00BB5EF0" w:rsidRDefault="00093290" w:rsidP="00093290">
      <w:pPr>
        <w:pStyle w:val="Heading2"/>
        <w:spacing w:line="360" w:lineRule="auto"/>
        <w:rPr>
          <w:rFonts w:cs="Times New Roman"/>
        </w:rPr>
      </w:pPr>
      <w:bookmarkStart w:id="77" w:name="_Toc23528697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7"/>
    </w:p>
    <w:p w14:paraId="1C9EA3E5" w14:textId="1BBFA6B6"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r w:rsidR="00F25115">
        <w:rPr>
          <w:rFonts w:cs="Times New Roman"/>
        </w:rPr>
        <w:t xml:space="preserve"> Its infrequent trading, long-term investment horizon and applicability to the equities asset class render it an acceptable benchmark for the DSGE trading strategy.</w:t>
      </w:r>
    </w:p>
    <w:p w14:paraId="1BEED408" w14:textId="5426AF84" w:rsidR="00164609" w:rsidRDefault="0015218C" w:rsidP="00093290">
      <w:pPr>
        <w:spacing w:line="360" w:lineRule="auto"/>
        <w:ind w:firstLine="567"/>
        <w:rPr>
          <w:rFonts w:cs="Times New Roman"/>
        </w:rPr>
      </w:pPr>
      <w:r>
        <w:rPr>
          <w:rFonts w:cs="Times New Roman"/>
        </w:rPr>
        <w:t>Whilst delivering on the objective of systematically earning a net profit, t</w:t>
      </w:r>
      <w:r w:rsidR="00F07B72">
        <w:rPr>
          <w:rFonts w:cs="Times New Roman"/>
        </w:rPr>
        <w:t xml:space="preserve">he best unlevered DSGE strategy performs slightly worse than </w:t>
      </w:r>
      <w:r>
        <w:rPr>
          <w:rFonts w:cs="Times New Roman"/>
        </w:rPr>
        <w:t xml:space="preserve">the buy-and-hold strategy </w:t>
      </w:r>
      <w:r w:rsidR="00F07B72">
        <w:rPr>
          <w:rFonts w:cs="Times New Roman"/>
        </w:rPr>
        <w:t>over the full horizon</w:t>
      </w:r>
      <w:r>
        <w:rPr>
          <w:rFonts w:cs="Times New Roman"/>
        </w:rPr>
        <w:t>. A</w:t>
      </w:r>
      <w:r w:rsidR="00F07B72">
        <w:rPr>
          <w:rFonts w:cs="Times New Roman"/>
        </w:rPr>
        <w:t xml:space="preserve">forementioned nuances </w:t>
      </w:r>
      <w:r w:rsidR="00397877">
        <w:rPr>
          <w:rFonts w:cs="Times New Roman"/>
        </w:rPr>
        <w:t xml:space="preserve">described </w:t>
      </w:r>
      <w:r>
        <w:rPr>
          <w:rFonts w:cs="Times New Roman"/>
        </w:rPr>
        <w:t xml:space="preserve">throughout </w:t>
      </w:r>
      <w:r>
        <w:rPr>
          <w:rFonts w:cs="Times New Roman"/>
        </w:rPr>
        <w:fldChar w:fldCharType="begin"/>
      </w:r>
      <w:r>
        <w:rPr>
          <w:rFonts w:cs="Times New Roman"/>
        </w:rPr>
        <w:instrText xml:space="preserve"> REF _Ref235741468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improve performance, for example adding leverage or introducing logic that switches between mean-reversion and momentum depending on the regime</w:t>
      </w:r>
      <w:r w:rsidR="00F07B72">
        <w:rPr>
          <w:rFonts w:cs="Times New Roman"/>
        </w:rPr>
        <w:t xml:space="preserve">. Net </w:t>
      </w:r>
      <w:proofErr w:type="spellStart"/>
      <w:r w:rsidR="00F07B72">
        <w:rPr>
          <w:rFonts w:cs="Times New Roman"/>
        </w:rPr>
        <w:t>PnL</w:t>
      </w:r>
      <w:proofErr w:type="spellEnd"/>
      <w:r w:rsidR="00F07B72">
        <w:rPr>
          <w:rFonts w:cs="Times New Roman"/>
        </w:rPr>
        <w:t xml:space="preserve"> progression over time is illustrated in</w:t>
      </w:r>
      <w:r w:rsidR="00960E99">
        <w:rPr>
          <w:rFonts w:cs="Times New Roman"/>
        </w:rPr>
        <w:t xml:space="preserve"> </w:t>
      </w:r>
      <w:r w:rsidR="00960E99">
        <w:rPr>
          <w:rFonts w:cs="Times New Roman"/>
        </w:rPr>
        <w:fldChar w:fldCharType="begin"/>
      </w:r>
      <w:r w:rsidR="00960E99">
        <w:rPr>
          <w:rFonts w:cs="Times New Roman"/>
        </w:rPr>
        <w:instrText xml:space="preserve"> REF _Ref235572869 \h </w:instrText>
      </w:r>
      <w:r w:rsidR="00960E99">
        <w:rPr>
          <w:rFonts w:cs="Times New Roman"/>
        </w:rPr>
      </w:r>
      <w:r w:rsidR="00960E99">
        <w:rPr>
          <w:rFonts w:cs="Times New Roman"/>
        </w:rPr>
        <w:fldChar w:fldCharType="separate"/>
      </w:r>
      <w:r w:rsidR="00960E99">
        <w:t xml:space="preserve">Figure </w:t>
      </w:r>
      <w:r w:rsidR="00960E99">
        <w:rPr>
          <w:noProof/>
        </w:rPr>
        <w:t>12</w:t>
      </w:r>
      <w:r w:rsidR="00960E99">
        <w:rPr>
          <w:rFonts w:cs="Times New Roman"/>
        </w:rPr>
        <w:fldChar w:fldCharType="end"/>
      </w:r>
      <w:r w:rsidR="00F07B72">
        <w:rPr>
          <w:rFonts w:cs="Times New Roman"/>
        </w:rPr>
        <w:t>.</w:t>
      </w:r>
    </w:p>
    <w:p w14:paraId="412450A9" w14:textId="63249BA4"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w:t>
      </w:r>
      <w:r w:rsidR="0015218C">
        <w:rPr>
          <w:rFonts w:cs="Times New Roman"/>
        </w:rPr>
        <w:t xml:space="preserve">analysis </w:t>
      </w:r>
      <w:r w:rsidR="00E54D5E">
        <w:rPr>
          <w:rFonts w:cs="Times New Roman"/>
        </w:rPr>
        <w:t xml:space="preserve">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15218C">
        <w:rPr>
          <w:rFonts w:cs="Times New Roman"/>
        </w:rPr>
        <w:t xml:space="preserve"> and </w:t>
      </w:r>
      <w:r w:rsidR="0015218C">
        <w:rPr>
          <w:rFonts w:cs="Times New Roman"/>
        </w:rPr>
        <w:fldChar w:fldCharType="begin"/>
      </w:r>
      <w:r w:rsidR="0015218C">
        <w:rPr>
          <w:rFonts w:cs="Times New Roman"/>
        </w:rPr>
        <w:instrText xml:space="preserve"> REF _Ref235741745 \h </w:instrText>
      </w:r>
      <w:r w:rsidR="0015218C">
        <w:rPr>
          <w:rFonts w:cs="Times New Roman"/>
        </w:rPr>
      </w:r>
      <w:r w:rsidR="0015218C">
        <w:rPr>
          <w:rFonts w:cs="Times New Roman"/>
        </w:rPr>
        <w:fldChar w:fldCharType="separate"/>
      </w:r>
      <w:r w:rsidR="0015218C">
        <w:rPr>
          <w:rFonts w:cs="Times New Roman"/>
        </w:rPr>
        <w:t>5</w:t>
      </w:r>
      <w:r w:rsidR="0015218C" w:rsidRPr="00BB5EF0">
        <w:rPr>
          <w:rFonts w:cs="Times New Roman"/>
        </w:rPr>
        <w:t>.</w:t>
      </w:r>
      <w:r w:rsidR="0015218C">
        <w:rPr>
          <w:rFonts w:cs="Times New Roman"/>
        </w:rPr>
        <w:t>1.</w:t>
      </w:r>
      <w:r w:rsidR="0015218C" w:rsidRPr="00BB5EF0">
        <w:rPr>
          <w:rFonts w:cs="Times New Roman"/>
        </w:rPr>
        <w:t xml:space="preserve"> </w:t>
      </w:r>
      <w:r w:rsidR="0015218C">
        <w:rPr>
          <w:rFonts w:cs="Times New Roman"/>
        </w:rPr>
        <w:t>Gross and Net Performance</w:t>
      </w:r>
      <w:r w:rsidR="0015218C">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lastRenderedPageBreak/>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78" w:name="_Ref235572869"/>
      <w:r>
        <w:t xml:space="preserve">Figure </w:t>
      </w:r>
      <w:fldSimple w:instr=" SEQ Figure \* ARABIC ">
        <w:r>
          <w:rPr>
            <w:noProof/>
          </w:rPr>
          <w:t>12</w:t>
        </w:r>
      </w:fldSimple>
      <w:r>
        <w:t xml:space="preserve">: </w:t>
      </w:r>
      <w:r w:rsidRPr="00960E99">
        <w:t>DSGE strategy benchmark with buy-and-hold for S&amp;P 500</w:t>
      </w:r>
      <w:bookmarkEnd w:id="78"/>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9" w:name="_Toc235286979"/>
      <w:r w:rsidRPr="00BB5EF0">
        <w:rPr>
          <w:rFonts w:cs="Times New Roman"/>
        </w:rPr>
        <w:lastRenderedPageBreak/>
        <w:t xml:space="preserve">6. </w:t>
      </w:r>
      <w:r w:rsidR="005475C8">
        <w:rPr>
          <w:rFonts w:cs="Times New Roman"/>
        </w:rPr>
        <w:t>LIMITATIONS AND IMPROVEMENTS</w:t>
      </w:r>
      <w:bookmarkEnd w:id="79"/>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80" w:name="_Toc235286980"/>
      <w:r w:rsidRPr="00BB5EF0">
        <w:rPr>
          <w:rFonts w:cs="Times New Roman"/>
        </w:rPr>
        <w:lastRenderedPageBreak/>
        <w:t xml:space="preserve">7. </w:t>
      </w:r>
      <w:r w:rsidR="005475C8">
        <w:rPr>
          <w:rFonts w:cs="Times New Roman"/>
        </w:rPr>
        <w:t>CONCLUSION</w:t>
      </w:r>
      <w:bookmarkEnd w:id="80"/>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81"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81"/>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2" w:name="_Toc235286982"/>
      <w:r>
        <w:rPr>
          <w:rFonts w:cs="Times New Roman"/>
        </w:rPr>
        <w:lastRenderedPageBreak/>
        <w:t>APPENDICES</w:t>
      </w:r>
      <w:bookmarkEnd w:id="82"/>
    </w:p>
    <w:p w14:paraId="5FB95BA5" w14:textId="32CC35F9" w:rsidR="009E5FDF" w:rsidRPr="00BB5EF0" w:rsidRDefault="009E5FDF" w:rsidP="00BB5EF0">
      <w:pPr>
        <w:pStyle w:val="Heading2"/>
        <w:spacing w:line="360" w:lineRule="auto"/>
        <w:rPr>
          <w:rFonts w:cs="Times New Roman"/>
        </w:rPr>
      </w:pPr>
      <w:bookmarkStart w:id="83" w:name="_Ref230539016"/>
      <w:bookmarkStart w:id="84" w:name="_Toc235286983"/>
      <w:bookmarkStart w:id="85" w:name="_Ref230526407"/>
      <w:r w:rsidRPr="00BB5EF0">
        <w:rPr>
          <w:rFonts w:cs="Times New Roman"/>
        </w:rPr>
        <w:t xml:space="preserve">Appendix A: </w:t>
      </w:r>
      <w:r w:rsidR="006458DF" w:rsidRPr="00BB5EF0">
        <w:rPr>
          <w:rFonts w:cs="Times New Roman"/>
        </w:rPr>
        <w:t>Framework Setup</w:t>
      </w:r>
      <w:bookmarkEnd w:id="83"/>
      <w:bookmarkEnd w:id="84"/>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85"/>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6" w:name="_Ref232278925"/>
      <w:bookmarkStart w:id="87"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6"/>
      <w:bookmarkEnd w:id="87"/>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8" w:name="_Ref232351355"/>
      <w:bookmarkStart w:id="89"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8"/>
      <w:bookmarkEnd w:id="89"/>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6A2B0" w14:textId="77777777" w:rsidR="00931B46" w:rsidRDefault="00931B46" w:rsidP="004C4312">
      <w:pPr>
        <w:spacing w:after="0" w:line="240" w:lineRule="auto"/>
      </w:pPr>
      <w:r>
        <w:separator/>
      </w:r>
    </w:p>
  </w:endnote>
  <w:endnote w:type="continuationSeparator" w:id="0">
    <w:p w14:paraId="1DF8B343" w14:textId="77777777" w:rsidR="00931B46" w:rsidRDefault="00931B46"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4C32E" w14:textId="77777777" w:rsidR="00931B46" w:rsidRDefault="00931B46" w:rsidP="004C4312">
      <w:pPr>
        <w:spacing w:after="0" w:line="240" w:lineRule="auto"/>
      </w:pPr>
      <w:r>
        <w:separator/>
      </w:r>
    </w:p>
  </w:footnote>
  <w:footnote w:type="continuationSeparator" w:id="0">
    <w:p w14:paraId="435CD0B8" w14:textId="77777777" w:rsidR="00931B46" w:rsidRDefault="00931B46"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12C52"/>
    <w:rsid w:val="000222FD"/>
    <w:rsid w:val="00023CE8"/>
    <w:rsid w:val="00036943"/>
    <w:rsid w:val="000504A7"/>
    <w:rsid w:val="0005128D"/>
    <w:rsid w:val="000521C0"/>
    <w:rsid w:val="00053CF0"/>
    <w:rsid w:val="00060AE5"/>
    <w:rsid w:val="00071030"/>
    <w:rsid w:val="00071734"/>
    <w:rsid w:val="00074D34"/>
    <w:rsid w:val="000759DB"/>
    <w:rsid w:val="000777D7"/>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250A8"/>
    <w:rsid w:val="0012751E"/>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D8B"/>
    <w:rsid w:val="001D3992"/>
    <w:rsid w:val="001D6410"/>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4263"/>
    <w:rsid w:val="003C6058"/>
    <w:rsid w:val="003D0B91"/>
    <w:rsid w:val="003D2CEC"/>
    <w:rsid w:val="003E4F32"/>
    <w:rsid w:val="003E749F"/>
    <w:rsid w:val="003F1B9F"/>
    <w:rsid w:val="003F50F3"/>
    <w:rsid w:val="00404868"/>
    <w:rsid w:val="00423335"/>
    <w:rsid w:val="00437002"/>
    <w:rsid w:val="0044279A"/>
    <w:rsid w:val="004640A9"/>
    <w:rsid w:val="00464881"/>
    <w:rsid w:val="0047497A"/>
    <w:rsid w:val="004770C2"/>
    <w:rsid w:val="00482DAC"/>
    <w:rsid w:val="00483E27"/>
    <w:rsid w:val="004870A8"/>
    <w:rsid w:val="004B0D03"/>
    <w:rsid w:val="004B6659"/>
    <w:rsid w:val="004B6923"/>
    <w:rsid w:val="004C4312"/>
    <w:rsid w:val="004D7828"/>
    <w:rsid w:val="004E315D"/>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92723"/>
    <w:rsid w:val="00593F06"/>
    <w:rsid w:val="005A45C1"/>
    <w:rsid w:val="005B4330"/>
    <w:rsid w:val="005C000E"/>
    <w:rsid w:val="005C6FB3"/>
    <w:rsid w:val="005C74BA"/>
    <w:rsid w:val="005D2C2D"/>
    <w:rsid w:val="005D3371"/>
    <w:rsid w:val="005E7B1C"/>
    <w:rsid w:val="005F2526"/>
    <w:rsid w:val="005F3E4F"/>
    <w:rsid w:val="005F6B8B"/>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2CBF"/>
    <w:rsid w:val="006A49BD"/>
    <w:rsid w:val="006A6603"/>
    <w:rsid w:val="006C49D2"/>
    <w:rsid w:val="006C7783"/>
    <w:rsid w:val="006E35B0"/>
    <w:rsid w:val="006F0730"/>
    <w:rsid w:val="00705359"/>
    <w:rsid w:val="0071480D"/>
    <w:rsid w:val="00717EAB"/>
    <w:rsid w:val="00722D44"/>
    <w:rsid w:val="00740839"/>
    <w:rsid w:val="0074508D"/>
    <w:rsid w:val="00762BA3"/>
    <w:rsid w:val="00763CDD"/>
    <w:rsid w:val="00774E62"/>
    <w:rsid w:val="0078159A"/>
    <w:rsid w:val="007824AD"/>
    <w:rsid w:val="0078321F"/>
    <w:rsid w:val="00786A9D"/>
    <w:rsid w:val="00792A7D"/>
    <w:rsid w:val="007A2A5D"/>
    <w:rsid w:val="007A551C"/>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2F60"/>
    <w:rsid w:val="00883A69"/>
    <w:rsid w:val="0089371A"/>
    <w:rsid w:val="008A4EB2"/>
    <w:rsid w:val="008B44F1"/>
    <w:rsid w:val="008C356C"/>
    <w:rsid w:val="008C697F"/>
    <w:rsid w:val="008D1DBE"/>
    <w:rsid w:val="008D395E"/>
    <w:rsid w:val="008F3BDB"/>
    <w:rsid w:val="008F4C7D"/>
    <w:rsid w:val="00902A65"/>
    <w:rsid w:val="0092399D"/>
    <w:rsid w:val="0092565F"/>
    <w:rsid w:val="009278D8"/>
    <w:rsid w:val="00931B46"/>
    <w:rsid w:val="009329CC"/>
    <w:rsid w:val="009330CB"/>
    <w:rsid w:val="00936438"/>
    <w:rsid w:val="009514CD"/>
    <w:rsid w:val="00955222"/>
    <w:rsid w:val="00960E99"/>
    <w:rsid w:val="00967399"/>
    <w:rsid w:val="00985785"/>
    <w:rsid w:val="00985B6B"/>
    <w:rsid w:val="009A2263"/>
    <w:rsid w:val="009C2795"/>
    <w:rsid w:val="009C33C1"/>
    <w:rsid w:val="009C7CF7"/>
    <w:rsid w:val="009D5196"/>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6137"/>
    <w:rsid w:val="00AE258F"/>
    <w:rsid w:val="00AE60F4"/>
    <w:rsid w:val="00AF2E7B"/>
    <w:rsid w:val="00B14F20"/>
    <w:rsid w:val="00B23610"/>
    <w:rsid w:val="00B24B12"/>
    <w:rsid w:val="00B2564B"/>
    <w:rsid w:val="00B4346D"/>
    <w:rsid w:val="00B44B6F"/>
    <w:rsid w:val="00B4536A"/>
    <w:rsid w:val="00B53DDB"/>
    <w:rsid w:val="00B54D96"/>
    <w:rsid w:val="00B56CB0"/>
    <w:rsid w:val="00B56CC2"/>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2B4E"/>
    <w:rsid w:val="00CB5697"/>
    <w:rsid w:val="00CC3B37"/>
    <w:rsid w:val="00CC5D02"/>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1C35"/>
    <w:rsid w:val="00DB1A53"/>
    <w:rsid w:val="00DB4069"/>
    <w:rsid w:val="00DB70EF"/>
    <w:rsid w:val="00DC2A94"/>
    <w:rsid w:val="00DC621E"/>
    <w:rsid w:val="00DD178B"/>
    <w:rsid w:val="00DD5F9E"/>
    <w:rsid w:val="00DD652B"/>
    <w:rsid w:val="00DD7297"/>
    <w:rsid w:val="00DE2C3C"/>
    <w:rsid w:val="00E15982"/>
    <w:rsid w:val="00E17B7C"/>
    <w:rsid w:val="00E22699"/>
    <w:rsid w:val="00E24BF5"/>
    <w:rsid w:val="00E30419"/>
    <w:rsid w:val="00E32ADB"/>
    <w:rsid w:val="00E43726"/>
    <w:rsid w:val="00E473CF"/>
    <w:rsid w:val="00E5244B"/>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B2B"/>
    <w:rsid w:val="00F201FF"/>
    <w:rsid w:val="00F25115"/>
    <w:rsid w:val="00F32328"/>
    <w:rsid w:val="00F36373"/>
    <w:rsid w:val="00F4013E"/>
    <w:rsid w:val="00F42D1E"/>
    <w:rsid w:val="00F52CE4"/>
    <w:rsid w:val="00F56A95"/>
    <w:rsid w:val="00F659DD"/>
    <w:rsid w:val="00F66625"/>
    <w:rsid w:val="00F727FD"/>
    <w:rsid w:val="00F91083"/>
    <w:rsid w:val="00F97C7F"/>
    <w:rsid w:val="00FA374A"/>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6068</TotalTime>
  <Pages>67</Pages>
  <Words>20613</Words>
  <Characters>117500</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35</cp:revision>
  <cp:lastPrinted>2026-07-18T13:17:00Z</cp:lastPrinted>
  <dcterms:created xsi:type="dcterms:W3CDTF">2026-05-16T18:01:00Z</dcterms:created>
  <dcterms:modified xsi:type="dcterms:W3CDTF">2026-07-23T19:28:00Z</dcterms:modified>
</cp:coreProperties>
</file>