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A6A6A"/>
          <w:sz w:val="18"/>
        </w:rPr>
        <w:t>CREATIVE OS  /  INVESTIGACIÓN</w:t>
      </w:r>
    </w:p>
    <w:p>
      <w:r>
        <w:rPr>
          <w:b/>
          <w:color w:val="111111"/>
          <w:sz w:val="56"/>
        </w:rPr>
        <w:t>Modelo cognitivo del Productor Ejecutivo</w:t>
      </w:r>
    </w:p>
    <w:p>
      <w:r>
        <w:rPr>
          <w:i/>
          <w:color w:val="666666"/>
          <w:sz w:val="22"/>
        </w:rPr>
        <w:t>Síntesis de investigación para Creative OS - versión 1.0</w:t>
      </w:r>
    </w:p>
    <w:p>
      <w:r>
        <w:rPr>
          <w:color w:val="D9FF00"/>
          <w:sz w:val="24"/>
        </w:rPr>
        <w:t>━━━━━━━━━━━━━━━━━━</w:t>
      </w:r>
    </w:p>
    <w:tbl>
      <w:tblPr>
        <w:tblW w:type="auto" w:w="0"/>
        <w:tblLayout w:type="autofit"/>
        <w:tblLook w:firstColumn="1" w:firstRow="1" w:lastColumn="0" w:lastRow="0" w:noHBand="0" w:noVBand="1" w:val="04A0"/>
      </w:tblPr>
      <w:tblGrid>
        <w:gridCol w:w="10166"/>
      </w:tblGrid>
      <w:tr>
        <w:tc>
          <w:tcPr>
            <w:tcW w:type="dxa" w:w="10166"/>
            <w:shd w:fill="F3F5E8"/>
          </w:tcPr>
          <w:p>
            <w:r>
              <w:rPr>
                <w:b/>
                <w:color w:val="111111"/>
              </w:rPr>
              <w:t>Propósito del documento</w:t>
              <w:br/>
            </w:r>
            <w:r>
              <w:rPr>
                <w:sz w:val="20"/>
              </w:rPr>
              <w:t>Traducir investigación sobre decisión experta, innovación, experimentación y ecosistemas creativos en una arquitectura cognitiva aplicable a Creative OS. Este documento es una síntesis de diseño: no sustituye asesoría profesional ni convierte los casos en reglas universales.</w:t>
            </w:r>
          </w:p>
        </w:tc>
      </w:tr>
    </w:tbl>
    <w:p/>
    <w:p>
      <w:pPr>
        <w:pStyle w:val="Heading1"/>
      </w:pPr>
      <w:r>
        <w:t>1. Hallazgo principal</w:t>
      </w:r>
    </w:p>
    <w:p>
      <w:r>
        <w:t>Un Productor Ejecutivo digital no debería usar una sola secuencia de preguntas. La evidencia sobre toma de decisiones en contextos reales muestra que las personas expertas alternan entre reconocimiento de patrones, análisis deliberado, reglas conocidas y pensamiento creativo según la familiaridad, la presión, la incertidumbre y el riesgo de la situación [S1-S3].</w:t>
      </w:r>
    </w:p>
    <w:p>
      <w:r>
        <w:t>Para Creative OS, esto implica que la pregunta siguiente no debe surgir simplemente del módulo con menor puntaje. Debe surgir de una evaluación del contexto: qué decisión está pendiente, qué incertidumbre bloquea el proyecto, qué consecuencias tendría actuar ahora y qué forma de razonamiento es más adecuada.</w:t>
      </w:r>
    </w:p>
    <w:p>
      <w:pPr>
        <w:pStyle w:val="Heading1"/>
      </w:pPr>
      <w:r>
        <w:t>2. Ciclo cognitivo propuesto</w:t>
      </w:r>
    </w:p>
    <w:p>
      <w:pPr>
        <w:pStyle w:val="ListNumber"/>
      </w:pPr>
      <w:r>
        <w:t>Capturar hechos explícitos y separarlos de hipótesis, deseos, inferencias y recomendaciones.</w:t>
      </w:r>
    </w:p>
    <w:p>
      <w:pPr>
        <w:pStyle w:val="ListNumber"/>
      </w:pPr>
      <w:r>
        <w:t>Reconocer el patrón del proyecto: tipo, etapa, decisión pendiente, restricciones y señales críticas.</w:t>
      </w:r>
    </w:p>
    <w:p>
      <w:pPr>
        <w:pStyle w:val="ListNumber"/>
      </w:pPr>
      <w:r>
        <w:t>Diagnosticar lo que no encaja: contradicciones, datos ausentes, supuestos frágiles y dependencias.</w:t>
      </w:r>
    </w:p>
    <w:p>
      <w:pPr>
        <w:pStyle w:val="ListNumber"/>
      </w:pPr>
      <w:r>
        <w:t>Seleccionar un modo de pensamiento contextual.</w:t>
      </w:r>
    </w:p>
    <w:p>
      <w:pPr>
        <w:pStyle w:val="ListNumber"/>
      </w:pPr>
      <w:r>
        <w:t>Recuperar casos comparables y conocimiento técnico relevante, sin reemplazar el contexto del proyecto.</w:t>
      </w:r>
    </w:p>
    <w:p>
      <w:pPr>
        <w:pStyle w:val="ListNumber"/>
      </w:pPr>
      <w:r>
        <w:t>Proponer una primera ruta viable y simular mentalmente sus consecuencias.</w:t>
      </w:r>
    </w:p>
    <w:p>
      <w:pPr>
        <w:pStyle w:val="ListNumber"/>
      </w:pPr>
      <w:r>
        <w:t>Comparar alternativas solo cuando la primera ruta no sea suficiente, el riesgo sea alto o el contexto sea novedoso.</w:t>
      </w:r>
    </w:p>
    <w:p>
      <w:pPr>
        <w:pStyle w:val="ListNumber"/>
      </w:pPr>
      <w:r>
        <w:t>Explicar la recomendación: evidencia, supuestos, riesgos y condiciones de validez.</w:t>
      </w:r>
    </w:p>
    <w:p>
      <w:pPr>
        <w:pStyle w:val="ListNumber"/>
      </w:pPr>
      <w:r>
        <w:t>Formular una sola pregunta de alto valor que reduzca incertidumbre o habilite una acción.</w:t>
      </w:r>
    </w:p>
    <w:p>
      <w:pPr>
        <w:pStyle w:val="ListNumber"/>
      </w:pPr>
      <w:r>
        <w:t>Registrar decisión, resultado y aprendizaje para mejorar el Executive Review.</w:t>
      </w:r>
    </w:p>
    <w:p>
      <w:pPr>
        <w:pStyle w:val="Heading1"/>
      </w:pPr>
      <w:r>
        <w:t>3. Router de modos de pensamiento</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11111"/>
          </w:tcPr>
          <w:p>
            <w:r>
              <w:rPr>
                <w:color w:val="FFFFFF"/>
              </w:rPr>
              <w:t>Modo</w:t>
            </w:r>
          </w:p>
        </w:tc>
        <w:tc>
          <w:tcPr>
            <w:tcW w:type="dxa" w:w="2541"/>
            <w:shd w:fill="111111"/>
          </w:tcPr>
          <w:p>
            <w:r>
              <w:rPr>
                <w:color w:val="FFFFFF"/>
              </w:rPr>
              <w:t>Cuándo se activa</w:t>
            </w:r>
          </w:p>
        </w:tc>
        <w:tc>
          <w:tcPr>
            <w:tcW w:type="dxa" w:w="2541"/>
            <w:shd w:fill="111111"/>
          </w:tcPr>
          <w:p>
            <w:r>
              <w:rPr>
                <w:color w:val="FFFFFF"/>
              </w:rPr>
              <w:t>Función</w:t>
            </w:r>
          </w:p>
        </w:tc>
        <w:tc>
          <w:tcPr>
            <w:tcW w:type="dxa" w:w="2541"/>
            <w:shd w:fill="111111"/>
          </w:tcPr>
          <w:p>
            <w:r>
              <w:rPr>
                <w:color w:val="FFFFFF"/>
              </w:rPr>
              <w:t>Pregunta característica</w:t>
            </w:r>
          </w:p>
        </w:tc>
      </w:tr>
      <w:tr>
        <w:tc>
          <w:tcPr>
            <w:tcW w:type="dxa" w:w="2541"/>
          </w:tcPr>
          <w:p>
            <w:r>
              <w:t>Exploratorio</w:t>
            </w:r>
          </w:p>
        </w:tc>
        <w:tc>
          <w:tcPr>
            <w:tcW w:type="dxa" w:w="2541"/>
          </w:tcPr>
          <w:p>
            <w:r>
              <w:t>Idea temprana, deseo creativo o contexto ambiguo</w:t>
            </w:r>
          </w:p>
        </w:tc>
        <w:tc>
          <w:tcPr>
            <w:tcW w:type="dxa" w:w="2541"/>
          </w:tcPr>
          <w:p>
            <w:r>
              <w:t>Abrir posibilidades sin imponer una solución</w:t>
            </w:r>
          </w:p>
        </w:tc>
        <w:tc>
          <w:tcPr>
            <w:tcW w:type="dxa" w:w="2541"/>
          </w:tcPr>
          <w:p>
            <w:r>
              <w:t>¿Qué posibilidad te interesa explorar y por qué ahora?</w:t>
            </w:r>
          </w:p>
        </w:tc>
      </w:tr>
      <w:tr>
        <w:tc>
          <w:tcPr>
            <w:tcW w:type="dxa" w:w="2541"/>
          </w:tcPr>
          <w:p>
            <w:r>
              <w:t>Diagnóstico</w:t>
            </w:r>
          </w:p>
        </w:tc>
        <w:tc>
          <w:tcPr>
            <w:tcW w:type="dxa" w:w="2541"/>
          </w:tcPr>
          <w:p>
            <w:r>
              <w:t>Información abundante pero contradictoria o mal clasificada</w:t>
            </w:r>
          </w:p>
        </w:tc>
        <w:tc>
          <w:tcPr>
            <w:tcW w:type="dxa" w:w="2541"/>
          </w:tcPr>
          <w:p>
            <w:r>
              <w:t>Separar hechos, hipótesis, vacíos y bloqueos</w:t>
            </w:r>
          </w:p>
        </w:tc>
        <w:tc>
          <w:tcPr>
            <w:tcW w:type="dxa" w:w="2541"/>
          </w:tcPr>
          <w:p>
            <w:r>
              <w:t>¿Qué afirmación necesitamos comprobar antes de decidir?</w:t>
            </w:r>
          </w:p>
        </w:tc>
      </w:tr>
      <w:tr>
        <w:tc>
          <w:tcPr>
            <w:tcW w:type="dxa" w:w="2541"/>
          </w:tcPr>
          <w:p>
            <w:r>
              <w:t>Producto</w:t>
            </w:r>
          </w:p>
        </w:tc>
        <w:tc>
          <w:tcPr>
            <w:tcW w:type="dxa" w:w="2541"/>
          </w:tcPr>
          <w:p>
            <w:r>
              <w:t>Producto, servicio o propuesta comercial</w:t>
            </w:r>
          </w:p>
        </w:tc>
        <w:tc>
          <w:tcPr>
            <w:tcW w:type="dxa" w:w="2541"/>
          </w:tcPr>
          <w:p>
            <w:r>
              <w:t>Usuario, valor, uso, diferenciación, validación y unidad económica</w:t>
            </w:r>
          </w:p>
        </w:tc>
        <w:tc>
          <w:tcPr>
            <w:tcW w:type="dxa" w:w="2541"/>
          </w:tcPr>
          <w:p>
            <w:r>
              <w:t>¿Qué evidencia tienes de que este público pagaría o cambiaría su comportamiento?</w:t>
            </w:r>
          </w:p>
        </w:tc>
      </w:tr>
      <w:tr>
        <w:tc>
          <w:tcPr>
            <w:tcW w:type="dxa" w:w="2541"/>
          </w:tcPr>
          <w:p>
            <w:r>
              <w:t>Producción</w:t>
            </w:r>
          </w:p>
        </w:tc>
        <w:tc>
          <w:tcPr>
            <w:tcW w:type="dxa" w:w="2541"/>
          </w:tcPr>
          <w:p>
            <w:r>
              <w:t>Evento, taller, experiencia, rodaje, exposición</w:t>
            </w:r>
          </w:p>
        </w:tc>
        <w:tc>
          <w:tcPr>
            <w:tcW w:type="dxa" w:w="2541"/>
          </w:tcPr>
          <w:p>
            <w:r>
              <w:t>Secuencia, recursos, permisos, responsables y contingencias</w:t>
            </w:r>
          </w:p>
        </w:tc>
        <w:tc>
          <w:tcPr>
            <w:tcW w:type="dxa" w:w="2541"/>
          </w:tcPr>
          <w:p>
            <w:r>
              <w:t>¿Cuál es el piloto mínimo que prueba la experiencia sin comprometer toda la inversión?</w:t>
            </w:r>
          </w:p>
        </w:tc>
      </w:tr>
      <w:tr>
        <w:tc>
          <w:tcPr>
            <w:tcW w:type="dxa" w:w="2541"/>
          </w:tcPr>
          <w:p>
            <w:r>
              <w:t>Financiero</w:t>
            </w:r>
          </w:p>
        </w:tc>
        <w:tc>
          <w:tcPr>
            <w:tcW w:type="dxa" w:w="2541"/>
          </w:tcPr>
          <w:p>
            <w:r>
              <w:t>Costos, precio, caja, financiación</w:t>
            </w:r>
          </w:p>
        </w:tc>
        <w:tc>
          <w:tcPr>
            <w:tcW w:type="dxa" w:w="2541"/>
          </w:tcPr>
          <w:p>
            <w:r>
              <w:t>Desagregar supuestos, costos fijos/variables, margen y caja</w:t>
            </w:r>
          </w:p>
        </w:tc>
        <w:tc>
          <w:tcPr>
            <w:tcW w:type="dxa" w:w="2541"/>
          </w:tcPr>
          <w:p>
            <w:r>
              <w:t>¿Qué incluye exactamente ese costo y qué cambia cuando aumenta el volumen?</w:t>
            </w:r>
          </w:p>
        </w:tc>
      </w:tr>
      <w:tr>
        <w:tc>
          <w:tcPr>
            <w:tcW w:type="dxa" w:w="2541"/>
          </w:tcPr>
          <w:p>
            <w:r>
              <w:t>Legal / cumplimiento</w:t>
            </w:r>
          </w:p>
        </w:tc>
        <w:tc>
          <w:tcPr>
            <w:tcW w:type="dxa" w:w="2541"/>
          </w:tcPr>
          <w:p>
            <w:r>
              <w:t>Derechos, permisos, datos, alimentos, contratos</w:t>
            </w:r>
          </w:p>
        </w:tc>
        <w:tc>
          <w:tcPr>
            <w:tcW w:type="dxa" w:w="2541"/>
          </w:tcPr>
          <w:p>
            <w:r>
              <w:t>Detectar dependencia legal y detener supuestos peligrosos</w:t>
            </w:r>
          </w:p>
        </w:tc>
        <w:tc>
          <w:tcPr>
            <w:tcW w:type="dxa" w:w="2541"/>
          </w:tcPr>
          <w:p>
            <w:r>
              <w:t>¿Qué autorización debe existir antes de comprometer fecha, presupuesto o comunicación?</w:t>
            </w:r>
          </w:p>
        </w:tc>
      </w:tr>
      <w:tr>
        <w:tc>
          <w:tcPr>
            <w:tcW w:type="dxa" w:w="2541"/>
          </w:tcPr>
          <w:p>
            <w:r>
              <w:t>Mercado / comunicación</w:t>
            </w:r>
          </w:p>
        </w:tc>
        <w:tc>
          <w:tcPr>
            <w:tcW w:type="dxa" w:w="2541"/>
          </w:tcPr>
          <w:p>
            <w:r>
              <w:t>Necesidad de audiencia, clientes o posicionamiento</w:t>
            </w:r>
          </w:p>
        </w:tc>
        <w:tc>
          <w:tcPr>
            <w:tcW w:type="dxa" w:w="2541"/>
          </w:tcPr>
          <w:p>
            <w:r>
              <w:t>Segmento, canal, promesa, objeción y experimento</w:t>
            </w:r>
          </w:p>
        </w:tc>
        <w:tc>
          <w:tcPr>
            <w:tcW w:type="dxa" w:w="2541"/>
          </w:tcPr>
          <w:p>
            <w:r>
              <w:t>¿Qué comportamiento concreto demostraría interés real?</w:t>
            </w:r>
          </w:p>
        </w:tc>
      </w:tr>
      <w:tr>
        <w:tc>
          <w:tcPr>
            <w:tcW w:type="dxa" w:w="2541"/>
          </w:tcPr>
          <w:p>
            <w:r>
              <w:t>Ecosistema</w:t>
            </w:r>
          </w:p>
        </w:tc>
        <w:tc>
          <w:tcPr>
            <w:tcW w:type="dxa" w:w="2541"/>
          </w:tcPr>
          <w:p>
            <w:r>
              <w:t>Necesidades y capacidades complementarias</w:t>
            </w:r>
          </w:p>
        </w:tc>
        <w:tc>
          <w:tcPr>
            <w:tcW w:type="dxa" w:w="2541"/>
          </w:tcPr>
          <w:p>
            <w:r>
              <w:t>Mapear oferta, demanda, intercambio y conexión</w:t>
            </w:r>
          </w:p>
        </w:tc>
        <w:tc>
          <w:tcPr>
            <w:tcW w:type="dxa" w:w="2541"/>
          </w:tcPr>
          <w:p>
            <w:r>
              <w:t>¿Qué ofreces al actor que podría ayudarte?</w:t>
            </w:r>
          </w:p>
        </w:tc>
      </w:tr>
      <w:tr>
        <w:tc>
          <w:tcPr>
            <w:tcW w:type="dxa" w:w="2541"/>
          </w:tcPr>
          <w:p>
            <w:r>
              <w:t>Impacto</w:t>
            </w:r>
          </w:p>
        </w:tc>
        <w:tc>
          <w:tcPr>
            <w:tcW w:type="dxa" w:w="2541"/>
          </w:tcPr>
          <w:p>
            <w:r>
              <w:t>Proyecto con ejecución o resultados observables</w:t>
            </w:r>
          </w:p>
        </w:tc>
        <w:tc>
          <w:tcPr>
            <w:tcW w:type="dxa" w:w="2541"/>
          </w:tcPr>
          <w:p>
            <w:r>
              <w:t>Distinguir actividad, producto, resultado, efecto e impacto</w:t>
            </w:r>
          </w:p>
        </w:tc>
        <w:tc>
          <w:tcPr>
            <w:tcW w:type="dxa" w:w="2541"/>
          </w:tcPr>
          <w:p>
            <w:r>
              <w:t>¿Qué cambio observable debería existir después de la intervención?</w:t>
            </w:r>
          </w:p>
        </w:tc>
      </w:tr>
      <w:tr>
        <w:tc>
          <w:tcPr>
            <w:tcW w:type="dxa" w:w="2541"/>
          </w:tcPr>
          <w:p>
            <w:r>
              <w:t>Crisis / bloqueo</w:t>
            </w:r>
          </w:p>
        </w:tc>
        <w:tc>
          <w:tcPr>
            <w:tcW w:type="dxa" w:w="2541"/>
          </w:tcPr>
          <w:p>
            <w:r>
              <w:t>Falta de dinero, retraso, conflicto o inviabilidad</w:t>
            </w:r>
          </w:p>
        </w:tc>
        <w:tc>
          <w:tcPr>
            <w:tcW w:type="dxa" w:w="2541"/>
          </w:tcPr>
          <w:p>
            <w:r>
              <w:t>Proteger lo esencial, reducir alcance y decidir rápido</w:t>
            </w:r>
          </w:p>
        </w:tc>
        <w:tc>
          <w:tcPr>
            <w:tcW w:type="dxa" w:w="2541"/>
          </w:tcPr>
          <w:p>
            <w:r>
              <w:t>¿Qué debemos detener, preservar o reducir esta semana?</w:t>
            </w:r>
          </w:p>
        </w:tc>
      </w:tr>
    </w:tbl>
    <w:p>
      <w:pPr>
        <w:pStyle w:val="Heading1"/>
      </w:pPr>
      <w:r>
        <w:t>4. Cuándo cambiar de modo</w:t>
      </w:r>
    </w:p>
    <w:p>
      <w:pPr>
        <w:pStyle w:val="ListBullet"/>
      </w:pPr>
      <w:r>
        <w:t>Cambiar de exploratorio a diagnóstico cuando el proyecto ya tiene afirmaciones que pueden contrastarse.</w:t>
      </w:r>
    </w:p>
    <w:p>
      <w:pPr>
        <w:pStyle w:val="ListBullet"/>
      </w:pPr>
      <w:r>
        <w:t>Cambiar de diagnóstico a producción cuando existe una ruta mínima y la incertidumbre principal puede probarse con una acción.</w:t>
      </w:r>
    </w:p>
    <w:p>
      <w:pPr>
        <w:pStyle w:val="ListBullet"/>
      </w:pPr>
      <w:r>
        <w:t>Activar financiero cuando aparece un valor, precio, unidad, inversión, ingreso, volumen o restricción de caja.</w:t>
      </w:r>
    </w:p>
    <w:p>
      <w:pPr>
        <w:pStyle w:val="ListBullet"/>
      </w:pPr>
      <w:r>
        <w:t>Activar legal antes de recomendar ejecución si una autorización puede invalidar el proyecto.</w:t>
      </w:r>
    </w:p>
    <w:p>
      <w:pPr>
        <w:pStyle w:val="ListBullet"/>
      </w:pPr>
      <w:r>
        <w:t>Activar mercado antes de escalar una oferta que todavía no tiene evidencia de interés o pago.</w:t>
      </w:r>
    </w:p>
    <w:p>
      <w:pPr>
        <w:pStyle w:val="ListBullet"/>
      </w:pPr>
      <w:r>
        <w:t>Activar crisis cuando una decisión tiene plazo inmediato o el proyecto corre riesgo de perder recursos, confianza o viabilidad.</w:t>
      </w:r>
    </w:p>
    <w:p>
      <w:pPr>
        <w:pStyle w:val="ListBullet"/>
      </w:pPr>
      <w:r>
        <w:t>Volver a exploratorio si nueva evidencia cambia la naturaleza del proyecto.</w:t>
      </w:r>
    </w:p>
    <w:p>
      <w:pPr>
        <w:pStyle w:val="Heading1"/>
      </w:pPr>
      <w:r>
        <w:t>5. Patrón de respuesta del Productor Ejecutivo</w:t>
      </w:r>
    </w:p>
    <w:p>
      <w:pPr>
        <w:pStyle w:val="ListBullet"/>
      </w:pPr>
      <w:r>
        <w:t>Lo que entendí: hechos explícitos e hipótesis claramente etiquetadas.</w:t>
      </w:r>
    </w:p>
    <w:p>
      <w:pPr>
        <w:pStyle w:val="ListBullet"/>
      </w:pPr>
      <w:r>
        <w:t>Lo que organicé: cambios exactos realizados en el proyecto.</w:t>
      </w:r>
    </w:p>
    <w:p>
      <w:pPr>
        <w:pStyle w:val="ListBullet"/>
      </w:pPr>
      <w:r>
        <w:t>Lo que esto implica: dependencias, cálculos, riesgos u oportunidades.</w:t>
      </w:r>
    </w:p>
    <w:p>
      <w:pPr>
        <w:pStyle w:val="ListBullet"/>
      </w:pPr>
      <w:r>
        <w:t>Lo que falta confirmar: incertidumbres que no deben convertirse en hechos.</w:t>
      </w:r>
    </w:p>
    <w:p>
      <w:pPr>
        <w:pStyle w:val="ListBullet"/>
      </w:pPr>
      <w:r>
        <w:t>Mi recomendación: una acción priorizada y explicada.</w:t>
      </w:r>
    </w:p>
    <w:p>
      <w:pPr>
        <w:pStyle w:val="ListBullet"/>
      </w:pPr>
      <w:r>
        <w:t>Siguiente pregunta: una sola pregunta que desbloquea la decisión.</w:t>
      </w:r>
    </w:p>
    <w:p>
      <w:pPr>
        <w:pStyle w:val="Heading1"/>
      </w:pPr>
      <w:r>
        <w:t>6. Límites</w:t>
      </w:r>
    </w:p>
    <w:p>
      <w:pPr>
        <w:pStyle w:val="ListBullet"/>
      </w:pPr>
      <w:r>
        <w:t>Los patrones de casos no son reglas universales.</w:t>
      </w:r>
    </w:p>
    <w:p>
      <w:pPr>
        <w:pStyle w:val="ListBullet"/>
      </w:pPr>
      <w:r>
        <w:t>El sistema debe mostrar diferencias relevantes entre el caso actual y los casos comparados.</w:t>
      </w:r>
    </w:p>
    <w:p>
      <w:pPr>
        <w:pStyle w:val="ListBullet"/>
      </w:pPr>
      <w:r>
        <w:t>Las recomendaciones legales, tributarias, médicas o financieras de alto riesgo requieren fuentes vigentes y validación profesional.</w:t>
      </w:r>
    </w:p>
    <w:p>
      <w:pPr>
        <w:pStyle w:val="ListBullet"/>
      </w:pPr>
      <w:r>
        <w:t>Creative OS debe conservar la intención creativa, incluso cuando recomienda reducir alcance o cambiar secuencia.</w:t>
      </w:r>
    </w:p>
    <w:p>
      <w:pPr>
        <w:pStyle w:val="ListBullet"/>
      </w:pPr>
      <w:r>
        <w:t>Una recomendación debe poder cambiar cuando aparece nueva evidencia.</w:t>
      </w:r>
    </w:p>
    <w:p>
      <w:pPr>
        <w:pStyle w:val="Heading1"/>
      </w:pPr>
      <w:r>
        <w:t>Fuentes consultadas</w:t>
      </w:r>
    </w:p>
    <w:p>
      <w:r>
        <w:rPr>
          <w:b/>
        </w:rPr>
        <w:t xml:space="preserve">[S1] UK Government / Gary Klein (2015). Have We Learned Anything About Decision Making?. </w:t>
      </w:r>
      <w:r>
        <w:t>https://assets.publishing.service.gov.uk/media/5a80d02ae5274a2e87dbbf73/Dr_Gary_Klein__Senior_Scientist_at_MacroCognition_LLC.pdf</w:t>
      </w:r>
    </w:p>
    <w:p>
      <w:r>
        <w:rPr>
          <w:b/>
        </w:rPr>
        <w:t xml:space="preserve">[S2] Peer-reviewed open-access research (PMC) (2023). Decision-Making During High-Risk Events: A Systematic Review. </w:t>
      </w:r>
      <w:r>
        <w:t>https://pmc.ncbi.nlm.nih.gov/articles/PMC10564111/</w:t>
      </w:r>
    </w:p>
    <w:p>
      <w:r>
        <w:rPr>
          <w:b/>
        </w:rPr>
        <w:t xml:space="preserve">[S3] Peer-reviewed open-access research (PMC) (2022). Naturalistic Decision-Making in Sport. </w:t>
      </w:r>
      <w:r>
        <w:t>https://pmc.ncbi.nlm.nih.gov/articles/PMC9252097/</w:t>
      </w:r>
    </w:p>
    <w:p>
      <w:r>
        <w:rPr>
          <w:b/>
        </w:rPr>
        <w:t xml:space="preserve">[S4] Nesta (2014). Innovation Teams and Labs: A Practice Guide. </w:t>
      </w:r>
      <w:r>
        <w:t>https://www.nesta.org.uk/documents/640/innovation_teams_and_labs_a_practice_guide.pdf</w:t>
      </w:r>
    </w:p>
    <w:p>
      <w:r>
        <w:rPr>
          <w:b/>
        </w:rPr>
        <w:t xml:space="preserve">[S5] Nesta (2019). Compendium of Innovation Methods. </w:t>
      </w:r>
      <w:r>
        <w:t>https://media.nesta.org.uk/documents/Compendium-of-Innovation-Methods-March-2019.pdf</w:t>
      </w:r>
    </w:p>
    <w:p>
      <w:r>
        <w:rPr>
          <w:b/>
        </w:rPr>
        <w:t xml:space="preserve">[S8] UNDP Accelerator Labs (2026). 2025 Annual Report: The Full Six-year Journey of the Accelerator Labs Network. </w:t>
      </w:r>
      <w:r>
        <w:t>https://www.undp.org/sites/g/files/zskgke326/files/2026-04/2025_undp_accelerator_labs_annual_report_0.pdf</w:t>
      </w:r>
    </w:p>
    <w:p>
      <w:r>
        <w:rPr>
          <w:b/>
        </w:rPr>
        <w:t xml:space="preserve">[S10] OECD Observatory of Public Sector Innovation (2023). Supporting Decision Making with Strategic Foresight. </w:t>
      </w:r>
      <w:r>
        <w:t>https://www.oecd.org/en/publications/supporting-decision-making-with-strategic-foresight_1d78c791-en.html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11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