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A6A6A"/>
          <w:sz w:val="18"/>
        </w:rPr>
        <w:t>CREATIVE OS  /  INVESTIGACIÓN</w:t>
      </w:r>
    </w:p>
    <w:p>
      <w:r>
        <w:rPr>
          <w:b/>
          <w:color w:val="111111"/>
          <w:sz w:val="56"/>
        </w:rPr>
        <w:t>Biblioteca de casos y razonamiento basado en experiencia</w:t>
      </w:r>
    </w:p>
    <w:p>
      <w:r>
        <w:rPr>
          <w:i/>
          <w:color w:val="666666"/>
          <w:sz w:val="22"/>
        </w:rPr>
        <w:t>Taxonomía, formato y criterios de selección para Creative OS</w:t>
      </w:r>
    </w:p>
    <w:p>
      <w:r>
        <w:rPr>
          <w:color w:val="D9FF00"/>
          <w:sz w:val="24"/>
        </w:rPr>
        <w:t>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E8"/>
          </w:tcPr>
          <w:p>
            <w:r>
              <w:rPr>
                <w:b/>
                <w:color w:val="111111"/>
              </w:rPr>
              <w:t>Hipótesis central</w:t>
              <w:br/>
            </w:r>
            <w:r>
              <w:rPr>
                <w:sz w:val="20"/>
              </w:rPr>
              <w:t>La biblioteca debe almacenar decisiones contextualizadas, no solo descripciones de proyectos. El valor aparece cuando Creative OS puede explicar qué señal se observó, qué opción se eligió, qué ocurrió y bajo qué condiciones la lección es transferible.</w:t>
            </w:r>
          </w:p>
        </w:tc>
      </w:tr>
    </w:tbl>
    <w:p/>
    <w:p>
      <w:pPr>
        <w:pStyle w:val="Heading1"/>
      </w:pPr>
      <w:r>
        <w:t>1. Por qué usar casos</w:t>
      </w:r>
    </w:p>
    <w:p>
      <w:r>
        <w:t>La decisión experta se apoya con frecuencia en patrones reconocidos a partir de experiencias anteriores y en la simulación de una acción antes de ejecutarla [S1-S3]. Nesta recomienda estudiar modelos existentes para adaptar éxitos y evitar errores, pero advierte que el diseño debe responder a objetivos, recursos y contexto [S4]. UNDP documenta el valor de aprender mediante experimentación distribuida, conocimiento local y ciclos de retroalimentación [S8-S9].</w:t>
      </w:r>
    </w:p>
    <w:p>
      <w:pPr>
        <w:pStyle w:val="Heading1"/>
      </w:pPr>
      <w:r>
        <w:t>2. Unidad mínima de un caso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11111"/>
          </w:tcPr>
          <w:p>
            <w:r>
              <w:rPr>
                <w:color w:val="FFFFFF"/>
              </w:rPr>
              <w:t>Campo</w:t>
            </w:r>
          </w:p>
        </w:tc>
        <w:tc>
          <w:tcPr>
            <w:tcW w:type="dxa" w:w="5083"/>
            <w:shd w:fill="111111"/>
          </w:tcPr>
          <w:p>
            <w:r>
              <w:rPr>
                <w:color w:val="FFFFFF"/>
              </w:rPr>
              <w:t>Contenido esperado</w:t>
            </w:r>
          </w:p>
        </w:tc>
      </w:tr>
      <w:tr>
        <w:tc>
          <w:tcPr>
            <w:tcW w:type="dxa" w:w="5083"/>
          </w:tcPr>
          <w:p>
            <w:r>
              <w:t>Identidad</w:t>
            </w:r>
          </w:p>
        </w:tc>
        <w:tc>
          <w:tcPr>
            <w:tcW w:type="dxa" w:w="5083"/>
          </w:tcPr>
          <w:p>
            <w:r>
              <w:t>Título, sector, territorio, fecha, fuente y nivel de anonimización.</w:t>
            </w:r>
          </w:p>
        </w:tc>
      </w:tr>
      <w:tr>
        <w:tc>
          <w:tcPr>
            <w:tcW w:type="dxa" w:w="5083"/>
          </w:tcPr>
          <w:p>
            <w:r>
              <w:t>Contexto</w:t>
            </w:r>
          </w:p>
        </w:tc>
        <w:tc>
          <w:tcPr>
            <w:tcW w:type="dxa" w:w="5083"/>
          </w:tcPr>
          <w:p>
            <w:r>
              <w:t>Condiciones sociales, económicas, culturales, legales y organizativas.</w:t>
            </w:r>
          </w:p>
        </w:tc>
      </w:tr>
      <w:tr>
        <w:tc>
          <w:tcPr>
            <w:tcW w:type="dxa" w:w="5083"/>
          </w:tcPr>
          <w:p>
            <w:r>
              <w:t>Tipo y etapa</w:t>
            </w:r>
          </w:p>
        </w:tc>
        <w:tc>
          <w:tcPr>
            <w:tcW w:type="dxa" w:w="5083"/>
          </w:tcPr>
          <w:p>
            <w:r>
              <w:t>Producto, evento, organización, proceso comunitario, etc.; idea, validación, ejecución o escala.</w:t>
            </w:r>
          </w:p>
        </w:tc>
      </w:tr>
      <w:tr>
        <w:tc>
          <w:tcPr>
            <w:tcW w:type="dxa" w:w="5083"/>
          </w:tcPr>
          <w:p>
            <w:r>
              <w:t>Decisión</w:t>
            </w:r>
          </w:p>
        </w:tc>
        <w:tc>
          <w:tcPr>
            <w:tcW w:type="dxa" w:w="5083"/>
          </w:tcPr>
          <w:p>
            <w:r>
              <w:t>Pregunta concreta que debía resolverse.</w:t>
            </w:r>
          </w:p>
        </w:tc>
      </w:tr>
      <w:tr>
        <w:tc>
          <w:tcPr>
            <w:tcW w:type="dxa" w:w="5083"/>
          </w:tcPr>
          <w:p>
            <w:r>
              <w:t>Señales</w:t>
            </w:r>
          </w:p>
        </w:tc>
        <w:tc>
          <w:tcPr>
            <w:tcW w:type="dxa" w:w="5083"/>
          </w:tcPr>
          <w:p>
            <w:r>
              <w:t>Hechos, restricciones, indicadores y anomalías observadas.</w:t>
            </w:r>
          </w:p>
        </w:tc>
      </w:tr>
      <w:tr>
        <w:tc>
          <w:tcPr>
            <w:tcW w:type="dxa" w:w="5083"/>
          </w:tcPr>
          <w:p>
            <w:r>
              <w:t>Opciones</w:t>
            </w:r>
          </w:p>
        </w:tc>
        <w:tc>
          <w:tcPr>
            <w:tcW w:type="dxa" w:w="5083"/>
          </w:tcPr>
          <w:p>
            <w:r>
              <w:t>Alternativas consideradas, incluidas las descartadas.</w:t>
            </w:r>
          </w:p>
        </w:tc>
      </w:tr>
      <w:tr>
        <w:tc>
          <w:tcPr>
            <w:tcW w:type="dxa" w:w="5083"/>
          </w:tcPr>
          <w:p>
            <w:r>
              <w:t>Acción elegida</w:t>
            </w:r>
          </w:p>
        </w:tc>
        <w:tc>
          <w:tcPr>
            <w:tcW w:type="dxa" w:w="5083"/>
          </w:tcPr>
          <w:p>
            <w:r>
              <w:t>Qué se hizo, con qué recursos y secuencia.</w:t>
            </w:r>
          </w:p>
        </w:tc>
      </w:tr>
      <w:tr>
        <w:tc>
          <w:tcPr>
            <w:tcW w:type="dxa" w:w="5083"/>
          </w:tcPr>
          <w:p>
            <w:r>
              <w:t>Supuestos</w:t>
            </w:r>
          </w:p>
        </w:tc>
        <w:tc>
          <w:tcPr>
            <w:tcW w:type="dxa" w:w="5083"/>
          </w:tcPr>
          <w:p>
            <w:r>
              <w:t>Qué se creía que debía ocurrir.</w:t>
            </w:r>
          </w:p>
        </w:tc>
      </w:tr>
      <w:tr>
        <w:tc>
          <w:tcPr>
            <w:tcW w:type="dxa" w:w="5083"/>
          </w:tcPr>
          <w:p>
            <w:r>
              <w:t>Resultado</w:t>
            </w:r>
          </w:p>
        </w:tc>
        <w:tc>
          <w:tcPr>
            <w:tcW w:type="dxa" w:w="5083"/>
          </w:tcPr>
          <w:p>
            <w:r>
              <w:t>Datos observados, efectos no esperados y horizonte temporal.</w:t>
            </w:r>
          </w:p>
        </w:tc>
      </w:tr>
      <w:tr>
        <w:tc>
          <w:tcPr>
            <w:tcW w:type="dxa" w:w="5083"/>
          </w:tcPr>
          <w:p>
            <w:r>
              <w:t>Aprendizaje</w:t>
            </w:r>
          </w:p>
        </w:tc>
        <w:tc>
          <w:tcPr>
            <w:tcW w:type="dxa" w:w="5083"/>
          </w:tcPr>
          <w:p>
            <w:r>
              <w:t>Qué funcionó, qué falló y por qué.</w:t>
            </w:r>
          </w:p>
        </w:tc>
      </w:tr>
      <w:tr>
        <w:tc>
          <w:tcPr>
            <w:tcW w:type="dxa" w:w="5083"/>
          </w:tcPr>
          <w:p>
            <w:r>
              <w:t>Transferibilidad</w:t>
            </w:r>
          </w:p>
        </w:tc>
        <w:tc>
          <w:tcPr>
            <w:tcW w:type="dxa" w:w="5083"/>
          </w:tcPr>
          <w:p>
            <w:r>
              <w:t>Condiciones donde la lección puede servir y donde no aplica.</w:t>
            </w:r>
          </w:p>
        </w:tc>
      </w:tr>
      <w:tr>
        <w:tc>
          <w:tcPr>
            <w:tcW w:type="dxa" w:w="5083"/>
          </w:tcPr>
          <w:p>
            <w:r>
              <w:t>Calidad</w:t>
            </w:r>
          </w:p>
        </w:tc>
        <w:tc>
          <w:tcPr>
            <w:tcW w:type="dxa" w:w="5083"/>
          </w:tcPr>
          <w:p>
            <w:r>
              <w:t>Nivel de evidencia, fuente, sesgos y datos faltantes.</w:t>
            </w:r>
          </w:p>
        </w:tc>
      </w:tr>
    </w:tbl>
    <w:p>
      <w:pPr>
        <w:pStyle w:val="Heading1"/>
      </w:pPr>
      <w:r>
        <w:t>3. Taxonomía inicial de familias</w:t>
      </w:r>
    </w:p>
    <w:p>
      <w:r>
        <w:rPr>
          <w:b/>
        </w:rPr>
        <w:t xml:space="preserve">Productos y marcas creativas: </w:t>
      </w:r>
      <w:r>
        <w:t>Costo, prototipo, validación, precio, canal, marca, propiedad intelectual.</w:t>
      </w:r>
    </w:p>
    <w:p>
      <w:r>
        <w:rPr>
          <w:b/>
        </w:rPr>
        <w:t xml:space="preserve">Talleres y formación: </w:t>
      </w:r>
      <w:r>
        <w:t>Diseño pedagógico, aforo, materiales, facilitadores, resultados de aprendizaje.</w:t>
      </w:r>
    </w:p>
    <w:p>
      <w:r>
        <w:rPr>
          <w:b/>
        </w:rPr>
        <w:t xml:space="preserve">Eventos y experiencias: </w:t>
      </w:r>
      <w:r>
        <w:t>Derechos, producción, espacio, ticket, seguridad, operación, satisfacción.</w:t>
      </w:r>
    </w:p>
    <w:p>
      <w:r>
        <w:rPr>
          <w:b/>
        </w:rPr>
        <w:t xml:space="preserve">Espacios culturales: </w:t>
      </w:r>
      <w:r>
        <w:t>Programación, ocupación, comunidad, servicios, sostenibilidad y alianzas.</w:t>
      </w:r>
    </w:p>
    <w:p>
      <w:r>
        <w:rPr>
          <w:b/>
        </w:rPr>
        <w:t xml:space="preserve">Proyectos artísticos: </w:t>
      </w:r>
      <w:r>
        <w:t>Práctica, investigación, lenguaje, producción, circulación y mediación.</w:t>
      </w:r>
    </w:p>
    <w:p>
      <w:r>
        <w:rPr>
          <w:b/>
        </w:rPr>
        <w:t xml:space="preserve">Procesos comunitarios: </w:t>
      </w:r>
      <w:r>
        <w:t>Gobernanza, participación, legitimidad, cuidado, resultados y continuidad.</w:t>
      </w:r>
    </w:p>
    <w:p>
      <w:r>
        <w:rPr>
          <w:b/>
        </w:rPr>
        <w:t xml:space="preserve">Emprendimientos creativos: </w:t>
      </w:r>
      <w:r>
        <w:t>Modelo de negocio, ventas, caja, equipo, mercado y crecimiento.</w:t>
      </w:r>
    </w:p>
    <w:p>
      <w:r>
        <w:rPr>
          <w:b/>
        </w:rPr>
        <w:t xml:space="preserve">Convocatorias y proyectos públicos: </w:t>
      </w:r>
      <w:r>
        <w:t>Elegibilidad, expediente, cronograma, contrapartida, ejecución e informes.</w:t>
      </w:r>
    </w:p>
    <w:p>
      <w:r>
        <w:rPr>
          <w:b/>
        </w:rPr>
        <w:t xml:space="preserve">Activaciones de marca: </w:t>
      </w:r>
      <w:r>
        <w:t>Afinidad, contraprestación, distribución, medición, reputación y margen.</w:t>
      </w:r>
    </w:p>
    <w:p>
      <w:r>
        <w:rPr>
          <w:b/>
        </w:rPr>
        <w:t xml:space="preserve">Proyectos ambientales y territoriales: </w:t>
      </w:r>
      <w:r>
        <w:t>Conservación, turismo, comunidad, conocimiento local y sostenibilidad.</w:t>
      </w:r>
    </w:p>
    <w:p>
      <w:pPr>
        <w:pStyle w:val="Heading1"/>
      </w:pPr>
      <w:r>
        <w:t>4. Tipos de evidencia</w:t>
      </w:r>
    </w:p>
    <w:p>
      <w:pPr>
        <w:pStyle w:val="ListBullet"/>
      </w:pPr>
      <w:r>
        <w:t>Caso documentado con resultados cuantitativos y fuente verificable.</w:t>
      </w:r>
    </w:p>
    <w:p>
      <w:pPr>
        <w:pStyle w:val="ListBullet"/>
      </w:pPr>
      <w:r>
        <w:t>Caso institucional con narrativa y evidencia parcial.</w:t>
      </w:r>
    </w:p>
    <w:p>
      <w:pPr>
        <w:pStyle w:val="ListBullet"/>
      </w:pPr>
      <w:r>
        <w:t>Evaluación independiente.</w:t>
      </w:r>
    </w:p>
    <w:p>
      <w:pPr>
        <w:pStyle w:val="ListBullet"/>
      </w:pPr>
      <w:r>
        <w:t>Reflexión del equipo ejecutor.</w:t>
      </w:r>
    </w:p>
    <w:p>
      <w:pPr>
        <w:pStyle w:val="ListBullet"/>
      </w:pPr>
      <w:r>
        <w:t>Caso del ecosistema con consentimiento y anonimización.</w:t>
      </w:r>
    </w:p>
    <w:p>
      <w:pPr>
        <w:pStyle w:val="ListBullet"/>
      </w:pPr>
      <w:r>
        <w:t>Hipótesis de diseño aún no validada.</w:t>
      </w:r>
    </w:p>
    <w:p>
      <w:pPr>
        <w:pStyle w:val="Heading1"/>
      </w:pPr>
      <w:r>
        <w:t>5. Puntuación de comparabilidad</w:t>
      </w:r>
    </w:p>
    <w:p>
      <w:r>
        <w:t>El sistema no debe recuperar casos solo por palabras similares. Se propone puntuar: tipo de proyecto, etapa, decisión pendiente, territorio, modelo de ingresos, restricciones, escala, público, recursos y marco legal. La similitud debe ir acompañada por un apartado de diferencias críticas.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E8"/>
          </w:tcPr>
          <w:p>
            <w:r>
              <w:rPr>
                <w:b/>
                <w:color w:val="111111"/>
              </w:rPr>
              <w:t>Regla de seguridad</w:t>
              <w:br/>
            </w:r>
            <w:r>
              <w:rPr>
                <w:sz w:val="20"/>
              </w:rPr>
              <w:t>Un caso es útil para generar hipótesis y preguntas, no para predecir el éxito de una persona ni producir un scoring público.</w:t>
            </w:r>
          </w:p>
        </w:tc>
      </w:tr>
    </w:tbl>
    <w:p/>
    <w:p>
      <w:pPr>
        <w:pStyle w:val="Heading1"/>
      </w:pPr>
      <w:r>
        <w:t>6. Casos institucionales incluidos en las fuentes</w:t>
      </w:r>
    </w:p>
    <w:p>
      <w:pPr>
        <w:pStyle w:val="ListBullet"/>
      </w:pPr>
      <w:r>
        <w:t>Innovation teams and labs: ejemplos de equipos que escanean problemas, desarrollan ideas, prueban soluciones y crean rutas de escala [S4].</w:t>
      </w:r>
    </w:p>
    <w:p>
      <w:pPr>
        <w:pStyle w:val="ListBullet"/>
      </w:pPr>
      <w:r>
        <w:t>UNDP Accelerator Labs: experiencias de experimentación distribuida, aprendizaje local y construcción de portafolios [S8-S9].</w:t>
      </w:r>
    </w:p>
    <w:p>
      <w:pPr>
        <w:pStyle w:val="ListBullet"/>
      </w:pPr>
      <w:r>
        <w:t>Ciudades y ecosistemas creativos: marcos y casos para analizar condiciones habilitantes, inclusión, infraestructura y gobernanza [S6-S7].</w:t>
      </w:r>
    </w:p>
    <w:p>
      <w:pPr>
        <w:pStyle w:val="ListBullet"/>
      </w:pPr>
      <w:r>
        <w:t>Métodos de innovación: repertorio para exploración, pruebas, prototipado y escalamiento [S5].</w:t>
      </w:r>
    </w:p>
    <w:p>
      <w:pPr>
        <w:pStyle w:val="Heading1"/>
      </w:pPr>
      <w:r>
        <w:t>7. Proceso de incorporación</w:t>
      </w:r>
    </w:p>
    <w:p>
      <w:pPr>
        <w:pStyle w:val="ListNumber"/>
      </w:pPr>
      <w:r>
        <w:t>Seleccionar fuente con permiso de uso o almacenamiento de metadatos.</w:t>
      </w:r>
    </w:p>
    <w:p>
      <w:pPr>
        <w:pStyle w:val="ListNumber"/>
      </w:pPr>
      <w:r>
        <w:t>Extraer el problema de decisión y el contexto, no solo el resumen del proyecto.</w:t>
      </w:r>
    </w:p>
    <w:p>
      <w:pPr>
        <w:pStyle w:val="ListNumber"/>
      </w:pPr>
      <w:r>
        <w:t>Registrar datos observados y separar interpretación del investigador.</w:t>
      </w:r>
    </w:p>
    <w:p>
      <w:pPr>
        <w:pStyle w:val="ListNumber"/>
      </w:pPr>
      <w:r>
        <w:t>Identificar resultado, límites y condiciones de transferencia.</w:t>
      </w:r>
    </w:p>
    <w:p>
      <w:pPr>
        <w:pStyle w:val="ListNumber"/>
      </w:pPr>
      <w:r>
        <w:t>Revisión humana antes de publicar el caso en la biblioteca activa.</w:t>
      </w:r>
    </w:p>
    <w:p>
      <w:pPr>
        <w:pStyle w:val="ListNumber"/>
      </w:pPr>
      <w:r>
        <w:t>Etiquetar por familias, etapa, modo de pensamiento y calidad de evidencia.</w:t>
      </w:r>
    </w:p>
    <w:p>
      <w:pPr>
        <w:pStyle w:val="ListNumber"/>
      </w:pPr>
      <w:r>
        <w:t>Evaluar periódicamente si el caso produjo recomendaciones útiles o sesgadas.</w:t>
      </w:r>
    </w:p>
    <w:p>
      <w:pPr>
        <w:pStyle w:val="Heading1"/>
      </w:pPr>
      <w:r>
        <w:t>Fuentes consultadas</w:t>
      </w:r>
    </w:p>
    <w:p>
      <w:r>
        <w:rPr>
          <w:b/>
        </w:rPr>
        <w:t xml:space="preserve">[S1] UK Government / Gary Klein (2015). Have We Learned Anything About Decision Making?. </w:t>
      </w:r>
      <w:r>
        <w:t>https://assets.publishing.service.gov.uk/media/5a80d02ae5274a2e87dbbf73/Dr_Gary_Klein__Senior_Scientist_at_MacroCognition_LLC.pdf</w:t>
      </w:r>
    </w:p>
    <w:p>
      <w:r>
        <w:rPr>
          <w:b/>
        </w:rPr>
        <w:t xml:space="preserve">[S3] Peer-reviewed open-access research (PMC) (2022). Naturalistic Decision-Making in Sport. </w:t>
      </w:r>
      <w:r>
        <w:t>https://pmc.ncbi.nlm.nih.gov/articles/PMC9252097/</w:t>
      </w:r>
    </w:p>
    <w:p>
      <w:r>
        <w:rPr>
          <w:b/>
        </w:rPr>
        <w:t xml:space="preserve">[S4] Nesta (2014). Innovation Teams and Labs: A Practice Guide. </w:t>
      </w:r>
      <w:r>
        <w:t>https://www.nesta.org.uk/documents/640/innovation_teams_and_labs_a_practice_guide.pdf</w:t>
      </w:r>
    </w:p>
    <w:p>
      <w:r>
        <w:rPr>
          <w:b/>
        </w:rPr>
        <w:t xml:space="preserve">[S5] Nesta (2019). Compendium of Innovation Methods. </w:t>
      </w:r>
      <w:r>
        <w:t>https://media.nesta.org.uk/documents/Compendium-of-Innovation-Methods-March-2019.pdf</w:t>
      </w:r>
    </w:p>
    <w:p>
      <w:r>
        <w:rPr>
          <w:b/>
        </w:rPr>
        <w:t xml:space="preserve">[S6] World Bank and UNESCO (2021). Cities, Culture, Creativity. </w:t>
      </w:r>
      <w:r>
        <w:t>https://documents1.worldbank.org/curated/en/104121621556036559/pdf/Cities-Culture-Creativity-Leveraging-Culture-and-Creativity-for-Sustainable-Urban-Development-and-Inclusive-Growth.pdf</w:t>
      </w:r>
    </w:p>
    <w:p>
      <w:r>
        <w:rPr>
          <w:b/>
        </w:rPr>
        <w:t xml:space="preserve">[S7] GIZ / World Bank (2024). Understanding Cultural and Creative Industries and Designing Approaches for its Development. </w:t>
      </w:r>
      <w:r>
        <w:t>https://thedocs.worldbank.org/en/doc/111a11b5ff7ce45ffbe4b78c7e96ee5d-0460012024/original/Understanding-Cultural-and-Creative-Industries-and-Designing-Approaches-for-its-Development-A-Guide.pdf</w:t>
      </w:r>
    </w:p>
    <w:p>
      <w:r>
        <w:rPr>
          <w:b/>
        </w:rPr>
        <w:t xml:space="preserve">[S8] UNDP Accelerator Labs (2026). 2025 Annual Report: The Full Six-year Journey of the Accelerator Labs Network. </w:t>
      </w:r>
      <w:r>
        <w:t>https://www.undp.org/sites/g/files/zskgke326/files/2026-04/2025_undp_accelerator_labs_annual_report_0.pdf</w:t>
      </w:r>
    </w:p>
    <w:p>
      <w:r>
        <w:rPr>
          <w:b/>
        </w:rPr>
        <w:t xml:space="preserve">[S9] UNDP Evaluation (2024). Mid-term Evaluation of the UNDP Innovation Facility / Accelerator Labs. </w:t>
      </w:r>
      <w:r>
        <w:t>https://erc.undp.org/evaluation/documents/download/23915</w:t>
      </w:r>
    </w:p>
    <w:p>
      <w:r>
        <w:rPr>
          <w:b/>
        </w:rPr>
        <w:t xml:space="preserve">[S11] UNDP Accelerator Labs / Nesta (2021). Collective Intelligence for Sustainable Development: 13 Stories. </w:t>
      </w:r>
      <w:r>
        <w:t>https://www.undp.org/acceleratorlabs/publications/collective-intelligence-sustainable-development-13-stories-undp-accelerator-labs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