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A6A6A"/>
          <w:sz w:val="18"/>
        </w:rPr>
        <w:t>CREATIVE OS  /  INVESTIGACIÓN</w:t>
      </w:r>
    </w:p>
    <w:p>
      <w:r>
        <w:rPr>
          <w:b/>
          <w:color w:val="111111"/>
          <w:sz w:val="56"/>
        </w:rPr>
        <w:t>Executive Review como memo de decisión</w:t>
      </w:r>
    </w:p>
    <w:p>
      <w:r>
        <w:rPr>
          <w:i/>
          <w:color w:val="666666"/>
          <w:sz w:val="22"/>
        </w:rPr>
        <w:t>Modelo para diagnóstico, recomendación, aprendizaje y trazabilidad</w:t>
      </w:r>
    </w:p>
    <w:p>
      <w:r>
        <w:rPr>
          <w:color w:val="D9FF00"/>
          <w:sz w:val="24"/>
        </w:rPr>
        <w:t>━━━━━━━━━━━━━━━━━━</w:t>
      </w:r>
    </w:p>
    <w:tbl>
      <w:tblPr>
        <w:tblW w:type="auto" w:w="0"/>
        <w:tblLayout w:type="autofit"/>
        <w:tblLook w:firstColumn="1" w:firstRow="1" w:lastColumn="0" w:lastRow="0" w:noHBand="0" w:noVBand="1" w:val="04A0"/>
      </w:tblPr>
      <w:tblGrid>
        <w:gridCol w:w="10166"/>
      </w:tblGrid>
      <w:tr>
        <w:tc>
          <w:tcPr>
            <w:tcW w:type="dxa" w:w="10166"/>
            <w:shd w:fill="F3F5E8"/>
          </w:tcPr>
          <w:p>
            <w:r>
              <w:rPr>
                <w:b/>
                <w:color w:val="111111"/>
              </w:rPr>
              <w:t>Cambio de enfoque</w:t>
              <w:br/>
            </w:r>
            <w:r>
              <w:rPr>
                <w:sz w:val="20"/>
              </w:rPr>
              <w:t>Executive Review no debe premiar la cantidad de texto ni resumir todos los módulos. Debe identificar la decisión que más condiciona el avance y producir un plan verificable.</w:t>
            </w:r>
          </w:p>
        </w:tc>
      </w:tr>
    </w:tbl>
    <w:p/>
    <w:p>
      <w:pPr>
        <w:pStyle w:val="Heading1"/>
      </w:pPr>
      <w:r>
        <w:t>1. Estructura del memo</w:t>
      </w:r>
    </w:p>
    <w:tbl>
      <w:tblPr>
        <w:tblStyle w:val="TableGrid"/>
        <w:tblW w:type="auto" w:w="0"/>
        <w:tblLook w:firstColumn="1" w:firstRow="1" w:lastColumn="0" w:lastRow="0" w:noHBand="0" w:noVBand="1" w:val="04A0"/>
      </w:tblPr>
      <w:tblGrid>
        <w:gridCol w:w="5083"/>
        <w:gridCol w:w="5083"/>
      </w:tblGrid>
      <w:tr>
        <w:tc>
          <w:tcPr>
            <w:tcW w:type="dxa" w:w="5083"/>
            <w:shd w:fill="111111"/>
          </w:tcPr>
          <w:p>
            <w:r>
              <w:rPr>
                <w:color w:val="FFFFFF"/>
              </w:rPr>
              <w:t>Sección</w:t>
            </w:r>
          </w:p>
        </w:tc>
        <w:tc>
          <w:tcPr>
            <w:tcW w:type="dxa" w:w="5083"/>
            <w:shd w:fill="111111"/>
          </w:tcPr>
          <w:p>
            <w:r>
              <w:rPr>
                <w:color w:val="FFFFFF"/>
              </w:rPr>
              <w:t>Pregunta que responde</w:t>
            </w:r>
          </w:p>
        </w:tc>
      </w:tr>
      <w:tr>
        <w:tc>
          <w:tcPr>
            <w:tcW w:type="dxa" w:w="5083"/>
          </w:tcPr>
          <w:p>
            <w:r>
              <w:t>Situación</w:t>
            </w:r>
          </w:p>
        </w:tc>
        <w:tc>
          <w:tcPr>
            <w:tcW w:type="dxa" w:w="5083"/>
          </w:tcPr>
          <w:p>
            <w:r>
              <w:t>Qué es el proyecto, qué busca ahora y qué evidencia lo sustenta.</w:t>
            </w:r>
          </w:p>
        </w:tc>
      </w:tr>
      <w:tr>
        <w:tc>
          <w:tcPr>
            <w:tcW w:type="dxa" w:w="5083"/>
          </w:tcPr>
          <w:p>
            <w:r>
              <w:t>Etapa</w:t>
            </w:r>
          </w:p>
        </w:tc>
        <w:tc>
          <w:tcPr>
            <w:tcW w:type="dxa" w:w="5083"/>
          </w:tcPr>
          <w:p>
            <w:r>
              <w:t>Etapa inferida con razones; separar documentación, validación y ejecución.</w:t>
            </w:r>
          </w:p>
        </w:tc>
      </w:tr>
      <w:tr>
        <w:tc>
          <w:tcPr>
            <w:tcW w:type="dxa" w:w="5083"/>
          </w:tcPr>
          <w:p>
            <w:r>
              <w:t>Decisión principal</w:t>
            </w:r>
          </w:p>
        </w:tc>
        <w:tc>
          <w:tcPr>
            <w:tcW w:type="dxa" w:w="5083"/>
          </w:tcPr>
          <w:p>
            <w:r>
              <w:t>La decisión que desbloquea o protege más valor.</w:t>
            </w:r>
          </w:p>
        </w:tc>
      </w:tr>
      <w:tr>
        <w:tc>
          <w:tcPr>
            <w:tcW w:type="dxa" w:w="5083"/>
          </w:tcPr>
          <w:p>
            <w:r>
              <w:t>Señales críticas</w:t>
            </w:r>
          </w:p>
        </w:tc>
        <w:tc>
          <w:tcPr>
            <w:tcW w:type="dxa" w:w="5083"/>
          </w:tcPr>
          <w:p>
            <w:r>
              <w:t>Hechos, restricciones, oportunidades y contradicciones.</w:t>
            </w:r>
          </w:p>
        </w:tc>
      </w:tr>
      <w:tr>
        <w:tc>
          <w:tcPr>
            <w:tcW w:type="dxa" w:w="5083"/>
          </w:tcPr>
          <w:p>
            <w:r>
              <w:t>Opciones</w:t>
            </w:r>
          </w:p>
        </w:tc>
        <w:tc>
          <w:tcPr>
            <w:tcW w:type="dxa" w:w="5083"/>
          </w:tcPr>
          <w:p>
            <w:r>
              <w:t>2-4 rutas razonables, incluida la opción de no actuar.</w:t>
            </w:r>
          </w:p>
        </w:tc>
      </w:tr>
      <w:tr>
        <w:tc>
          <w:tcPr>
            <w:tcW w:type="dxa" w:w="5083"/>
          </w:tcPr>
          <w:p>
            <w:r>
              <w:t>Recomendación</w:t>
            </w:r>
          </w:p>
        </w:tc>
        <w:tc>
          <w:tcPr>
            <w:tcW w:type="dxa" w:w="5083"/>
          </w:tcPr>
          <w:p>
            <w:r>
              <w:t>Ruta recomendada y condiciones de validez.</w:t>
            </w:r>
          </w:p>
        </w:tc>
      </w:tr>
      <w:tr>
        <w:tc>
          <w:tcPr>
            <w:tcW w:type="dxa" w:w="5083"/>
          </w:tcPr>
          <w:p>
            <w:r>
              <w:t>Simulación</w:t>
            </w:r>
          </w:p>
        </w:tc>
        <w:tc>
          <w:tcPr>
            <w:tcW w:type="dxa" w:w="5083"/>
          </w:tcPr>
          <w:p>
            <w:r>
              <w:t>Qué probablemente ocurre si se sigue la ruta y qué puede fallar.</w:t>
            </w:r>
          </w:p>
        </w:tc>
      </w:tr>
      <w:tr>
        <w:tc>
          <w:tcPr>
            <w:tcW w:type="dxa" w:w="5083"/>
          </w:tcPr>
          <w:p>
            <w:r>
              <w:t>Dependencias</w:t>
            </w:r>
          </w:p>
        </w:tc>
        <w:tc>
          <w:tcPr>
            <w:tcW w:type="dxa" w:w="5083"/>
          </w:tcPr>
          <w:p>
            <w:r>
              <w:t>Legal, técnica, financiera, de mercado, equipo y calendario.</w:t>
            </w:r>
          </w:p>
        </w:tc>
      </w:tr>
      <w:tr>
        <w:tc>
          <w:tcPr>
            <w:tcW w:type="dxa" w:w="5083"/>
          </w:tcPr>
          <w:p>
            <w:r>
              <w:t>Plan</w:t>
            </w:r>
          </w:p>
        </w:tc>
        <w:tc>
          <w:tcPr>
            <w:tcW w:type="dxa" w:w="5083"/>
          </w:tcPr>
          <w:p>
            <w:r>
              <w:t>Acciones, responsables, resultados esperados y secuencia.</w:t>
            </w:r>
          </w:p>
        </w:tc>
      </w:tr>
      <w:tr>
        <w:tc>
          <w:tcPr>
            <w:tcW w:type="dxa" w:w="5083"/>
          </w:tcPr>
          <w:p>
            <w:r>
              <w:t>Condiciones de aplicación</w:t>
            </w:r>
          </w:p>
        </w:tc>
        <w:tc>
          <w:tcPr>
            <w:tcW w:type="dxa" w:w="5083"/>
          </w:tcPr>
          <w:p>
            <w:r>
              <w:t>Qué debe existir para aplicar al ecosistema, agenda, financiación o medio.</w:t>
            </w:r>
          </w:p>
        </w:tc>
      </w:tr>
      <w:tr>
        <w:tc>
          <w:tcPr>
            <w:tcW w:type="dxa" w:w="5083"/>
          </w:tcPr>
          <w:p>
            <w:r>
              <w:t>Aprendizaje</w:t>
            </w:r>
          </w:p>
        </w:tc>
        <w:tc>
          <w:tcPr>
            <w:tcW w:type="dxa" w:w="5083"/>
          </w:tcPr>
          <w:p>
            <w:r>
              <w:t>Qué observar después para evaluar si la recomendación fue adecuada.</w:t>
            </w:r>
          </w:p>
        </w:tc>
      </w:tr>
    </w:tbl>
    <w:p>
      <w:pPr>
        <w:pStyle w:val="Heading1"/>
      </w:pPr>
      <w:r>
        <w:t>2. Selección de prioridad</w:t>
      </w:r>
    </w:p>
    <w:p>
      <w:r>
        <w:t>La prioridad no debe ser el módulo con menor puntaje. Debe combinar: efecto de bloqueo, irreversibilidad, riesgo, valor de la información, dependencia, costo de retraso, tiempo disponible y posibilidad de probar con bajo costo.</w:t>
      </w:r>
    </w:p>
    <w:p>
      <w:pPr>
        <w:pStyle w:val="ListBullet"/>
      </w:pPr>
      <w:r>
        <w:t>Priorizar legalidad si una autorización puede invalidar inversión, fecha o comunicación.</w:t>
      </w:r>
    </w:p>
    <w:p>
      <w:pPr>
        <w:pStyle w:val="ListBullet"/>
      </w:pPr>
      <w:r>
        <w:t>Priorizar piloto si el concepto tiene alta incertidumbre de experiencia o demanda.</w:t>
      </w:r>
    </w:p>
    <w:p>
      <w:pPr>
        <w:pStyle w:val="ListBullet"/>
      </w:pPr>
      <w:r>
        <w:t>Priorizar caja si existe riesgo de incumplir pagos o compromisos próximos.</w:t>
      </w:r>
    </w:p>
    <w:p>
      <w:pPr>
        <w:pStyle w:val="ListBullet"/>
      </w:pPr>
      <w:r>
        <w:t>Priorizar mercado si el proyecto pretende escalar sin evidencia de interés o pago.</w:t>
      </w:r>
    </w:p>
    <w:p>
      <w:pPr>
        <w:pStyle w:val="ListBullet"/>
      </w:pPr>
      <w:r>
        <w:t>Priorizar equipo si no existe responsable capaz de ejecutar la acción crítica.</w:t>
      </w:r>
    </w:p>
    <w:p>
      <w:pPr>
        <w:pStyle w:val="ListBullet"/>
      </w:pPr>
      <w:r>
        <w:t>Priorizar impacto solo cuando ya existe una intervención suficientemente definida y resultados observables.</w:t>
      </w:r>
    </w:p>
    <w:p>
      <w:pPr>
        <w:pStyle w:val="Heading1"/>
      </w:pPr>
      <w:r>
        <w:t>3. Aprendizaje de recomendaciones</w:t>
      </w:r>
    </w:p>
    <w:p>
      <w:pPr>
        <w:pStyle w:val="ListNumber"/>
      </w:pPr>
      <w:r>
        <w:t>Registrar la recomendación y las evidencias usadas.</w:t>
      </w:r>
    </w:p>
    <w:p>
      <w:pPr>
        <w:pStyle w:val="ListNumber"/>
      </w:pPr>
      <w:r>
        <w:t>Registrar si el usuario la aceptó, modificó o rechazó y por qué.</w:t>
      </w:r>
    </w:p>
    <w:p>
      <w:pPr>
        <w:pStyle w:val="ListNumber"/>
      </w:pPr>
      <w:r>
        <w:t>Convertir la recomendación aceptada en una acción observable.</w:t>
      </w:r>
    </w:p>
    <w:p>
      <w:pPr>
        <w:pStyle w:val="ListNumber"/>
      </w:pPr>
      <w:r>
        <w:t>Registrar resultado, demora, costo y efectos no previstos.</w:t>
      </w:r>
    </w:p>
    <w:p>
      <w:pPr>
        <w:pStyle w:val="ListNumber"/>
      </w:pPr>
      <w:r>
        <w:t>Evaluar si la intervención redujo la incertidumbre o mejoró una decisión.</w:t>
      </w:r>
    </w:p>
    <w:p>
      <w:pPr>
        <w:pStyle w:val="ListNumber"/>
      </w:pPr>
      <w:r>
        <w:t>Actualizar el caso de aprendizaje, no una regla automática global.</w:t>
      </w:r>
    </w:p>
    <w:p>
      <w:pPr>
        <w:pStyle w:val="ListNumber"/>
      </w:pPr>
      <w:r>
        <w:t>Someter cambios de rúbrica o lógica central a revisión humana.</w:t>
      </w:r>
    </w:p>
    <w:p>
      <w:pPr>
        <w:pStyle w:val="Heading1"/>
      </w:pPr>
      <w:r>
        <w:t>4. Indicadores de calidad</w:t>
      </w:r>
    </w:p>
    <w:p>
      <w:pPr>
        <w:pStyle w:val="ListBullet"/>
      </w:pPr>
      <w:r>
        <w:t>Porcentaje de recomendaciones que se convierten en decisiones confirmadas.</w:t>
      </w:r>
    </w:p>
    <w:p>
      <w:pPr>
        <w:pStyle w:val="ListBullet"/>
      </w:pPr>
      <w:r>
        <w:t>Porcentaje de acciones ejecutadas dentro del horizonte acordado.</w:t>
      </w:r>
    </w:p>
    <w:p>
      <w:pPr>
        <w:pStyle w:val="ListBullet"/>
      </w:pPr>
      <w:r>
        <w:t>Reducción de preguntas repetidas o innecesarias.</w:t>
      </w:r>
    </w:p>
    <w:p>
      <w:pPr>
        <w:pStyle w:val="ListBullet"/>
      </w:pPr>
      <w:r>
        <w:t>Correcciones realizadas por el usuario a hechos o clasificaciones.</w:t>
      </w:r>
    </w:p>
    <w:p>
      <w:pPr>
        <w:pStyle w:val="ListBullet"/>
      </w:pPr>
      <w:r>
        <w:t>Capacidad de anticipar una dependencia que luego afectó el proyecto.</w:t>
      </w:r>
    </w:p>
    <w:p>
      <w:pPr>
        <w:pStyle w:val="ListBullet"/>
      </w:pPr>
      <w:r>
        <w:t>Utilidad percibida del memo, no extensión del texto.</w:t>
      </w:r>
    </w:p>
    <w:p>
      <w:pPr>
        <w:pStyle w:val="ListBullet"/>
      </w:pPr>
      <w:r>
        <w:t>Número de recomendaciones que cambian correctamente ante nueva evidencia.</w:t>
      </w:r>
    </w:p>
    <w:p>
      <w:pPr>
        <w:pStyle w:val="Heading1"/>
      </w:pPr>
      <w:r>
        <w:t>5. Ejemplo conceptual: Dobla y devora</w:t>
      </w:r>
    </w:p>
    <w:p>
      <w:r>
        <w:t>El memo no debería priorizar Impacto solo porque ese módulo está vacío. La decisión de mayor dependencia es determinar una ruta legal viable para el uso de contenido audiovisual y, en paralelo, diseñar un piloto técnico de bajo riesgo. Sin esa validación, el presupuesto, la fecha, los aliados, el patrocinio y la comunicación pueden construirse sobre un supuesto inválido.</w:t>
      </w:r>
    </w:p>
    <w:p>
      <w:pPr>
        <w:pStyle w:val="Heading1"/>
      </w:pPr>
      <w:r>
        <w:t>6. Ejemplo conceptual: Kicks</w:t>
      </w:r>
    </w:p>
    <w:p>
      <w:r>
        <w:t>El memo debe reconocer costo unitario declarado y precio, calcular un margen bruto preliminar y advertir que no equivale a utilidad. La prioridad es desagregar qué incluye el costo de COP 80.000 y validar volumen, canal y disposición de pago antes de concluir que el modelo es sostenible.</w:t>
      </w:r>
    </w:p>
    <w:p>
      <w:pPr>
        <w:pStyle w:val="Heading1"/>
      </w:pPr>
      <w:r>
        <w:t>Fuentes consultadas</w:t>
      </w:r>
    </w:p>
    <w:p>
      <w:r>
        <w:rPr>
          <w:b/>
        </w:rPr>
        <w:t xml:space="preserve">[S1] UK Government / Gary Klein (2015). Have We Learned Anything About Decision Making?. </w:t>
      </w:r>
      <w:r>
        <w:t>https://assets.publishing.service.gov.uk/media/5a80d02ae5274a2e87dbbf73/Dr_Gary_Klein__Senior_Scientist_at_MacroCognition_LLC.pdf</w:t>
      </w:r>
    </w:p>
    <w:p>
      <w:r>
        <w:rPr>
          <w:b/>
        </w:rPr>
        <w:t xml:space="preserve">[S2] Peer-reviewed open-access research (PMC) (2023). Decision-Making During High-Risk Events: A Systematic Review. </w:t>
      </w:r>
      <w:r>
        <w:t>https://pmc.ncbi.nlm.nih.gov/articles/PMC10564111/</w:t>
      </w:r>
    </w:p>
    <w:p>
      <w:r>
        <w:rPr>
          <w:b/>
        </w:rPr>
        <w:t xml:space="preserve">[S3] Peer-reviewed open-access research (PMC) (2022). Naturalistic Decision-Making in Sport. </w:t>
      </w:r>
      <w:r>
        <w:t>https://pmc.ncbi.nlm.nih.gov/articles/PMC9252097/</w:t>
      </w:r>
    </w:p>
    <w:p>
      <w:r>
        <w:rPr>
          <w:b/>
        </w:rPr>
        <w:t xml:space="preserve">[S4] Nesta (2014). Innovation Teams and Labs: A Practice Guide. </w:t>
      </w:r>
      <w:r>
        <w:t>https://www.nesta.org.uk/documents/640/innovation_teams_and_labs_a_practice_guide.pdf</w:t>
      </w:r>
    </w:p>
    <w:p>
      <w:r>
        <w:rPr>
          <w:b/>
        </w:rPr>
        <w:t xml:space="preserve">[S5] Nesta (2019). Compendium of Innovation Methods. </w:t>
      </w:r>
      <w:r>
        <w:t>https://media.nesta.org.uk/documents/Compendium-of-Innovation-Methods-March-2019.pdf</w:t>
      </w:r>
    </w:p>
    <w:p>
      <w:r>
        <w:rPr>
          <w:b/>
        </w:rPr>
        <w:t xml:space="preserve">[S8] UNDP Accelerator Labs (2026). 2025 Annual Report: The Full Six-year Journey of the Accelerator Labs Network. </w:t>
      </w:r>
      <w:r>
        <w:t>https://www.undp.org/sites/g/files/zskgke326/files/2026-04/2025_undp_accelerator_labs_annual_report_0.pdf</w:t>
      </w:r>
    </w:p>
    <w:p>
      <w:r>
        <w:rPr>
          <w:b/>
        </w:rPr>
        <w:t xml:space="preserve">[S9] UNDP Evaluation (2024). Mid-term Evaluation of the UNDP Innovation Facility / Accelerator Labs. </w:t>
      </w:r>
      <w:r>
        <w:t>https://erc.undp.org/evaluation/documents/download/23915</w:t>
      </w:r>
    </w:p>
    <w:p>
      <w:r>
        <w:rPr>
          <w:b/>
        </w:rPr>
        <w:t xml:space="preserve">[S10] OECD Observatory of Public Sector Innovation (2023). Supporting Decision Making with Strategic Foresight. </w:t>
      </w:r>
      <w:r>
        <w:t>https://www.oecd.org/en/publications/supporting-decision-making-with-strategic-foresight_1d78c791-en.html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11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