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mbria" w:cs="Cambria" w:eastAsia="Cambria" w:hAnsi="Cambria"/>
          <w:b/>
          <w:bCs/>
          <w:color w:val="1F3A5F"/>
          <w:sz w:val="56"/>
          <w:szCs w:val="56"/>
        </w:rPr>
        <w:t xml:space="preserve">AI-BDM — Phase 2</w:t>
      </w:r>
    </w:p>
    <w:p>
      <w:pPr>
        <w:spacing w:after="60"/>
        <w:jc w:val="center"/>
      </w:pPr>
      <w:r>
        <w:rPr>
          <w:rFonts w:ascii="Cambria" w:cs="Cambria" w:eastAsia="Cambria" w:hAnsi="Cambria"/>
          <w:color w:val="2E6F6E"/>
          <w:sz w:val="27"/>
          <w:szCs w:val="27"/>
        </w:rPr>
        <w:t xml:space="preserve">Business Enrichment R&amp;D: Social Media, Public Records, and Review Intelligence</w:t>
      </w:r>
    </w:p>
    <w:p>
      <w:pPr>
        <w:spacing w:after="800"/>
        <w:jc w:val="center"/>
      </w:pPr>
      <w:r>
        <w:rPr>
          <w:rFonts w:ascii="Calibri" w:cs="Calibri" w:eastAsia="Calibri" w:hAnsi="Calibri"/>
          <w:i/>
          <w:iCs/>
          <w:color w:val="5B6672"/>
          <w:sz w:val="22"/>
          <w:szCs w:val="22"/>
        </w:rPr>
        <w:t xml:space="preserve">Feasibility, cost, and legal-risk research for manager review</w:t>
      </w:r>
    </w:p>
    <w:p>
      <w:pPr>
        <w:spacing w:after="40"/>
        <w:jc w:val="center"/>
      </w:pPr>
      <w:r>
        <w:rPr>
          <w:rFonts w:ascii="Calibri" w:cs="Calibri" w:eastAsia="Calibri" w:hAnsi="Calibri"/>
          <w:color w:val="5B6672"/>
          <w:sz w:val="20"/>
          <w:szCs w:val="20"/>
        </w:rPr>
        <w:t xml:space="preserve">Prepared: July 2026</w:t>
      </w:r>
    </w:p>
    <w:p>
      <w:r>
        <w:br w:type="page"/>
      </w:r>
    </w:p>
    <w:p>
      <w:pPr>
        <w:pStyle w:val="Heading1"/>
        <w:spacing w:after="240" w:before="48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Executive Summary</w:t>
      </w:r>
    </w:p>
    <w:p>
      <w:pPr>
        <w:spacing w:after="160"/>
        <w:jc w:val="both"/>
      </w:pPr>
      <w:r>
        <w:rPr>
          <w:rFonts w:ascii="Calibri" w:cs="Calibri" w:eastAsia="Calibri" w:hAnsi="Calibri"/>
          <w:sz w:val="22"/>
          <w:szCs w:val="22"/>
        </w:rPr>
        <w:t xml:space="preserve">Phase 2 asks whether AI-BDM can enrich each discovered business with data beyond its own website: social media presence (LinkedIn, Facebook, Instagram, Indeed, Glassdoor, Twitter/X), public business registries, named decision-maker contacts (CEO/owner/HR/management), customer review platforms, and “vulnerabilities” (business weaknesses a salesperson can act on, and/or literal technology security weaknesses) — synthesized into a single per-business breakdown that strengthens a lead beyond what the current pipeline already finds.</w:t>
      </w:r>
    </w:p>
    <w:p>
      <w:pPr>
        <w:spacing w:after="160"/>
        <w:jc w:val="both"/>
      </w:pPr>
      <w:r>
        <w:rPr>
          <w:rFonts w:ascii="Calibri" w:cs="Calibri" w:eastAsia="Calibri" w:hAnsi="Calibri"/>
          <w:sz w:val="22"/>
          <w:szCs w:val="22"/>
        </w:rPr>
        <w:t xml:space="preserve">The short answer: this is achievable, but the value splits cleanly into two tiers with very different risk profiles. Company-level facts (registration data, tech stack, review sentiment, decision-maker contact details) are obtainable through legitimate, reasonably priced, purpose-built products — OpenCorporates, Google Places/Yelp, and contact-enrichment tools like Apollo.io or Hunter.io. Social-platform scraping (LinkedIn, Facebook, Instagram, Twitter/X, Glassdoor) is technically cheap and easy via marketplaces like Apify, but every one of those platforms' Terms of Service prohibits it, and LinkedIn has already put a competitor (Proxycurl) out of business over exactly this — a $500,000 judgment, a permanent injunction, and forced destruction of the scraped dataset. Compiling data about named individuals specifically also raises GDPR/CCPA exposure that sits on top of, and is distinct from, the platform ToS question.</w:t>
      </w:r>
    </w:p>
    <w:p>
      <w:pPr>
        <w:spacing w:after="160"/>
        <w:jc w:val="both"/>
      </w:pPr>
      <w:r>
        <w:rPr>
          <w:rFonts w:ascii="Calibri" w:cs="Calibri" w:eastAsia="Calibri" w:hAnsi="Calibri"/>
          <w:sz w:val="22"/>
          <w:szCs w:val="22"/>
        </w:rPr>
        <w:t xml:space="preserve">This document lays out, source by source, what data is realistically obtainable, at what cost, under what legal exposure, and recommends a prioritized rollout that captures most of the value with the least risk.</w:t>
      </w:r>
    </w:p>
    <w:p>
      <w:pPr>
        <w:pStyle w:val="Heading1"/>
        <w:spacing w:after="240" w:before="480"/>
      </w:pPr>
      <w:r>
        <w:t xml:space="preserve">2. Current State — What Already Exists</w:t>
      </w:r>
    </w:p>
    <w:p>
      <w:pPr>
        <w:spacing w:after="160"/>
        <w:jc w:val="both"/>
      </w:pPr>
      <w:r>
        <w:rPr>
          <w:rFonts w:ascii="Calibri" w:cs="Calibri" w:eastAsia="Calibri" w:hAnsi="Calibri"/>
          <w:sz w:val="22"/>
          <w:szCs w:val="22"/>
        </w:rPr>
        <w:t xml:space="preserve">Before proposing new work, it's worth being precise about what Phase 1 already built, since two of the requested capabilities are partially in place.</w:t>
      </w:r>
    </w:p>
    <w:p>
      <w:pPr>
        <w:pStyle w:val="Heading3"/>
        <w:spacing w:after="120" w:before="240"/>
      </w:pPr>
      <w:r>
        <w:t xml:space="preserve">linkedin_finder.py — already built</w:t>
      </w:r>
    </w:p>
    <w:p>
      <w:pPr>
        <w:spacing w:after="160"/>
        <w:jc w:val="both"/>
      </w:pPr>
      <w:r>
        <w:rPr>
          <w:rFonts w:ascii="Calibri" w:cs="Calibri" w:eastAsia="Calibri" w:hAnsi="Calibri"/>
          <w:sz w:val="22"/>
          <w:szCs w:val="22"/>
        </w:rPr>
        <w:t xml:space="preserve">Finds each business's LinkedIn Company page URL via a Google search (through the same Serper API the rest of the pipeline uses), not by scraping LinkedIn directly — a deliberate design choice made specifically because LinkedIn's Terms of Service forbid automated collection (see Section 3.1). It returns the page URL and a confidence score, but does not currently fetch details FROM that page (employee count, industry tags, About text, etc.) — that part is new work.</w:t>
      </w:r>
    </w:p>
    <w:p>
      <w:pPr>
        <w:pStyle w:val="Heading3"/>
        <w:spacing w:after="120" w:before="240"/>
      </w:pPr>
      <w:r>
        <w:t xml:space="preserve">tech_stack.py — already built</w:t>
      </w:r>
    </w:p>
    <w:p>
      <w:pPr>
        <w:spacing w:after="160"/>
        <w:jc w:val="both"/>
      </w:pPr>
      <w:r>
        <w:rPr>
          <w:rFonts w:ascii="Calibri" w:cs="Calibri" w:eastAsia="Calibri" w:hAnsi="Calibri"/>
          <w:sz w:val="22"/>
          <w:szCs w:val="22"/>
        </w:rPr>
        <w:t xml:space="preserve">Runs Wappalyzer against every crawled homepage to detect a business's CMS, analytics, e-commerce platform, and other technology, already stored per business. This is the natural foundation for a technical “vulnerability” angle (Section 5.2) — the detection already exists; only the CVE cross-reference step would be new.</w:t>
      </w:r>
    </w:p>
    <w:p>
      <w:pPr>
        <w:pStyle w:val="Heading1"/>
        <w:spacing w:after="240" w:before="480"/>
      </w:pPr>
      <w:r>
        <w:t xml:space="preserve">3. Social Media Platforms</w:t>
      </w:r>
    </w:p>
    <w:p>
      <w:pPr>
        <w:pStyle w:val="Heading2"/>
        <w:spacing w:after="160" w:before="320"/>
      </w:pPr>
      <w:r>
        <w:t xml:space="preserve">3.1 LinkedIn</w:t>
      </w:r>
    </w:p>
    <w:p>
      <w:pPr>
        <w:spacing w:after="160"/>
        <w:jc w:val="both"/>
      </w:pPr>
      <w:r>
        <w:rPr>
          <w:rFonts w:ascii="Calibri" w:cs="Calibri" w:eastAsia="Calibri" w:hAnsi="Calibri"/>
          <w:sz w:val="22"/>
          <w:szCs w:val="22"/>
        </w:rPr>
        <w:t xml:space="preserve">LinkedIn's Terms of Service contractually prohibit automated data collection regardless of whether the data is publicly visible, and LinkedIn enforces this through account termination, IP blocking, and civil litigation. Courts have found scraping in breach of LinkedIn's User Agreement even when the underlying data was technically public — in hiQ Labs v. LinkedIn, public data scraping was ultimately found legal under the CFAA, but hiQ still lost on the breach-of-contract/state-tort claims: the case settled with a $500,000 judgment against hiQ, a permanent injunction barring it from scraping LinkedIn again, and destruction of its entire scraped dataset.</w:t>
      </w:r>
    </w:p>
    <w:p>
      <w:pPr>
        <w:spacing w:after="160"/>
        <w:jc w:val="both"/>
      </w:pPr>
      <w:r>
        <w:rPr>
          <w:rFonts w:ascii="Calibri" w:cs="Calibri" w:eastAsia="Calibri" w:hAnsi="Calibri"/>
          <w:sz w:val="22"/>
          <w:szCs w:val="22"/>
        </w:rPr>
        <w:t xml:space="preserve">More directly relevant: LinkedIn Corp. v. Nubela Pte. Ltd. (Proxycurl), filed in the Northern District of California in January 2025, targeted a commercial “LinkedIn data API” business model — functionally identical to what an Apify LinkedIn Actor does today. Proxycurl shut down entirely as a result. This is the direct precedent for any approach that resells or operationalizes scraped LinkedIn data, including third-party marketplace Actors (Section 4.4).</w:t>
      </w:r>
    </w:p>
    <w:p>
      <w:pPr>
        <w:spacing w:after="160"/>
        <w:jc w:val="both"/>
      </w:pPr>
      <w:r>
        <w:rPr>
          <w:rFonts w:ascii="Calibri" w:cs="Calibri" w:eastAsia="Calibri" w:hAnsi="Calibri"/>
          <w:sz w:val="22"/>
          <w:szCs w:val="22"/>
        </w:rPr>
        <w:t xml:space="preserve">LinkedIn's own official API exists but is gated behind a partnership approval process with an approximately 5% acceptance rate and roughly six-month wait times — realistically inaccessible for a tool at AI-BDM's current stage.</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keep the existing Google-search-based discovery approach (already built) for finding the LinkedIn URL itself — this does not violate LinkedIn's terms, since it never touches linkedin.com directly. Do NOT scrape LinkedIn pages for employee counts, owner names, or post activity, and do not route this through Apify or similar Actor marketplaces (Section 4.4) — the legal exposure (breach of contract, potential account/IP bans affecting the whole pipeline, and a live precedent of the exact business model being sued out of existence) outweighs the value for a B2B tool operating at scale.</w:t>
      </w:r>
    </w:p>
    <w:p>
      <w:pPr>
        <w:pStyle w:val="Heading2"/>
        <w:spacing w:after="160" w:before="320"/>
      </w:pPr>
      <w:r>
        <w:t xml:space="preserve">3.2 Facebook</w:t>
      </w:r>
    </w:p>
    <w:p>
      <w:pPr>
        <w:spacing w:after="160"/>
        <w:jc w:val="both"/>
      </w:pPr>
      <w:r>
        <w:rPr>
          <w:rFonts w:ascii="Calibri" w:cs="Calibri" w:eastAsia="Calibri" w:hAnsi="Calibri"/>
          <w:sz w:val="22"/>
          <w:szCs w:val="22"/>
        </w:rPr>
        <w:t xml:space="preserve">Meta's official Graph API requires App Review before any meaningful access, and reading a Page's public content (posts, feed) specifically requires the “Page Public Content Access” feature, which itself needs a separate review. Basic public metadata (like counts, follower counts, About text) is available at a lighter tier (“Page Public Metadata Access”) without full review, but is still gated behind Meta's approval process and subject to strict rate limits (roughly 200 calls per active user per rolling hour at the app level).</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pursue Page Public Metadata Access for basic signals (like/follower counts, About text) if Facebook presence proves valuable in practice — the review process is lighter than full content access, and the data (follower counts as a rough proxy for business scale) is genuinely useful for the “scale of business” question asked. Do not attempt to read post content or engagement history without full App Review.</w:t>
      </w:r>
    </w:p>
    <w:p>
      <w:pPr>
        <w:pStyle w:val="Heading2"/>
        <w:spacing w:after="160" w:before="320"/>
      </w:pPr>
      <w:r>
        <w:t xml:space="preserve">3.3 Instagram</w:t>
      </w:r>
    </w:p>
    <w:p>
      <w:pPr>
        <w:spacing w:after="160"/>
        <w:jc w:val="both"/>
      </w:pPr>
      <w:r>
        <w:rPr>
          <w:rFonts w:ascii="Calibri" w:cs="Calibri" w:eastAsia="Calibri" w:hAnsi="Calibri"/>
          <w:sz w:val="22"/>
          <w:szCs w:val="22"/>
        </w:rPr>
        <w:t xml:space="preserve">As of December 2024 the old Instagram Basic Display API is fully deprecated — the Graph API is now the only access path. Critically, the Graph API is designed for a business to manage its OWN account, not to read OTHER businesses' public profiles: it explicitly does not expose other users' profiles, follower lists, or general discovery data. There is no official, sanctioned way to bulk-read arbitrary Instagram business profiles.</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do not build Instagram enrichment via official API — it is not designed for this use case. If Instagram presence matters, the only realistic signal is whatever a business's own homepage already links to (an Instagram handle/URL), which the existing crawler likely already captures incidentally as an outbound link.</w:t>
      </w:r>
    </w:p>
    <w:p>
      <w:pPr>
        <w:pStyle w:val="Heading2"/>
        <w:spacing w:after="160" w:before="320"/>
      </w:pPr>
      <w:r>
        <w:t xml:space="preserve">3.4 Indeed</w:t>
      </w:r>
    </w:p>
    <w:p>
      <w:pPr>
        <w:spacing w:after="160"/>
        <w:jc w:val="both"/>
      </w:pPr>
      <w:r>
        <w:rPr>
          <w:rFonts w:ascii="Calibri" w:cs="Calibri" w:eastAsia="Calibri" w:hAnsi="Calibri"/>
          <w:sz w:val="22"/>
          <w:szCs w:val="22"/>
        </w:rPr>
        <w:t xml:space="preserve">Indeed discontinued its public Publisher API in 2023 and has no official, current way to programmatically access job listings, company reviews, or salary data. What exists instead is a landscape of third-party scraping services (Apify, Netrows, and similar) that scrape Indeed on AI-BDM's behalf and resell the data — legally, this shifts (but does not eliminate) ToS risk onto that intermediary, at a real per-record cost.</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Indeed is the weakest candidate of the four platforms — no first-party path exists, and third-party resellers add ongoing cost and second-hand ToS exposure for comparatively low incremental value (employer review sentiment is also obtainable through Google/Trustpilot, covered below, with cleaner legal standing).</w:t>
      </w:r>
    </w:p>
    <w:p>
      <w:pPr>
        <w:pStyle w:val="Heading2"/>
        <w:spacing w:after="160" w:before="320"/>
      </w:pPr>
      <w:r>
        <w:t xml:space="preserve">3.5 Glassdoor</w:t>
      </w:r>
    </w:p>
    <w:p>
      <w:pPr>
        <w:spacing w:after="160"/>
        <w:jc w:val="both"/>
      </w:pPr>
      <w:r>
        <w:rPr>
          <w:rFonts w:ascii="Calibri" w:cs="Calibri" w:eastAsia="Calibri" w:hAnsi="Calibri"/>
          <w:sz w:val="22"/>
          <w:szCs w:val="22"/>
        </w:rPr>
        <w:t xml:space="preserve">Glassdoor's public developer API is gone entirely — Glassdoor now only offers data access through undisclosed-pricing enterprise partnerships. The only remaining route to job-listing, salary, and employer-review data is third-party scraping (Apify Actors, covered in Section 4.4), which puts Glassdoor in the same ToS-breach category as LinkedIn, just without an active lawsuit precedent yet.</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same treatment as LinkedIn — do not build. Employer-review sentiment is obtainable through Google Places/Yelp (Section 6) with clean legal standing instead.</w:t>
      </w:r>
    </w:p>
    <w:p>
      <w:pPr>
        <w:pStyle w:val="Heading2"/>
        <w:spacing w:after="160" w:before="320"/>
      </w:pPr>
      <w:r>
        <w:t xml:space="preserve">3.6 Twitter / X</w:t>
      </w:r>
    </w:p>
    <w:p>
      <w:pPr>
        <w:spacing w:after="160"/>
        <w:jc w:val="both"/>
      </w:pPr>
      <w:r>
        <w:rPr>
          <w:rFonts w:ascii="Calibri" w:cs="Calibri" w:eastAsia="Calibri" w:hAnsi="Calibri"/>
          <w:sz w:val="22"/>
          <w:szCs w:val="22"/>
        </w:rPr>
        <w:t xml:space="preserve">X eliminated its free API tier entirely in February 2026, replacing the old subscription-tier model with pay-per-use pricing by default ($0.005 per post read, $0.01 per user read, $0.015 per post created) with no free allowance for new developers. Legacy subscription tiers still exist for existing customers only (Basic $200/mo, Pro $5,000/mo, Enterprise ~$42,000/mo) but are closed to new signups. Beyond cost, X has been notably more aggressive than the other platforms here at IP-banning and pursuing scrapers legally.</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lowest priority of every platform researched — worse cost-to-value ratio than LinkedIn or Facebook, no meaningful free tier, and the highest scraper-enforcement risk on the list. Do not build unless a specific, high-value use case justifies the pay-per-use cost.</w:t>
      </w:r>
    </w:p>
    <w:p>
      <w:pPr>
        <w:pStyle w:val="Heading1"/>
        <w:spacing w:after="240" w:before="480"/>
      </w:pPr>
      <w:r>
        <w:t xml:space="preserve">4. Scraping Infrastructure Options</w:t>
      </w:r>
    </w:p>
    <w:p>
      <w:pPr>
        <w:spacing w:after="160"/>
        <w:jc w:val="both"/>
      </w:pPr>
      <w:r>
        <w:rPr>
          <w:rFonts w:ascii="Calibri" w:cs="Calibri" w:eastAsia="Calibri" w:hAnsi="Calibri"/>
          <w:sz w:val="22"/>
          <w:szCs w:val="22"/>
        </w:rPr>
        <w:t xml:space="preserve">Independent of WHICH platform is being read, there are five distinct ways to actually perform the scraping. This section catalogs them since the same infrastructure choice applies across LinkedIn, Glassdoor, Instagram, Facebook, and Twitter/X alike, and AI-BDM already uses one of these categories (Section 4.2) for general website scraping today.</w:t>
      </w:r>
    </w:p>
    <w:p>
      <w:pPr>
        <w:pStyle w:val="Heading2"/>
        <w:spacing w:after="160" w:before="320"/>
      </w:pPr>
      <w:r>
        <w:t xml:space="preserve">4.1 DIY / self-hosted</w:t>
      </w:r>
    </w:p>
    <w:p>
      <w:pPr>
        <w:spacing w:after="160"/>
        <w:jc w:val="both"/>
      </w:pPr>
      <w:r>
        <w:rPr>
          <w:rFonts w:ascii="Calibri" w:cs="Calibri" w:eastAsia="Calibri" w:hAnsi="Calibri"/>
          <w:sz w:val="22"/>
          <w:szCs w:val="22"/>
        </w:rPr>
        <w:t xml:space="preserve">Writing and running scrapers on AI-BDM's own infrastructure — static-page libraries (Python requests + BeautifulSoup, Scrapy) for simple pages, or headless browsers (Playwright, Puppeteer, Selenium) for JavaScript-heavy or protected sites. Zero licensing cost, but no bundled proxy/anti-bot handling — that has to be sourced separately (Section 4.2) — plus ongoing engineering and maintenance time as target sites change their markup and defenses.</w:t>
      </w:r>
    </w:p>
    <w:p>
      <w:pPr>
        <w:pStyle w:val="Heading2"/>
        <w:spacing w:after="160" w:before="320"/>
      </w:pPr>
      <w:r>
        <w:t xml:space="preserve">4.2 Proxy &amp; anti-bot unblocking APIs</w:t>
      </w:r>
    </w:p>
    <w:p>
      <w:pPr>
        <w:spacing w:after="160"/>
        <w:jc w:val="both"/>
      </w:pPr>
      <w:r>
        <w:rPr>
          <w:rFonts w:ascii="Calibri" w:cs="Calibri" w:eastAsia="Calibri" w:hAnsi="Calibri"/>
          <w:sz w:val="22"/>
          <w:szCs w:val="22"/>
        </w:rPr>
        <w:t xml:space="preserve">Services that handle IP rotation, CAPTCHA-solving, and JS rendering while AI-BDM's own code still does the parsing. ZenRows and Scrape.do (already integrated into the Phase 1 pipeline as the Tier-2 proxy) belong to this category; the table below adds the other major players for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00"/>
      </w:tblGrid>
      <w:tr>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Service</w:t>
            </w:r>
          </w:p>
        </w:tc>
        <w:tc>
          <w:tcPr>
            <w:tcW w:type="dxa" w:w="34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Entry price</w:t>
            </w:r>
          </w:p>
        </w:tc>
        <w:tc>
          <w:tcPr>
            <w:tcW w:type="dxa" w:w="44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Notes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ZenRows (in use)</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$69.99/mo (Developer) → $2,999/mo (Business 3k)</w:t>
            </w:r>
          </w:p>
        </w:tc>
        <w:tc>
          <w:tcPr>
            <w:tcW w:type="dxa" w:w="4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Shared credit balance across API/Browser/Proxies; billed only for successful requests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Scrape.do (in use)</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(1K credits) / $29/mo (250K calls) / $99/mo (JS rendering)</w:t>
            </w:r>
          </w:p>
        </w:tc>
        <w:tc>
          <w:tcPr>
            <w:tcW w:type="dxa" w:w="4400"/>
            <w:tcMar>
              <w:top w:type="dxa" w:w="100"/>
              <w:left w:type="dxa" w:w="120"/>
              <w:bottom w:type="dxa" w:w="100"/>
              <w:right w:type="dxa" w:w="120"/>
            </w:tcMar>
          </w:tcPr>
          <w:p>
            <w:r>
              <w:rPr>
                <w:rFonts w:ascii="Calibri" w:cs="Calibri" w:eastAsia="Calibri" w:hAnsi="Calibri"/>
                <w:b w:val="false"/>
                <w:bCs w:val="false"/>
                <w:color w:val="000000"/>
                <w:sz w:val="19"/>
                <w:szCs w:val="19"/>
              </w:rPr>
              <w:t xml:space="preserve">Residential proxies gated behind the $249/mo tier</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Bright Data</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~$0.75–$3 per 1,000 requests, or $8.40/GB residential</w:t>
            </w:r>
          </w:p>
        </w:tc>
        <w:tc>
          <w:tcPr>
            <w:tcW w:type="dxa" w:w="4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Cost-competitive above ~$200/mo committed spend</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Oxylabs</w:t>
            </w:r>
          </w:p>
        </w:tc>
        <w:tc>
          <w:tcPr>
            <w:tcW w:type="dxa" w:w="3400"/>
            <w:tcMar>
              <w:top w:type="dxa" w:w="100"/>
              <w:left w:type="dxa" w:w="120"/>
              <w:bottom w:type="dxa" w:w="100"/>
              <w:right w:type="dxa" w:w="120"/>
            </w:tcMar>
          </w:tcPr>
          <w:p>
            <w:r>
              <w:rPr>
                <w:rFonts w:ascii="Calibri" w:cs="Calibri" w:eastAsia="Calibri" w:hAnsi="Calibri"/>
                <w:b w:val="false"/>
                <w:bCs w:val="false"/>
                <w:color w:val="000000"/>
                <w:sz w:val="19"/>
                <w:szCs w:val="19"/>
              </w:rPr>
              <w:t xml:space="preserve">$49/mo (Scraper API) · $30–$2,500/mo (residential)</w:t>
            </w:r>
          </w:p>
        </w:tc>
        <w:tc>
          <w:tcPr>
            <w:tcW w:type="dxa" w:w="4400"/>
            <w:tcMar>
              <w:top w:type="dxa" w:w="100"/>
              <w:left w:type="dxa" w:w="120"/>
              <w:bottom w:type="dxa" w:w="100"/>
              <w:right w:type="dxa" w:w="120"/>
            </w:tcMar>
          </w:tcPr>
          <w:p>
            <w:r>
              <w:rPr>
                <w:rFonts w:ascii="Calibri" w:cs="Calibri" w:eastAsia="Calibri" w:hAnsi="Calibri"/>
                <w:b w:val="false"/>
                <w:bCs w:val="false"/>
                <w:color w:val="000000"/>
                <w:sz w:val="19"/>
                <w:szCs w:val="19"/>
              </w:rPr>
              <w:t xml:space="preserve">Best rates behind $499+/mo enterprise tiers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ScraperAPI</w:t>
            </w:r>
          </w:p>
        </w:tc>
        <w:tc>
          <w:tcPr>
            <w:tcW w:type="dxa" w:w="3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(1K credits) / $49/mo (100K credits) / up to $1,975/mo</w:t>
            </w:r>
          </w:p>
        </w:tc>
        <w:tc>
          <w:tcPr>
            <w:tcW w:type="dxa" w:w="4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Credit-weighted by target: 1 credit/page, 25 for Google, 30 for LinkedIn</w:t>
            </w:r>
          </w:p>
        </w:tc>
      </w:tr>
    </w:tbl>
    <w:p>
      <w:pPr>
        <w:pStyle w:val="Heading2"/>
        <w:spacing w:after="160" w:before="320"/>
      </w:pPr>
      <w:r>
        <w:t xml:space="preserve">4.3 No-code visual scrapers</w:t>
      </w:r>
    </w:p>
    <w:p>
      <w:pPr>
        <w:spacing w:after="160"/>
        <w:jc w:val="both"/>
      </w:pPr>
      <w:r>
        <w:rPr>
          <w:rFonts w:ascii="Calibri" w:cs="Calibri" w:eastAsia="Calibri" w:hAnsi="Calibri"/>
          <w:sz w:val="22"/>
          <w:szCs w:val="22"/>
        </w:rPr>
        <w:t xml:space="preserve">Point-and-click tools aimed at non-engineers — Octoparse (Free / $75–$99/mo Standard / $209–$249/mo Professional) and ParseHub (Free / $189/mo Standard / $599/mo Professional). Not a natural fit here; AI-BDM already has engineering resources and an established pipeline, which is exactly the audience these tools are built to avoid needing.</w:t>
      </w:r>
    </w:p>
    <w:p>
      <w:pPr>
        <w:pStyle w:val="Heading2"/>
        <w:spacing w:after="160" w:before="320"/>
      </w:pPr>
      <w:r>
        <w:t xml:space="preserve">4.4 Actor / marketplace platforms — Apify</w:t>
      </w:r>
    </w:p>
    <w:p>
      <w:pPr>
        <w:spacing w:after="160"/>
        <w:jc w:val="both"/>
      </w:pPr>
      <w:r>
        <w:rPr>
          <w:rFonts w:ascii="Calibri" w:cs="Calibri" w:eastAsia="Calibri" w:hAnsi="Calibri"/>
          <w:sz w:val="22"/>
          <w:szCs w:val="22"/>
        </w:rPr>
        <w:t xml:space="preserve">Apify hosts a marketplace of pre-built scrapers (“Actors”) published by third-party developers, including thousands targeting LinkedIn, Glassdoor, Instagram, Facebook, and Indeed specifically. Rather than building a scraper, AI-BDM would rent per-run usage. Platform pricing: Free ($5 credit) / Starter $29/mo / Scale $199/mo / Business $999/mo / Enterprise custom, with compute billed at $0.13–$0.20 per Compute Unit (1 GB-RAM-hour) depending on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Platform</w:t>
            </w:r>
          </w:p>
        </w:tc>
        <w:tc>
          <w:tcPr>
            <w:tcW w:type="dxa" w:w="7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Example Actor pricing</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LinkedIn</w:t>
            </w:r>
          </w:p>
        </w:tc>
        <w:tc>
          <w:tcPr>
            <w:tcW w:type="dxa" w:w="7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$1–$10 per 1,000 results (companies/profiles/posts)</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19"/>
                <w:szCs w:val="19"/>
              </w:rPr>
              <w:t xml:space="preserve">Glassdoor</w:t>
            </w:r>
          </w:p>
        </w:tc>
        <w:tc>
          <w:tcPr>
            <w:tcW w:type="dxa" w:w="7600"/>
            <w:tcMar>
              <w:top w:type="dxa" w:w="100"/>
              <w:left w:type="dxa" w:w="120"/>
              <w:bottom w:type="dxa" w:w="100"/>
              <w:right w:type="dxa" w:w="120"/>
            </w:tcMar>
          </w:tcPr>
          <w:p>
            <w:r>
              <w:rPr>
                <w:rFonts w:ascii="Calibri" w:cs="Calibri" w:eastAsia="Calibri" w:hAnsi="Calibri"/>
                <w:b w:val="false"/>
                <w:bCs w:val="false"/>
                <w:color w:val="000000"/>
                <w:sz w:val="19"/>
                <w:szCs w:val="19"/>
              </w:rPr>
              <w:t xml:space="preserve">$0.4–$0.8 per 1,000 jobs; ~$3 per 1,000 reviews</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Instagram</w:t>
            </w:r>
          </w:p>
        </w:tc>
        <w:tc>
          <w:tcPr>
            <w:tcW w:type="dxa" w:w="7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$1.00–$1.90 per 1,000 results (posts/profiles/hashtags)</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19"/>
                <w:szCs w:val="19"/>
              </w:rPr>
              <w:t xml:space="preserve">Facebook</w:t>
            </w:r>
          </w:p>
        </w:tc>
        <w:tc>
          <w:tcPr>
            <w:tcW w:type="dxa" w:w="7600"/>
            <w:tcMar>
              <w:top w:type="dxa" w:w="100"/>
              <w:left w:type="dxa" w:w="120"/>
              <w:bottom w:type="dxa" w:w="100"/>
              <w:right w:type="dxa" w:w="120"/>
            </w:tcMar>
          </w:tcPr>
          <w:p>
            <w:r>
              <w:rPr>
                <w:rFonts w:ascii="Calibri" w:cs="Calibri" w:eastAsia="Calibri" w:hAnsi="Calibri"/>
                <w:b w:val="false"/>
                <w:bCs w:val="false"/>
                <w:color w:val="000000"/>
                <w:sz w:val="19"/>
                <w:szCs w:val="19"/>
              </w:rPr>
              <w:t xml:space="preserve">$2.00–$6.60 per 1,000 results (posts/pages/ads/groups)</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Indeed</w:t>
            </w:r>
          </w:p>
        </w:tc>
        <w:tc>
          <w:tcPr>
            <w:tcW w:type="dxa" w:w="7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~$1–$3 per 1,000 listings (comparable range, no official API)</w:t>
            </w:r>
          </w:p>
        </w:tc>
      </w:tr>
    </w:tbl>
    <w:p>
      <w:pPr>
        <w:spacing w:after="160"/>
        <w:jc w:val="both"/>
      </w:pPr>
      <w:r>
        <w:rPr>
          <w:rFonts w:ascii="Calibri" w:cs="Calibri" w:eastAsia="Calibri" w:hAnsi="Calibri"/>
          <w:b/>
          <w:bCs/>
          <w:i w:val="false"/>
          <w:iCs w:val="false"/>
          <w:color w:val="9A3B1F"/>
          <w:sz w:val="22"/>
          <w:szCs w:val="22"/>
        </w:rPr>
        <w:t xml:space="preserve">The catch: </w:t>
      </w:r>
      <w:r>
        <w:rPr>
          <w:rFonts w:ascii="Calibri" w:cs="Calibri" w:eastAsia="Calibri" w:hAnsi="Calibri"/>
          <w:b w:val="false"/>
          <w:bCs w:val="false"/>
          <w:i w:val="false"/>
          <w:iCs w:val="false"/>
          <w:color w:val="9A3B1F"/>
          <w:sz w:val="22"/>
          <w:szCs w:val="22"/>
        </w:rPr>
        <w:t xml:space="preserve">Apify itself is legal software — the risk lives entirely in what a given Actor does. Renting a $3-per-1,000 LinkedIn or Glassdoor Actor does not move AI-BDM outside the ToS-breach exposure described in Sections 3.1 and 3.5; it only changes who wrote the scraping code, not whose account is doing the scraping when it runs. This is the same underlying business model that got Proxycurl sued out of existence.</w:t>
      </w:r>
    </w:p>
    <w:p>
      <w:pPr>
        <w:pStyle w:val="Heading2"/>
        <w:spacing w:after="160" w:before="320"/>
      </w:pPr>
      <w:r>
        <w:t xml:space="preserve">4.5 Pre-collected datasets / data-as-a-service</w:t>
      </w:r>
    </w:p>
    <w:p>
      <w:pPr>
        <w:spacing w:after="160"/>
        <w:jc w:val="both"/>
      </w:pPr>
      <w:r>
        <w:rPr>
          <w:rFonts w:ascii="Calibri" w:cs="Calibri" w:eastAsia="Calibri" w:hAnsi="Calibri"/>
          <w:sz w:val="22"/>
          <w:szCs w:val="22"/>
        </w:rPr>
        <w:t xml:space="preserve">An alternative to live scraping entirely: buying access to data another company already collected under its own (typically licensed or opt-in) terms. Bright Data sells a pre-collected LinkedIn dataset product (priced by dataset access rather than live scraping); Coresignal and People Data Labs sell similar B2B firmographic/employee datasets as an API. These generally cost more per record than a live Apify Actor, but sit on meaningfully cleaner legal ground for LinkedIn-adjacent data specifically, since AI-BDM would not itself be the party breaching the source platform's ToS.</w:t>
      </w:r>
    </w:p>
    <w:p>
      <w:pPr>
        <w:pStyle w:val="Heading1"/>
        <w:spacing w:after="240" w:before="480"/>
      </w:pPr>
      <w:r>
        <w:t xml:space="preserve">5. Public Business Registries</w:t>
      </w:r>
    </w:p>
    <w:p>
      <w:pPr>
        <w:spacing w:after="160"/>
        <w:jc w:val="both"/>
      </w:pPr>
      <w:r>
        <w:rPr>
          <w:rFonts w:ascii="Calibri" w:cs="Calibri" w:eastAsia="Calibri" w:hAnsi="Calibri"/>
          <w:sz w:val="22"/>
          <w:szCs w:val="22"/>
        </w:rPr>
        <w:t xml:space="preserve">This category is the most legally straightforward of everything researched — these are explicitly public-interest data sources, not platforms with ToS built around blocking automated access.</w:t>
      </w:r>
    </w:p>
    <w:p>
      <w:pPr>
        <w:pStyle w:val="Heading2"/>
        <w:spacing w:after="160" w:before="320"/>
      </w:pPr>
      <w:r>
        <w:t xml:space="preserve">5.1 OpenCorporates</w:t>
      </w:r>
    </w:p>
    <w:p>
      <w:pPr>
        <w:spacing w:after="160"/>
        <w:jc w:val="both"/>
      </w:pPr>
      <w:r>
        <w:rPr>
          <w:rFonts w:ascii="Calibri" w:cs="Calibri" w:eastAsia="Calibri" w:hAnsi="Calibri"/>
          <w:sz w:val="22"/>
          <w:szCs w:val="22"/>
        </w:rPr>
        <w:t xml:space="preserve">The largest open database of company registration data, covering 170+ jurisdictions (incorporation date, registered address, officers/directors, status). Self-serve API plans are priced annually: Essentials (£2,250/yr), Starter (£6,600/yr), Basic (£12,000/yr), with a bespoke Enterprise tier above that. This is a genuine, sanctioned data licensing product, not a scraping gray area, and is the most legally clean source for named officer/director data in this entire report.</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strong candidate for verifying a business is a real, registered legal entity and surfacing owner/officer legal names — directly useful for the “what does the owner do” question. Cost is the main constraint; worth evaluating against Phase 2's actual query volume before committing to an annual plan.</w:t>
      </w:r>
    </w:p>
    <w:p>
      <w:pPr>
        <w:pStyle w:val="Heading2"/>
        <w:spacing w:after="160" w:before="320"/>
      </w:pPr>
      <w:r>
        <w:t xml:space="preserve">5.2 Government/Chamber-of-Commerce Registries</w:t>
      </w:r>
    </w:p>
    <w:p>
      <w:pPr>
        <w:spacing w:after="160"/>
        <w:jc w:val="both"/>
      </w:pPr>
      <w:r>
        <w:rPr>
          <w:rFonts w:ascii="Calibri" w:cs="Calibri" w:eastAsia="Calibri" w:hAnsi="Calibri"/>
          <w:sz w:val="22"/>
          <w:szCs w:val="22"/>
        </w:rPr>
        <w:t xml:space="preserve">Most countries and many US states publish free, public business-registration lookups (Companies House in the UK, SECP in Pakistan, Secretary of State filings in the US). These are typically free but fragmented — no single unified API, meaning per-country/per-region integration work. Lower cost, higher engineering effort than OpenCorporates.</w:t>
      </w:r>
    </w:p>
    <w:p>
      <w:pPr>
        <w:pStyle w:val="Heading1"/>
        <w:spacing w:after="240" w:before="480"/>
      </w:pPr>
      <w:r>
        <w:t xml:space="preserve">6. Review Platforms — Customer Pain-Point Detection</w:t>
      </w:r>
    </w:p>
    <w:p>
      <w:pPr>
        <w:spacing w:after="160"/>
        <w:jc w:val="both"/>
      </w:pPr>
      <w:r>
        <w:rPr>
          <w:rFonts w:ascii="Calibri" w:cs="Calibri" w:eastAsia="Calibri" w:hAnsi="Calibri"/>
          <w:sz w:val="22"/>
          <w:szCs w:val="22"/>
        </w:rPr>
        <w:t xml:space="preserve">This directly serves the request's point on reviews: finding what a business's OWN customers complain about, which can corroborate or contradict what the website itself says (e.g. reviews mentioning “had to call three times to book” directly support a “no online booking” lead).</w:t>
      </w:r>
    </w:p>
    <w:p>
      <w:pPr>
        <w:pStyle w:val="Heading2"/>
        <w:spacing w:after="160" w:before="320"/>
      </w:pPr>
      <w:r>
        <w:t xml:space="preserve">6.1 Google Reviews (via Places API)</w:t>
      </w:r>
    </w:p>
    <w:p>
      <w:pPr>
        <w:spacing w:after="160"/>
        <w:jc w:val="both"/>
      </w:pPr>
      <w:r>
        <w:rPr>
          <w:rFonts w:ascii="Calibri" w:cs="Calibri" w:eastAsia="Calibri" w:hAnsi="Calibri"/>
          <w:sz w:val="22"/>
          <w:szCs w:val="22"/>
        </w:rPr>
        <w:t xml:space="preserve">Google's Places API prices by which fields are requested, not by a flat per-call rate. Basic details are the cheapest tier ($32/1,000 calls); adding reviews specifically pushes a request into the most expensive tier, $40/1,000 calls, because Google bills the ENTIRE request at its highest-tier field, not just the review field itself. Given AI-BDM already resolves each business's identity and location during crawling, this is a comparatively clean integration — no separate identity-matching problem to solve.</w:t>
      </w:r>
    </w:p>
    <w:p>
      <w:pPr>
        <w:pStyle w:val="Heading2"/>
        <w:spacing w:after="160" w:before="320"/>
      </w:pPr>
      <w:r>
        <w:t xml:space="preserve">6.2 Yelp Fusion API</w:t>
      </w:r>
    </w:p>
    <w:p>
      <w:pPr>
        <w:spacing w:after="160"/>
        <w:jc w:val="both"/>
      </w:pPr>
      <w:r>
        <w:rPr>
          <w:rFonts w:ascii="Calibri" w:cs="Calibri" w:eastAsia="Calibri" w:hAnsi="Calibri"/>
          <w:sz w:val="22"/>
          <w:szCs w:val="22"/>
        </w:rPr>
        <w:t xml:space="preserve">Yelp converted its previously-free API to a paid model in 2026: Starter ($7.99/1,000 calls, up to 300 calls/day) has no reviews; Plus ($9.99/1,000 calls) unlocks a reviews endpoint returning up to 3 reviews per business (first 160 characters only); Enterprise ($14.99/1,000 calls) allows up to 7. Coverage skews toward US/Canada; less useful for AI-BDM's demonstrated Pakistan/UAE-heavy query patterns this session.</w:t>
      </w:r>
    </w:p>
    <w:p>
      <w:pPr>
        <w:pStyle w:val="Heading2"/>
        <w:spacing w:after="160" w:before="320"/>
      </w:pPr>
      <w:r>
        <w:t xml:space="preserve">6.3 Trustpilot</w:t>
      </w:r>
    </w:p>
    <w:p>
      <w:pPr>
        <w:spacing w:after="160"/>
        <w:jc w:val="both"/>
      </w:pPr>
      <w:r>
        <w:rPr>
          <w:rFonts w:ascii="Calibri" w:cs="Calibri" w:eastAsia="Calibri" w:hAnsi="Calibri"/>
          <w:sz w:val="22"/>
          <w:szCs w:val="22"/>
        </w:rPr>
        <w:t xml:space="preserve">API access is Enterprise-only — none of Trustpilot's lower tiers (Starter $99/mo, Plus $319/mo, Premium $799/mo) include API access at all. Real-world Enterprise contracts run $6,000–$30,000/year. This is priced for large brands actively managing their OWN Trustpilot presence, not a lead-gen tool reading OTHER businesses' reviews at scale — not a realistic fit.</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Google Places (with reviews) is the strongest fit — broadest geographic coverage matching AI-BDM's actual query patterns, and a single integration point since the pipeline already resolves business identity/location. Yelp is a reasonable secondary source for US-heavy queries specifically. Skip Trustpilot entirely; the pricing model doesn't match this use case.</w:t>
      </w:r>
    </w:p>
    <w:p>
      <w:pPr>
        <w:pStyle w:val="Heading1"/>
        <w:spacing w:after="240" w:before="480"/>
      </w:pPr>
      <w:r>
        <w:t xml:space="preserve">7. Executive &amp; Decision-Maker Contact Enrichment</w:t>
      </w:r>
    </w:p>
    <w:p>
      <w:pPr>
        <w:spacing w:after="160"/>
        <w:jc w:val="both"/>
      </w:pPr>
      <w:r>
        <w:rPr>
          <w:rFonts w:ascii="Calibri" w:cs="Calibri" w:eastAsia="Calibri" w:hAnsi="Calibri"/>
          <w:sz w:val="22"/>
          <w:szCs w:val="22"/>
        </w:rPr>
        <w:t xml:space="preserve">Separate from social-platform scraping, a dedicated category of B2B contact-enrichment tools exists specifically to resolve a company name/domain into named people, titles, verified emails, and sometimes phone numbers — built on licensed and opt-in data rather than live scraping, which puts them on materially cleaner legal ground than pulling the same information off LinkedIn directly.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00"/>
      </w:tblGrid>
      <w:tr>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Tool</w:t>
            </w:r>
          </w:p>
        </w:tc>
        <w:tc>
          <w:tcPr>
            <w:tcW w:type="dxa" w:w="2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Price</w:t>
            </w:r>
          </w:p>
        </w:tc>
        <w:tc>
          <w:tcPr>
            <w:tcW w:type="dxa" w:w="5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Notes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Hunter.io</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$49/mo (2,000 searches)</w:t>
            </w:r>
          </w:p>
        </w:tc>
        <w:tc>
          <w:tcPr>
            <w:tcW w:type="dxa" w:w="5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Email-finding focus; cheapest entry point</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Lusha</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From $37/mo (70 free credits)</w:t>
            </w:r>
          </w:p>
        </w:tc>
        <w:tc>
          <w:tcPr>
            <w:tcW w:type="dxa" w:w="5200"/>
            <w:tcMar>
              <w:top w:type="dxa" w:w="100"/>
              <w:left w:type="dxa" w:w="120"/>
              <w:bottom w:type="dxa" w:w="100"/>
              <w:right w:type="dxa" w:w="120"/>
            </w:tcMar>
          </w:tcPr>
          <w:p>
            <w:r>
              <w:rPr>
                <w:rFonts w:ascii="Calibri" w:cs="Calibri" w:eastAsia="Calibri" w:hAnsi="Calibri"/>
                <w:b w:val="false"/>
                <w:bCs w:val="false"/>
                <w:color w:val="000000"/>
                <w:sz w:val="19"/>
                <w:szCs w:val="19"/>
              </w:rPr>
              <w:t xml:space="preserve">Phone numbers cost 10 credits vs. 1 for email</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RocketReach</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$33–$175/user/mo</w:t>
            </w:r>
          </w:p>
        </w:tc>
        <w:tc>
          <w:tcPr>
            <w:tcW w:type="dxa" w:w="5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700M+ profile database; API access on top tier</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Apollo.io</w:t>
            </w:r>
          </w:p>
        </w:tc>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Tiered, mid-range</w:t>
            </w:r>
          </w:p>
        </w:tc>
        <w:tc>
          <w:tcPr>
            <w:tcW w:type="dxa" w:w="52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Contact database + outreach sequencing combined</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ZoomInfo</w:t>
            </w:r>
          </w:p>
        </w:tc>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$10K+/year contracts</w:t>
            </w:r>
          </w:p>
        </w:tc>
        <w:tc>
          <w:tcPr>
            <w:tcW w:type="dxa" w:w="5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Best accuracy, but enterprise-only pricing</w:t>
            </w:r>
          </w:p>
        </w:tc>
      </w:tr>
    </w:tbl>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this is the correct path for the “what does the owner do” / CEO / HR / management question — Hunter.io or Lusha for a low-cost starting point, Apollo.io if outreach sequencing is also wanted. This should be the primary source for named-person data, not LinkedIn scraping (Section 3.1) or Glassdoor scraping (Section 3.5).</w:t>
      </w:r>
    </w:p>
    <w:p>
      <w:pPr>
        <w:pStyle w:val="Heading1"/>
        <w:spacing w:after="240" w:before="480"/>
      </w:pPr>
      <w:r>
        <w:t xml:space="preserve">8. “Vulnerabilities” — Two Different Meanings, Both Worth Building</w:t>
      </w:r>
    </w:p>
    <w:p>
      <w:pPr>
        <w:spacing w:after="160"/>
        <w:jc w:val="both"/>
      </w:pPr>
      <w:r>
        <w:rPr>
          <w:rFonts w:ascii="Calibri" w:cs="Calibri" w:eastAsia="Calibri" w:hAnsi="Calibri"/>
          <w:sz w:val="22"/>
          <w:szCs w:val="22"/>
        </w:rPr>
        <w:t xml:space="preserve">The request asks to find “vulnerabilities” during enrichment. This phrase covers two genuinely different things worth separating clearly for the roadmap, since they use completely different data sources and have different audiences.</w:t>
      </w:r>
    </w:p>
    <w:p>
      <w:pPr>
        <w:pStyle w:val="Heading2"/>
        <w:spacing w:after="160" w:before="320"/>
      </w:pPr>
      <w:r>
        <w:t xml:space="preserve">8.1 Business Vulnerabilities (sales-angle weaknesses)</w:t>
      </w:r>
    </w:p>
    <w:p>
      <w:pPr>
        <w:spacing w:after="160"/>
        <w:jc w:val="both"/>
      </w:pPr>
      <w:r>
        <w:rPr>
          <w:rFonts w:ascii="Calibri" w:cs="Calibri" w:eastAsia="Calibri" w:hAnsi="Calibri"/>
          <w:sz w:val="22"/>
          <w:szCs w:val="22"/>
        </w:rPr>
        <w:t xml:space="preserve">Gaps a salesperson can pitch on — already partially the whole point of AI-BDM's core RAG evidence system (Phase 1): “confirmed no online booking,” “confirmed no CRM,” etc. Review-mining (Section 6) extends this by surfacing what CUSTOMERS say is broken, not just what the business's own website admits to or omits — often a stronger, more specific pitch angle (“three recent reviews mention long hold times for booking” beats “their website doesn't mention online booking”).</w:t>
      </w:r>
    </w:p>
    <w:p>
      <w:pPr>
        <w:pStyle w:val="Heading2"/>
        <w:spacing w:after="160" w:before="320"/>
      </w:pPr>
      <w:r>
        <w:t xml:space="preserve">8.2 Technical Vulnerabilities (security weaknesses)</w:t>
      </w:r>
    </w:p>
    <w:p>
      <w:pPr>
        <w:spacing w:after="160"/>
        <w:jc w:val="both"/>
      </w:pPr>
      <w:r>
        <w:rPr>
          <w:rFonts w:ascii="Calibri" w:cs="Calibri" w:eastAsia="Calibri" w:hAnsi="Calibri"/>
          <w:sz w:val="22"/>
          <w:szCs w:val="22"/>
        </w:rPr>
        <w:t xml:space="preserve">A literal cybersecurity angle: since tech_stack.py already detects each business's CMS/framework/plugin versions via Wappalyzer, a natural extension is cross-referencing detected versions against a public CVE database (the National Vulnerability Database, or a service like Detectify/Pentest-Tools) to flag “running WordPress 5.2, which has N known critical vulnerabilities” — a real, differentiated pitch angle for a security or IT-services-focused sales use case specifically.</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confirm with the requesting team which angle matters more — they serve different sales motions (general B2B lead-gen vs. security/IT-services lead-gen) and Section 8.2 specifically should only be built if AI-BDM's actual customers are pitching security/IT services, not built speculatively.</w:t>
      </w:r>
    </w:p>
    <w:p>
      <w:pPr>
        <w:pStyle w:val="Heading1"/>
        <w:spacing w:after="240" w:before="480"/>
      </w:pPr>
      <w:r>
        <w:t xml:space="preserve">9. Privacy &amp; Compliance — The Layer on Top of Platform ToS</w:t>
      </w:r>
    </w:p>
    <w:p>
      <w:pPr>
        <w:spacing w:after="160"/>
        <w:jc w:val="both"/>
      </w:pPr>
      <w:r>
        <w:rPr>
          <w:rFonts w:ascii="Calibri" w:cs="Calibri" w:eastAsia="Calibri" w:hAnsi="Calibri"/>
          <w:sz w:val="22"/>
          <w:szCs w:val="22"/>
        </w:rPr>
        <w:t xml:space="preserve">Everything in Sections 5–8 about companies (registration, tech stack, review sentiment, aggregate follower counts) is business data. The moment the enrichment starts compiling records on named individuals — “CEO John Smith, here is his LinkedIn URL, his email, his recent posts” — a second, independent legal question opens up on top of any single platform's Terms of Service: personal-data regulation.</w:t>
      </w:r>
    </w:p>
    <w:p>
      <w:pPr>
        <w:spacing w:after="160"/>
        <w:jc w:val="both"/>
      </w:pPr>
      <w:r>
        <w:rPr>
          <w:rFonts w:ascii="Calibri" w:cs="Calibri" w:eastAsia="Calibri" w:hAnsi="Calibri"/>
          <w:sz w:val="22"/>
          <w:szCs w:val="22"/>
        </w:rPr>
        <w:t xml:space="preserve">The EDPB (EU data protection regulators) issued a 2024 opinion confirming that publicly-available personal data remains regulated personal data under GDPR — scraping it and assembling a persistent profile on a named person is exactly the kind of “profiling” activity GDPR is designed to catch. CCPA has analogous provisions for California residents. This applies regardless of where AI-BDM itself is hosted, if any lead's business (or that business's customers) is in the EU/UK/California — which, given AI-BDM's multi-region query patterns, is a realistic scenario, not an edge case.</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9A3B1F"/>
          <w:sz w:val="22"/>
          <w:szCs w:val="22"/>
        </w:rPr>
        <w:t xml:space="preserve">treat this as a bigger deal than the platform-ToS risk already flagged for LinkedIn — that risk is “the platform bans us”; this risk is a compliance question independent of any platform. Sourcing named-person contact data through licensed tools (Section 7) rather than scraping materially reduces this exposure, since those vendors carry their own compliance basis for the data they resell.</w:t>
      </w:r>
    </w:p>
    <w:p>
      <w:pPr>
        <w:pStyle w:val="Heading1"/>
        <w:spacing w:after="240" w:before="480"/>
      </w:pPr>
      <w:r>
        <w:t xml:space="preserve">10. Proposed Tiered Architecture for a “Business Breakdown”</w:t>
      </w:r>
    </w:p>
    <w:p>
      <w:pPr>
        <w:spacing w:after="160"/>
        <w:jc w:val="both"/>
      </w:pPr>
      <w:r>
        <w:rPr>
          <w:rFonts w:ascii="Calibri" w:cs="Calibri" w:eastAsia="Calibri" w:hAnsi="Calibri"/>
          <w:sz w:val="22"/>
          <w:szCs w:val="22"/>
        </w:rPr>
        <w:t xml:space="preserve">Given the very different risk profiles above, a coherent breakdown feature should pull from four legally-distinct tiers, kept architecturally separate so each tier's risk profile stays visible and toggleable rather than blended into one opaque "enrichment" blob.</w:t>
      </w:r>
    </w:p>
    <w:p>
      <w:pPr>
        <w:pStyle w:val="ListParagraph"/>
        <w:numPr>
          <w:ilvl w:val="0"/>
          <w:numId w:val="2"/>
        </w:numPr>
        <w:spacing w:after="90"/>
      </w:pPr>
      <w:r>
        <w:rPr>
          <w:rFonts w:ascii="Calibri" w:cs="Calibri" w:eastAsia="Calibri" w:hAnsi="Calibri"/>
          <w:sz w:val="22"/>
          <w:szCs w:val="22"/>
        </w:rPr>
        <w:t xml:space="preserve">Tier 1 — Company facts (clean): OpenCorporates + existing crawler — registration status, address, tech stack.</w:t>
      </w:r>
    </w:p>
    <w:p>
      <w:pPr>
        <w:pStyle w:val="ListParagraph"/>
        <w:numPr>
          <w:ilvl w:val="0"/>
          <w:numId w:val="2"/>
        </w:numPr>
        <w:spacing w:after="90"/>
      </w:pPr>
      <w:r>
        <w:rPr>
          <w:rFonts w:ascii="Calibri" w:cs="Calibri" w:eastAsia="Calibri" w:hAnsi="Calibri"/>
          <w:sz w:val="22"/>
          <w:szCs w:val="22"/>
        </w:rPr>
        <w:t xml:space="preserve">Tier 2 — Decision-maker contacts (clean): Hunter.io / Apollo.io / RocketReach — name, title, verified email.</w:t>
      </w:r>
    </w:p>
    <w:p>
      <w:pPr>
        <w:pStyle w:val="ListParagraph"/>
        <w:numPr>
          <w:ilvl w:val="0"/>
          <w:numId w:val="2"/>
        </w:numPr>
        <w:spacing w:after="90"/>
      </w:pPr>
      <w:r>
        <w:rPr>
          <w:rFonts w:ascii="Calibri" w:cs="Calibri" w:eastAsia="Calibri" w:hAnsi="Calibri"/>
          <w:sz w:val="22"/>
          <w:szCs w:val="22"/>
        </w:rPr>
        <w:t xml:space="preserve">Tier 3 — Reputation signals (clean): Google Places / Yelp reviews — pain points, rating trends.</w:t>
      </w:r>
    </w:p>
    <w:p>
      <w:pPr>
        <w:pStyle w:val="ListParagraph"/>
        <w:numPr>
          <w:ilvl w:val="0"/>
          <w:numId w:val="2"/>
        </w:numPr>
        <w:spacing w:after="90"/>
      </w:pPr>
      <w:r>
        <w:rPr>
          <w:rFonts w:ascii="Calibri" w:cs="Calibri" w:eastAsia="Calibri" w:hAnsi="Calibri"/>
          <w:sz w:val="22"/>
          <w:szCs w:val="22"/>
        </w:rPr>
        <w:t xml:space="preserve">Tier 4 — Social presence (risk-bearing): LinkedIn / Glassdoor / Instagram / Facebook / Twitter via Apify — scale signals, activity, follower counts.</w:t>
      </w:r>
    </w:p>
    <w:p>
      <w:pPr>
        <w:pStyle w:val="ListParagraph"/>
        <w:numPr>
          <w:ilvl w:val="0"/>
          <w:numId w:val="2"/>
        </w:numPr>
        <w:spacing w:after="90"/>
      </w:pPr>
      <w:r>
        <w:rPr>
          <w:rFonts w:ascii="Calibri" w:cs="Calibri" w:eastAsia="Calibri" w:hAnsi="Calibri"/>
          <w:b/>
          <w:bCs/>
          <w:sz w:val="22"/>
          <w:szCs w:val="22"/>
        </w:rPr>
        <w:t xml:space="preserve">Recommendation: </w:t>
      </w:r>
      <w:r>
        <w:rPr>
          <w:rFonts w:ascii="Calibri" w:cs="Calibri" w:eastAsia="Calibri" w:hAnsi="Calibri"/>
          <w:b w:val="false"/>
          <w:bCs w:val="false"/>
          <w:color w:val="1F6F4A"/>
          <w:sz w:val="22"/>
          <w:szCs w:val="22"/>
        </w:rPr>
        <w:t xml:space="preserve">ship Tiers 1–3 as the core breakdown feature. Present Tier 4 as an optional, separately-toggled add-on (or omit it entirely) — it is the one tier where the per-record cost looks attractive but the legal precedent (Proxycurl) points the other way.</w:t>
      </w:r>
    </w:p>
    <w:p>
      <w:pPr>
        <w:pStyle w:val="Heading1"/>
        <w:spacing w:after="240" w:before="480"/>
      </w:pPr>
      <w:r>
        <w:t xml:space="preserve">11. Summary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2200"/>
      </w:tblGrid>
      <w:tr>
        <w:tc>
          <w:tcPr>
            <w:tcW w:type="dxa" w:w="26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Source</w:t>
            </w:r>
          </w:p>
        </w:tc>
        <w:tc>
          <w:tcPr>
            <w:tcW w:type="dxa" w:w="30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Legal risk</w:t>
            </w:r>
          </w:p>
        </w:tc>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Cost</w:t>
            </w:r>
          </w:p>
        </w:tc>
        <w:tc>
          <w:tcPr>
            <w:tcW w:type="dxa" w:w="2200"/>
            <w:shd w:fill="1F3A5F" w:val="clear"/>
            <w:tcMar>
              <w:top w:type="dxa" w:w="100"/>
              <w:left w:type="dxa" w:w="120"/>
              <w:bottom w:type="dxa" w:w="100"/>
              <w:right w:type="dxa" w:w="120"/>
            </w:tcMar>
          </w:tcPr>
          <w:p>
            <w:r>
              <w:rPr>
                <w:rFonts w:ascii="Calibri" w:cs="Calibri" w:eastAsia="Calibri" w:hAnsi="Calibri"/>
                <w:b/>
                <w:bCs/>
                <w:color w:val="FFFFFF"/>
                <w:sz w:val="19"/>
                <w:szCs w:val="19"/>
              </w:rPr>
              <w:t xml:space="preserve">Recommendation</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LinkedIn (URL only)</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(already built)</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(Serper)</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Keep as-is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LinkedIn (page data / Apify)</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High — active litigation precedent (Proxycurl)</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$1–$10/1,000</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Do not build</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Glassdoor (Apify)</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High — same category as LinkedIn</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$0.4–$3/1,000</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Do not build</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Facebook (metadata)</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Low-medium — needs Meta review</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Free (API), eng. time</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Pursue if valuable</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Facebook (full content / Apify)</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Medium-high — ToS breach if scraped</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$2–$6.60/1,000</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Defer / do not build</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Instagram (Apify)</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High — not designed for this, ToS breach</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$1.00–$1.90/1,000</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Do not build</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Twitter/X</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High — aggressive enforcement + no free tier</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$0.005–$0.02/item; $200–$42K/mo legacy</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Do not build</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Indeed</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Medium — 3rd-party scraper risk</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~$1–$3/1,000 (Apify)</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Skip</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OpenCorporates</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licensed data product</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£2,250–£12,000+/yr</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Strong candidate</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Contact finder (Hunter/Apollo/Lusha)</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licensed/opt-in data</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$37–$175/mo</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Strong candidate</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Google Places (reviews)</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official API</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~$40/1,000 calls</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Strong candidate</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Yelp Fusion</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official API</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$7.99–$14.99/1,000 calls</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Secondary (US-heavy)</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Trustpilot</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official, but wrong tier fit</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$6K–$30K/yr (Enterprise)</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Skip</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19"/>
                <w:szCs w:val="19"/>
              </w:rPr>
              <w:t xml:space="preserve">Apify (general platform)</w:t>
            </w:r>
          </w:p>
        </w:tc>
        <w:tc>
          <w:tcPr>
            <w:tcW w:type="dxa" w:w="3000"/>
            <w:tcMar>
              <w:top w:type="dxa" w:w="100"/>
              <w:left w:type="dxa" w:w="120"/>
              <w:bottom w:type="dxa" w:w="100"/>
              <w:right w:type="dxa" w:w="120"/>
            </w:tcMar>
          </w:tcPr>
          <w:p>
            <w:r>
              <w:rPr>
                <w:rFonts w:ascii="Calibri" w:cs="Calibri" w:eastAsia="Calibri" w:hAnsi="Calibri"/>
                <w:b w:val="false"/>
                <w:bCs w:val="false"/>
                <w:color w:val="000000"/>
                <w:sz w:val="19"/>
                <w:szCs w:val="19"/>
              </w:rPr>
              <w:t xml:space="preserve">Depends entirely on the Actor used</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$0.13–$0.20/CU + per-Actor fees</w:t>
            </w:r>
          </w:p>
        </w:tc>
        <w:tc>
          <w:tcPr>
            <w:tcW w:type="dxa" w:w="2200"/>
            <w:tcMar>
              <w:top w:type="dxa" w:w="100"/>
              <w:left w:type="dxa" w:w="120"/>
              <w:bottom w:type="dxa" w:w="100"/>
              <w:right w:type="dxa" w:w="120"/>
            </w:tcMar>
          </w:tcPr>
          <w:p>
            <w:r>
              <w:rPr>
                <w:rFonts w:ascii="Calibri" w:cs="Calibri" w:eastAsia="Calibri" w:hAnsi="Calibri"/>
                <w:b w:val="false"/>
                <w:bCs w:val="false"/>
                <w:color w:val="000000"/>
                <w:sz w:val="19"/>
                <w:szCs w:val="19"/>
              </w:rPr>
              <w:t xml:space="preserve">Infra only — vet each Actor's target</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ZenRows / Scrape.do</w:t>
            </w:r>
          </w:p>
        </w:tc>
        <w:tc>
          <w:tcPr>
            <w:tcW w:type="dxa" w:w="30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Low — general web scraping, already in use</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$29–$3,000/mo</w:t>
            </w:r>
          </w:p>
        </w:tc>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19"/>
                <w:szCs w:val="19"/>
              </w:rPr>
              <w:t xml:space="preserve">Keep as-is (Phase 1)</w:t>
            </w:r>
          </w:p>
        </w:tc>
      </w:tr>
    </w:tbl>
    <w:p>
      <w:pPr>
        <w:pStyle w:val="Heading1"/>
        <w:spacing w:after="240" w:before="480"/>
      </w:pPr>
      <w:r>
        <w:t xml:space="preserve">12. Recommended Rollout Order</w:t>
      </w:r>
    </w:p>
    <w:p>
      <w:pPr>
        <w:pStyle w:val="ListParagraph"/>
        <w:numPr>
          <w:ilvl w:val="0"/>
          <w:numId w:val="2"/>
        </w:numPr>
        <w:spacing w:after="90"/>
      </w:pPr>
      <w:r>
        <w:rPr>
          <w:rFonts w:ascii="Calibri" w:cs="Calibri" w:eastAsia="Calibri" w:hAnsi="Calibri"/>
          <w:sz w:val="22"/>
          <w:szCs w:val="22"/>
        </w:rPr>
        <w:t xml:space="preserve">Google Places reviews — cleanest legal standing, broadest geographic fit, single integration point given identity/location is already resolved.</w:t>
      </w:r>
    </w:p>
    <w:p>
      <w:pPr>
        <w:pStyle w:val="ListParagraph"/>
        <w:numPr>
          <w:ilvl w:val="0"/>
          <w:numId w:val="2"/>
        </w:numPr>
        <w:spacing w:after="90"/>
      </w:pPr>
      <w:r>
        <w:rPr>
          <w:rFonts w:ascii="Calibri" w:cs="Calibri" w:eastAsia="Calibri" w:hAnsi="Calibri"/>
          <w:sz w:val="22"/>
          <w:szCs w:val="22"/>
        </w:rPr>
        <w:t xml:space="preserve">OpenCorporates — verifies real registered businesses and surfaces owner/officer names directly; evaluate the annual cost against expected query volume first.</w:t>
      </w:r>
    </w:p>
    <w:p>
      <w:pPr>
        <w:pStyle w:val="ListParagraph"/>
        <w:numPr>
          <w:ilvl w:val="0"/>
          <w:numId w:val="2"/>
        </w:numPr>
        <w:spacing w:after="90"/>
      </w:pPr>
      <w:r>
        <w:rPr>
          <w:rFonts w:ascii="Calibri" w:cs="Calibri" w:eastAsia="Calibri" w:hAnsi="Calibri"/>
          <w:sz w:val="22"/>
          <w:szCs w:val="22"/>
        </w:rPr>
        <w:t xml:space="preserve">Contact-enrichment tool (Hunter.io or Lusha to start) — the correct, low-risk path to named decision-maker contacts, replacing any temptation to scrape LinkedIn/Glassdoor for the same data.</w:t>
      </w:r>
    </w:p>
    <w:p>
      <w:pPr>
        <w:pStyle w:val="ListParagraph"/>
        <w:numPr>
          <w:ilvl w:val="0"/>
          <w:numId w:val="2"/>
        </w:numPr>
        <w:spacing w:after="90"/>
      </w:pPr>
      <w:r>
        <w:rPr>
          <w:rFonts w:ascii="Calibri" w:cs="Calibri" w:eastAsia="Calibri" w:hAnsi="Calibri"/>
          <w:sz w:val="22"/>
          <w:szCs w:val="22"/>
        </w:rPr>
        <w:t xml:space="preserve">Facebook Page Public Metadata (lighter review tier) — basic scale signal (followers) without the full App Review burden.</w:t>
      </w:r>
    </w:p>
    <w:p>
      <w:pPr>
        <w:pStyle w:val="ListParagraph"/>
        <w:numPr>
          <w:ilvl w:val="0"/>
          <w:numId w:val="2"/>
        </w:numPr>
        <w:spacing w:after="90"/>
      </w:pPr>
      <w:r>
        <w:rPr>
          <w:rFonts w:ascii="Calibri" w:cs="Calibri" w:eastAsia="Calibri" w:hAnsi="Calibri"/>
          <w:sz w:val="22"/>
          <w:szCs w:val="22"/>
        </w:rPr>
        <w:t xml:space="preserve">CVE cross-reference on existing Wappalyzer data (Section 8.2) — only if a security/IT-services sales angle is confirmed as a priority; otherwise defer indefinitely.</w:t>
      </w:r>
    </w:p>
    <w:p>
      <w:pPr>
        <w:pStyle w:val="ListParagraph"/>
        <w:numPr>
          <w:ilvl w:val="0"/>
          <w:numId w:val="2"/>
        </w:numPr>
        <w:spacing w:after="90"/>
      </w:pPr>
      <w:r>
        <w:rPr>
          <w:rFonts w:ascii="Calibri" w:cs="Calibri" w:eastAsia="Calibri" w:hAnsi="Calibri"/>
          <w:sz w:val="22"/>
          <w:szCs w:val="22"/>
        </w:rPr>
        <w:t xml:space="preserve">Yelp Fusion — secondary review source for US/Canada-heavy queries specifically.</w:t>
      </w:r>
    </w:p>
    <w:p>
      <w:pPr>
        <w:spacing w:after="160"/>
        <w:jc w:val="both"/>
      </w:pPr>
      <w:r>
        <w:rPr>
          <w:rFonts w:ascii="Calibri" w:cs="Calibri" w:eastAsia="Calibri" w:hAnsi="Calibri"/>
          <w:sz w:val="22"/>
          <w:szCs w:val="22"/>
        </w:rPr>
        <w:t xml:space="preserve">Not recommended at any priority: LinkedIn/Glassdoor/Instagram/Facebook/Twitter scraping via Apify or any similar Actor marketplace, Indeed via third-party resellers, and Trustpilot — each either has no viable legitimate access path or carries cost/legal/compliance exposure disproportionate to the value for this use case.</w:t>
      </w:r>
    </w:p>
    <w:p>
      <w:pPr>
        <w:pBdr>
          <w:bottom w:val="single" w:color="C9CED3" w:sz="6"/>
        </w:pBdr>
        <w:spacing w:after="200" w:before="200"/>
      </w:pPr>
    </w:p>
    <w:p>
      <w:pPr>
        <w:spacing w:before="200"/>
        <w:jc w:val="center"/>
      </w:pPr>
      <w:r>
        <w:rPr>
          <w:rFonts w:ascii="Calibri" w:cs="Calibri" w:eastAsia="Calibri" w:hAnsi="Calibri"/>
          <w:i/>
          <w:iCs/>
          <w:color w:val="5B6672"/>
          <w:sz w:val="20"/>
          <w:szCs w:val="20"/>
        </w:rPr>
        <w:t xml:space="preserve">End of report.</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A5F"/>
      <w:sz w:val="32"/>
      <w:szCs w:val="32"/>
    </w:rPr>
  </w:style>
  <w:style w:type="paragraph" w:styleId="Heading2">
    <w:name w:val="Heading 2"/>
    <w:basedOn w:val="Normal"/>
    <w:next w:val="Normal"/>
    <w:qFormat/>
    <w:pPr>
      <w:spacing w:after="160" w:before="320"/>
      <w:outlineLvl w:val="1"/>
    </w:pPr>
    <w:rPr>
      <w:rFonts w:ascii="Cambria" w:cs="Cambria" w:eastAsia="Cambria" w:hAnsi="Cambria"/>
      <w:b/>
      <w:bCs/>
      <w:color w:val="2E6F6E"/>
      <w:sz w:val="26"/>
      <w:szCs w:val="26"/>
    </w:rPr>
  </w:style>
  <w:style w:type="paragraph" w:styleId="Heading3">
    <w:name w:val="Heading 3"/>
    <w:basedOn w:val="Normal"/>
    <w:next w:val="Normal"/>
    <w:qFormat/>
    <w:pPr>
      <w:spacing w:after="120" w:before="240"/>
      <w:outlineLvl w:val="2"/>
    </w:pPr>
    <w:rPr>
      <w:rFonts w:ascii="Cambria" w:cs="Cambria" w:eastAsia="Cambria" w:hAnsi="Cambria"/>
      <w:b/>
      <w:bCs/>
      <w:color w:val="5B66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2026-07-16T09:30:40.541Z</dcterms:created>
  <dcterms:modified xsi:type="dcterms:W3CDTF">2026-07-16T09:30:40.544Z</dcterms:modified>
</cp:coreProperties>
</file>

<file path=docProps/custom.xml><?xml version="1.0" encoding="utf-8"?>
<Properties xmlns="http://schemas.openxmlformats.org/officeDocument/2006/custom-properties" xmlns:vt="http://schemas.openxmlformats.org/officeDocument/2006/docPropsVTypes"/>
</file>