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1C3C" w14:textId="77777777" w:rsidR="00AF1FA7" w:rsidRPr="00AF1FA7" w:rsidRDefault="00AF1FA7" w:rsidP="00AF1FA7">
      <w:pPr>
        <w:numPr>
          <w:ilvl w:val="0"/>
          <w:numId w:val="1"/>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AF1FA7">
        <w:rPr>
          <w:rFonts w:ascii="Calibri" w:eastAsia="Times New Roman" w:hAnsi="Calibri" w:cs="Calibri"/>
          <w:b/>
          <w:bCs/>
          <w:color w:val="000000"/>
          <w:sz w:val="24"/>
          <w:szCs w:val="24"/>
          <w:lang w:val="en-US" w:eastAsia="en-CA"/>
        </w:rPr>
        <w:t>Social Host Liability  </w:t>
      </w:r>
    </w:p>
    <w:p w14:paraId="1B71E36B"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r w:rsidRPr="00AF1FA7">
        <w:rPr>
          <w:rFonts w:ascii="Calibri" w:eastAsia="Times New Roman" w:hAnsi="Calibri" w:cs="Calibri"/>
          <w:color w:val="000000"/>
          <w:sz w:val="24"/>
          <w:szCs w:val="24"/>
          <w:lang w:val="en-US" w:eastAsia="en-CA"/>
        </w:rPr>
        <w:t> </w:t>
      </w:r>
    </w:p>
    <w:p w14:paraId="7B2E4D7E"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r w:rsidRPr="00AF1FA7">
        <w:rPr>
          <w:rFonts w:ascii="Calibri" w:eastAsia="Times New Roman" w:hAnsi="Calibri" w:cs="Calibri"/>
          <w:color w:val="000000"/>
          <w:sz w:val="24"/>
          <w:szCs w:val="24"/>
          <w:lang w:val="en-US" w:eastAsia="en-CA"/>
        </w:rPr>
        <w:t>While liability for bars and taverns for causing or contributing to intoxication in customers is well established</w:t>
      </w:r>
      <w:hyperlink r:id="rId5" w:anchor="m_6453558962935733209__ftn1" w:history="1">
        <w:r w:rsidRPr="00AF1FA7">
          <w:rPr>
            <w:rFonts w:ascii="Calibri" w:eastAsia="Times New Roman" w:hAnsi="Calibri" w:cs="Calibri"/>
            <w:color w:val="1155CC"/>
            <w:sz w:val="24"/>
            <w:szCs w:val="24"/>
            <w:u w:val="single"/>
            <w:vertAlign w:val="superscript"/>
            <w:lang w:val="en-US" w:eastAsia="en-CA"/>
          </w:rPr>
          <w:t>[1]</w:t>
        </w:r>
      </w:hyperlink>
      <w:r w:rsidRPr="00AF1FA7">
        <w:rPr>
          <w:rFonts w:ascii="Calibri" w:eastAsia="Times New Roman" w:hAnsi="Calibri" w:cs="Calibri"/>
          <w:color w:val="000000"/>
          <w:sz w:val="24"/>
          <w:szCs w:val="24"/>
          <w:lang w:val="en-US" w:eastAsia="en-CA"/>
        </w:rPr>
        <w:t>, social host liability remains an emerging and has not been fully embraced by Canadian courts despite repeated efforts since at least 1986</w:t>
      </w:r>
      <w:hyperlink r:id="rId6" w:anchor="m_6453558962935733209__ftn2" w:history="1">
        <w:r w:rsidRPr="00AF1FA7">
          <w:rPr>
            <w:rFonts w:ascii="Calibri" w:eastAsia="Times New Roman" w:hAnsi="Calibri" w:cs="Calibri"/>
            <w:color w:val="1155CC"/>
            <w:sz w:val="24"/>
            <w:szCs w:val="24"/>
            <w:u w:val="single"/>
            <w:vertAlign w:val="superscript"/>
            <w:lang w:val="en-US" w:eastAsia="en-CA"/>
          </w:rPr>
          <w:t>[2]</w:t>
        </w:r>
      </w:hyperlink>
      <w:r w:rsidRPr="00AF1FA7">
        <w:rPr>
          <w:rFonts w:ascii="Calibri" w:eastAsia="Times New Roman" w:hAnsi="Calibri" w:cs="Calibri"/>
          <w:color w:val="000000"/>
          <w:sz w:val="24"/>
          <w:szCs w:val="24"/>
          <w:lang w:val="en-US" w:eastAsia="en-CA"/>
        </w:rPr>
        <w:t>. Nor has liability for supervising the intoxicated, but liability for encouraging impaired driving has occurred</w:t>
      </w:r>
      <w:hyperlink r:id="rId7" w:anchor="m_6453558962935733209__ftn3" w:history="1">
        <w:r w:rsidRPr="00AF1FA7">
          <w:rPr>
            <w:rFonts w:ascii="Calibri" w:eastAsia="Times New Roman" w:hAnsi="Calibri" w:cs="Calibri"/>
            <w:color w:val="1155CC"/>
            <w:sz w:val="24"/>
            <w:szCs w:val="24"/>
            <w:u w:val="single"/>
            <w:vertAlign w:val="superscript"/>
            <w:lang w:val="en-US" w:eastAsia="en-CA"/>
          </w:rPr>
          <w:t>[3]</w:t>
        </w:r>
      </w:hyperlink>
      <w:r w:rsidRPr="00AF1FA7">
        <w:rPr>
          <w:rFonts w:ascii="Calibri" w:eastAsia="Times New Roman" w:hAnsi="Calibri" w:cs="Calibri"/>
          <w:color w:val="000000"/>
          <w:sz w:val="24"/>
          <w:szCs w:val="24"/>
          <w:lang w:val="en-US" w:eastAsia="en-CA"/>
        </w:rPr>
        <w:t>. This differs from many decisions in the United States where social host liability has been found</w:t>
      </w:r>
      <w:hyperlink r:id="rId8" w:anchor="m_6453558962935733209__ftn4" w:history="1">
        <w:r w:rsidRPr="00AF1FA7">
          <w:rPr>
            <w:rFonts w:ascii="Calibri" w:eastAsia="Times New Roman" w:hAnsi="Calibri" w:cs="Calibri"/>
            <w:color w:val="1155CC"/>
            <w:sz w:val="24"/>
            <w:szCs w:val="24"/>
            <w:u w:val="single"/>
            <w:vertAlign w:val="superscript"/>
            <w:lang w:val="en-US" w:eastAsia="en-CA"/>
          </w:rPr>
          <w:t>[4]</w:t>
        </w:r>
      </w:hyperlink>
      <w:proofErr w:type="gramStart"/>
      <w:r w:rsidRPr="00AF1FA7">
        <w:rPr>
          <w:rFonts w:ascii="Calibri" w:eastAsia="Times New Roman" w:hAnsi="Calibri" w:cs="Calibri"/>
          <w:color w:val="000000"/>
          <w:sz w:val="24"/>
          <w:szCs w:val="24"/>
          <w:lang w:val="en-US" w:eastAsia="en-CA"/>
        </w:rPr>
        <w:t>.  </w:t>
      </w:r>
      <w:proofErr w:type="gramEnd"/>
    </w:p>
    <w:p w14:paraId="3A5FE1DF"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r w:rsidRPr="00AF1FA7">
        <w:rPr>
          <w:rFonts w:ascii="Calibri" w:eastAsia="Times New Roman" w:hAnsi="Calibri" w:cs="Calibri"/>
          <w:color w:val="000000"/>
          <w:sz w:val="24"/>
          <w:szCs w:val="24"/>
          <w:lang w:val="en-US" w:eastAsia="en-CA"/>
        </w:rPr>
        <w:t> </w:t>
      </w:r>
    </w:p>
    <w:p w14:paraId="0B68EEAC"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r w:rsidRPr="00AF1FA7">
        <w:rPr>
          <w:rFonts w:ascii="Calibri" w:eastAsia="Times New Roman" w:hAnsi="Calibri" w:cs="Calibri"/>
          <w:color w:val="000000"/>
          <w:sz w:val="24"/>
          <w:szCs w:val="24"/>
          <w:lang w:val="en-US" w:eastAsia="en-CA"/>
        </w:rPr>
        <w:t>In </w:t>
      </w:r>
      <w:r w:rsidRPr="00AF1FA7">
        <w:rPr>
          <w:rFonts w:ascii="Calibri" w:eastAsia="Times New Roman" w:hAnsi="Calibri" w:cs="Calibri"/>
          <w:i/>
          <w:iCs/>
          <w:color w:val="000000"/>
          <w:sz w:val="24"/>
          <w:szCs w:val="24"/>
          <w:lang w:val="en-US" w:eastAsia="en-CA"/>
        </w:rPr>
        <w:t>Childs v. Desormeaux</w:t>
      </w:r>
      <w:r w:rsidRPr="00AF1FA7">
        <w:rPr>
          <w:rFonts w:ascii="Calibri" w:eastAsia="Times New Roman" w:hAnsi="Calibri" w:cs="Calibri"/>
          <w:color w:val="000000"/>
          <w:sz w:val="24"/>
          <w:szCs w:val="24"/>
          <w:lang w:val="en-US" w:eastAsia="en-CA"/>
        </w:rPr>
        <w:t>, 2006 SCC 18, [2006] 1 S.C.R. 643, the Supreme Court of Canada held that social hosts of parties where alcohol is served do not owe a duty of care to public users of highways unless the host’s conduct implicates them in the creation or exacerbation of the risk. Short of active implication, a host is entitled to respect the autonomy of their guests as the choice to consume alcohol is a personal one. While it may be reasonable to expect that a bar will act to protect the public interest, the same cannot be said of the private social host, who is not expected to monitor guests on behalf of the public</w:t>
      </w:r>
      <w:proofErr w:type="gramStart"/>
      <w:r w:rsidRPr="00AF1FA7">
        <w:rPr>
          <w:rFonts w:ascii="Calibri" w:eastAsia="Times New Roman" w:hAnsi="Calibri" w:cs="Calibri"/>
          <w:color w:val="000000"/>
          <w:sz w:val="24"/>
          <w:szCs w:val="24"/>
          <w:lang w:val="en-US" w:eastAsia="en-CA"/>
        </w:rPr>
        <w:t>.  </w:t>
      </w:r>
      <w:proofErr w:type="gramEnd"/>
    </w:p>
    <w:p w14:paraId="5398FAF9"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r w:rsidRPr="00AF1FA7">
        <w:rPr>
          <w:rFonts w:ascii="Calibri" w:eastAsia="Times New Roman" w:hAnsi="Calibri" w:cs="Calibri"/>
          <w:color w:val="000000"/>
          <w:sz w:val="24"/>
          <w:szCs w:val="24"/>
          <w:lang w:val="en-US" w:eastAsia="en-CA"/>
        </w:rPr>
        <w:t> </w:t>
      </w:r>
    </w:p>
    <w:p w14:paraId="2EE10F08"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r w:rsidRPr="00AF1FA7">
        <w:rPr>
          <w:rFonts w:ascii="Calibri" w:eastAsia="Times New Roman" w:hAnsi="Calibri" w:cs="Calibri"/>
          <w:color w:val="000000"/>
          <w:sz w:val="24"/>
          <w:szCs w:val="24"/>
          <w:lang w:val="en-US" w:eastAsia="en-CA"/>
        </w:rPr>
        <w:t>The same high standard is apparently applied to employers who host employee parties. In </w:t>
      </w:r>
      <w:r w:rsidRPr="00AF1FA7">
        <w:rPr>
          <w:rFonts w:ascii="Calibri" w:eastAsia="Times New Roman" w:hAnsi="Calibri" w:cs="Calibri"/>
          <w:i/>
          <w:iCs/>
          <w:color w:val="000000"/>
          <w:sz w:val="24"/>
          <w:szCs w:val="24"/>
          <w:lang w:val="en-US" w:eastAsia="en-CA"/>
        </w:rPr>
        <w:t>John v. Flynn</w:t>
      </w:r>
      <w:r w:rsidRPr="00AF1FA7">
        <w:rPr>
          <w:rFonts w:ascii="Calibri" w:eastAsia="Times New Roman" w:hAnsi="Calibri" w:cs="Calibri"/>
          <w:color w:val="000000"/>
          <w:sz w:val="24"/>
          <w:szCs w:val="24"/>
          <w:lang w:val="en-US" w:eastAsia="en-CA"/>
        </w:rPr>
        <w:t>, [2000] O.J. No. 128 (ONSC), the defendant started drinking in the afternoon, continued drinking during work that night, and drank on the way home from work. He struck the plaintiff in his vehicle and the plaintiff sued the employer. The trial judge found the employer 30% at fault for permitting their employee, a known alcoholic, to drink at work</w:t>
      </w:r>
      <w:hyperlink r:id="rId9" w:anchor="m_6453558962935733209__ftn5" w:history="1">
        <w:r w:rsidRPr="00AF1FA7">
          <w:rPr>
            <w:rFonts w:ascii="Calibri" w:eastAsia="Times New Roman" w:hAnsi="Calibri" w:cs="Calibri"/>
            <w:color w:val="1155CC"/>
            <w:sz w:val="24"/>
            <w:szCs w:val="24"/>
            <w:u w:val="single"/>
            <w:vertAlign w:val="superscript"/>
            <w:lang w:val="en-US" w:eastAsia="en-CA"/>
          </w:rPr>
          <w:t>[5]</w:t>
        </w:r>
      </w:hyperlink>
      <w:r w:rsidRPr="00AF1FA7">
        <w:rPr>
          <w:rFonts w:ascii="Calibri" w:eastAsia="Times New Roman" w:hAnsi="Calibri" w:cs="Calibri"/>
          <w:color w:val="000000"/>
          <w:sz w:val="24"/>
          <w:szCs w:val="24"/>
          <w:lang w:val="en-US" w:eastAsia="en-CA"/>
        </w:rPr>
        <w:t>, but the Court of Appeal overturned the decision and found that the employer could not be held liable in the circumstances</w:t>
      </w:r>
      <w:hyperlink r:id="rId10" w:anchor="m_6453558962935733209__ftn6" w:history="1">
        <w:r w:rsidRPr="00AF1FA7">
          <w:rPr>
            <w:rFonts w:ascii="Calibri" w:eastAsia="Times New Roman" w:hAnsi="Calibri" w:cs="Calibri"/>
            <w:color w:val="1155CC"/>
            <w:sz w:val="24"/>
            <w:szCs w:val="24"/>
            <w:u w:val="single"/>
            <w:vertAlign w:val="superscript"/>
            <w:lang w:val="en-US" w:eastAsia="en-CA"/>
          </w:rPr>
          <w:t>[6]</w:t>
        </w:r>
      </w:hyperlink>
      <w:r w:rsidRPr="00AF1FA7">
        <w:rPr>
          <w:rFonts w:ascii="Calibri" w:eastAsia="Times New Roman" w:hAnsi="Calibri" w:cs="Calibri"/>
          <w:color w:val="000000"/>
          <w:sz w:val="24"/>
          <w:szCs w:val="24"/>
          <w:lang w:val="en-US" w:eastAsia="en-CA"/>
        </w:rPr>
        <w:t>.  </w:t>
      </w:r>
    </w:p>
    <w:p w14:paraId="0B0A60F4"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p>
    <w:p w14:paraId="28362937" w14:textId="77777777" w:rsidR="00AF1FA7" w:rsidRPr="00AF1FA7" w:rsidRDefault="00AF1FA7" w:rsidP="00AF1FA7">
      <w:pPr>
        <w:shd w:val="clear" w:color="auto" w:fill="FFFFFF"/>
        <w:spacing w:after="0" w:line="240" w:lineRule="auto"/>
        <w:rPr>
          <w:rFonts w:ascii="Calibri" w:eastAsia="Times New Roman" w:hAnsi="Calibri" w:cs="Calibri"/>
          <w:color w:val="000000"/>
          <w:sz w:val="24"/>
          <w:szCs w:val="24"/>
          <w:lang w:eastAsia="en-CA"/>
        </w:rPr>
      </w:pPr>
      <w:r w:rsidRPr="00AF1FA7">
        <w:rPr>
          <w:rFonts w:ascii="Calibri" w:eastAsia="Times New Roman" w:hAnsi="Calibri" w:cs="Calibri"/>
          <w:color w:val="000000"/>
          <w:sz w:val="24"/>
          <w:szCs w:val="24"/>
          <w:lang w:eastAsia="en-CA"/>
        </w:rPr>
        <w:pict w14:anchorId="0727A002">
          <v:rect id="_x0000_i1025" style="width:154.45pt;height:.25pt" o:hrpct="330" o:hrstd="t" o:hr="t" fillcolor="#a0a0a0" stroked="f"/>
        </w:pict>
      </w:r>
    </w:p>
    <w:p w14:paraId="40D7DBC7" w14:textId="77777777" w:rsidR="00AF1FA7" w:rsidRPr="00AF1FA7" w:rsidRDefault="00AF1FA7" w:rsidP="00AF1FA7">
      <w:pPr>
        <w:shd w:val="clear" w:color="auto" w:fill="FFFFFF"/>
        <w:spacing w:after="0" w:line="240" w:lineRule="auto"/>
        <w:rPr>
          <w:rFonts w:ascii="Calibri" w:eastAsia="Times New Roman" w:hAnsi="Calibri" w:cs="Calibri"/>
          <w:color w:val="000000"/>
          <w:sz w:val="20"/>
          <w:szCs w:val="20"/>
          <w:lang w:eastAsia="en-CA"/>
        </w:rPr>
      </w:pPr>
      <w:hyperlink r:id="rId11" w:anchor="m_6453558962935733209__ftnref1" w:history="1">
        <w:r w:rsidRPr="00AF1FA7">
          <w:rPr>
            <w:rFonts w:ascii="Calibri" w:eastAsia="Times New Roman" w:hAnsi="Calibri" w:cs="Calibri"/>
            <w:color w:val="1155CC"/>
            <w:sz w:val="20"/>
            <w:szCs w:val="20"/>
            <w:u w:val="single"/>
            <w:vertAlign w:val="superscript"/>
            <w:lang w:val="en-US" w:eastAsia="en-CA"/>
          </w:rPr>
          <w:t>[1]</w:t>
        </w:r>
      </w:hyperlink>
      <w:r w:rsidRPr="00AF1FA7">
        <w:rPr>
          <w:rFonts w:ascii="Calibri" w:eastAsia="Times New Roman" w:hAnsi="Calibri" w:cs="Calibri"/>
          <w:color w:val="000000"/>
          <w:sz w:val="20"/>
          <w:szCs w:val="20"/>
          <w:lang w:val="en-US" w:eastAsia="en-CA"/>
        </w:rPr>
        <w:t> See previous section on Bar Liability</w:t>
      </w:r>
      <w:proofErr w:type="gramStart"/>
      <w:r w:rsidRPr="00AF1FA7">
        <w:rPr>
          <w:rFonts w:ascii="Calibri" w:eastAsia="Times New Roman" w:hAnsi="Calibri" w:cs="Calibri"/>
          <w:color w:val="000000"/>
          <w:sz w:val="20"/>
          <w:szCs w:val="20"/>
          <w:lang w:val="en-US" w:eastAsia="en-CA"/>
        </w:rPr>
        <w:t>.  </w:t>
      </w:r>
      <w:proofErr w:type="gramEnd"/>
    </w:p>
    <w:p w14:paraId="34172EFF" w14:textId="77777777" w:rsidR="00AF1FA7" w:rsidRPr="00AF1FA7" w:rsidRDefault="00AF1FA7" w:rsidP="00AF1FA7">
      <w:pPr>
        <w:shd w:val="clear" w:color="auto" w:fill="FFFFFF"/>
        <w:spacing w:after="0" w:line="240" w:lineRule="auto"/>
        <w:rPr>
          <w:rFonts w:ascii="Calibri" w:eastAsia="Times New Roman" w:hAnsi="Calibri" w:cs="Calibri"/>
          <w:color w:val="000000"/>
          <w:sz w:val="20"/>
          <w:szCs w:val="20"/>
          <w:lang w:eastAsia="en-CA"/>
        </w:rPr>
      </w:pPr>
      <w:hyperlink r:id="rId12" w:anchor="m_6453558962935733209__ftnref2" w:history="1">
        <w:r w:rsidRPr="00AF1FA7">
          <w:rPr>
            <w:rFonts w:ascii="Calibri" w:eastAsia="Times New Roman" w:hAnsi="Calibri" w:cs="Calibri"/>
            <w:color w:val="1155CC"/>
            <w:sz w:val="20"/>
            <w:szCs w:val="20"/>
            <w:u w:val="single"/>
            <w:vertAlign w:val="superscript"/>
            <w:lang w:val="en-US" w:eastAsia="en-CA"/>
          </w:rPr>
          <w:t>[2]</w:t>
        </w:r>
      </w:hyperlink>
      <w:r w:rsidRPr="00AF1FA7">
        <w:rPr>
          <w:rFonts w:ascii="Calibri" w:eastAsia="Times New Roman" w:hAnsi="Calibri" w:cs="Calibri"/>
          <w:color w:val="000000"/>
          <w:sz w:val="20"/>
          <w:szCs w:val="20"/>
          <w:lang w:val="en-US" w:eastAsia="en-CA"/>
        </w:rPr>
        <w:t> See for instance: </w:t>
      </w:r>
      <w:r w:rsidRPr="00AF1FA7">
        <w:rPr>
          <w:rFonts w:ascii="Calibri" w:eastAsia="Times New Roman" w:hAnsi="Calibri" w:cs="Calibri"/>
          <w:i/>
          <w:iCs/>
          <w:color w:val="000000"/>
          <w:sz w:val="20"/>
          <w:szCs w:val="20"/>
          <w:lang w:val="en-US" w:eastAsia="en-CA"/>
        </w:rPr>
        <w:t>Baumeister et al v. Drake</w:t>
      </w:r>
      <w:r w:rsidRPr="00AF1FA7">
        <w:rPr>
          <w:rFonts w:ascii="Calibri" w:eastAsia="Times New Roman" w:hAnsi="Calibri" w:cs="Calibri"/>
          <w:color w:val="000000"/>
          <w:sz w:val="20"/>
          <w:szCs w:val="20"/>
          <w:lang w:val="en-US" w:eastAsia="en-CA"/>
        </w:rPr>
        <w:t> [1986] B.C.J. No. 3008; </w:t>
      </w:r>
      <w:r w:rsidRPr="00AF1FA7">
        <w:rPr>
          <w:rFonts w:ascii="Calibri" w:eastAsia="Times New Roman" w:hAnsi="Calibri" w:cs="Calibri"/>
          <w:i/>
          <w:iCs/>
          <w:color w:val="000000"/>
          <w:sz w:val="20"/>
          <w:szCs w:val="20"/>
          <w:lang w:val="en-US" w:eastAsia="en-CA"/>
        </w:rPr>
        <w:t>Wince v. Ball</w:t>
      </w:r>
      <w:r w:rsidRPr="00AF1FA7">
        <w:rPr>
          <w:rFonts w:ascii="Calibri" w:eastAsia="Times New Roman" w:hAnsi="Calibri" w:cs="Calibri"/>
          <w:color w:val="000000"/>
          <w:sz w:val="20"/>
          <w:szCs w:val="20"/>
          <w:lang w:val="en-US" w:eastAsia="en-CA"/>
        </w:rPr>
        <w:t> [1996] A.J. No. 496 (Alta. Q.B.); </w:t>
      </w:r>
      <w:proofErr w:type="spellStart"/>
      <w:r w:rsidRPr="00AF1FA7">
        <w:rPr>
          <w:rFonts w:ascii="Calibri" w:eastAsia="Times New Roman" w:hAnsi="Calibri" w:cs="Calibri"/>
          <w:i/>
          <w:iCs/>
          <w:color w:val="000000"/>
          <w:sz w:val="20"/>
          <w:szCs w:val="20"/>
          <w:lang w:val="en-US" w:eastAsia="en-CA"/>
        </w:rPr>
        <w:t>Alchimowicz</w:t>
      </w:r>
      <w:proofErr w:type="spellEnd"/>
      <w:r w:rsidRPr="00AF1FA7">
        <w:rPr>
          <w:rFonts w:ascii="Calibri" w:eastAsia="Times New Roman" w:hAnsi="Calibri" w:cs="Calibri"/>
          <w:i/>
          <w:iCs/>
          <w:color w:val="000000"/>
          <w:sz w:val="20"/>
          <w:szCs w:val="20"/>
          <w:lang w:val="en-US" w:eastAsia="en-CA"/>
        </w:rPr>
        <w:t xml:space="preserve"> v. Schram et. al</w:t>
      </w:r>
      <w:r w:rsidRPr="00AF1FA7">
        <w:rPr>
          <w:rFonts w:ascii="Calibri" w:eastAsia="Times New Roman" w:hAnsi="Calibri" w:cs="Calibri"/>
          <w:color w:val="000000"/>
          <w:sz w:val="20"/>
          <w:szCs w:val="20"/>
          <w:lang w:val="en-US" w:eastAsia="en-CA"/>
        </w:rPr>
        <w:t>., [1997] O.J. No. 135 (Gen. Div.), aff’d [1999] O.J. No. 115 (ONCA); </w:t>
      </w:r>
      <w:r w:rsidRPr="00AF1FA7">
        <w:rPr>
          <w:rFonts w:ascii="Calibri" w:eastAsia="Times New Roman" w:hAnsi="Calibri" w:cs="Calibri"/>
          <w:i/>
          <w:iCs/>
          <w:color w:val="000000"/>
          <w:sz w:val="20"/>
          <w:szCs w:val="20"/>
          <w:lang w:val="en-US" w:eastAsia="en-CA"/>
        </w:rPr>
        <w:t>Stevenson v. Clearview Riverside Resort</w:t>
      </w:r>
      <w:r w:rsidRPr="00AF1FA7">
        <w:rPr>
          <w:rFonts w:ascii="Calibri" w:eastAsia="Times New Roman" w:hAnsi="Calibri" w:cs="Calibri"/>
          <w:color w:val="000000"/>
          <w:sz w:val="20"/>
          <w:szCs w:val="20"/>
          <w:lang w:val="en-US" w:eastAsia="en-CA"/>
        </w:rPr>
        <w:t> [2000] O.J. No. 4863; </w:t>
      </w:r>
      <w:proofErr w:type="spellStart"/>
      <w:r w:rsidRPr="00AF1FA7">
        <w:rPr>
          <w:rFonts w:ascii="Calibri" w:eastAsia="Times New Roman" w:hAnsi="Calibri" w:cs="Calibri"/>
          <w:i/>
          <w:iCs/>
          <w:color w:val="000000"/>
          <w:sz w:val="20"/>
          <w:szCs w:val="20"/>
          <w:lang w:val="en-US" w:eastAsia="en-CA"/>
        </w:rPr>
        <w:t>Fitkin</w:t>
      </w:r>
      <w:proofErr w:type="spellEnd"/>
      <w:r w:rsidRPr="00AF1FA7">
        <w:rPr>
          <w:rFonts w:ascii="Calibri" w:eastAsia="Times New Roman" w:hAnsi="Calibri" w:cs="Calibri"/>
          <w:i/>
          <w:iCs/>
          <w:color w:val="000000"/>
          <w:sz w:val="20"/>
          <w:szCs w:val="20"/>
          <w:lang w:val="en-US" w:eastAsia="en-CA"/>
        </w:rPr>
        <w:t xml:space="preserve"> Estate v. Latimer</w:t>
      </w:r>
      <w:r w:rsidRPr="00AF1FA7">
        <w:rPr>
          <w:rFonts w:ascii="Calibri" w:eastAsia="Times New Roman" w:hAnsi="Calibri" w:cs="Calibri"/>
          <w:color w:val="000000"/>
          <w:sz w:val="20"/>
          <w:szCs w:val="20"/>
          <w:lang w:val="en-US" w:eastAsia="en-CA"/>
        </w:rPr>
        <w:t>. [1997] O.J. No. 1449 (Ont. C.A.); </w:t>
      </w:r>
      <w:proofErr w:type="spellStart"/>
      <w:r w:rsidRPr="00AF1FA7">
        <w:rPr>
          <w:rFonts w:ascii="Calibri" w:eastAsia="Times New Roman" w:hAnsi="Calibri" w:cs="Calibri"/>
          <w:i/>
          <w:iCs/>
          <w:color w:val="000000"/>
          <w:sz w:val="20"/>
          <w:szCs w:val="20"/>
          <w:lang w:val="en-US" w:eastAsia="en-CA"/>
        </w:rPr>
        <w:t>Broadfoot</w:t>
      </w:r>
      <w:proofErr w:type="spellEnd"/>
      <w:r w:rsidRPr="00AF1FA7">
        <w:rPr>
          <w:rFonts w:ascii="Calibri" w:eastAsia="Times New Roman" w:hAnsi="Calibri" w:cs="Calibri"/>
          <w:i/>
          <w:iCs/>
          <w:color w:val="000000"/>
          <w:sz w:val="20"/>
          <w:szCs w:val="20"/>
          <w:lang w:val="en-US" w:eastAsia="en-CA"/>
        </w:rPr>
        <w:t xml:space="preserve"> v. Ontario (Minister of Transportation and Communication)</w:t>
      </w:r>
      <w:r w:rsidRPr="00AF1FA7">
        <w:rPr>
          <w:rFonts w:ascii="Calibri" w:eastAsia="Times New Roman" w:hAnsi="Calibri" w:cs="Calibri"/>
          <w:color w:val="000000"/>
          <w:sz w:val="20"/>
          <w:szCs w:val="20"/>
          <w:lang w:val="en-US" w:eastAsia="en-CA"/>
        </w:rPr>
        <w:t>, [1997] O.J. No. 759; </w:t>
      </w:r>
      <w:r w:rsidRPr="00AF1FA7">
        <w:rPr>
          <w:rFonts w:ascii="Calibri" w:eastAsia="Times New Roman" w:hAnsi="Calibri" w:cs="Calibri"/>
          <w:i/>
          <w:iCs/>
          <w:color w:val="000000"/>
          <w:sz w:val="20"/>
          <w:szCs w:val="20"/>
          <w:lang w:val="en-US" w:eastAsia="en-CA"/>
        </w:rPr>
        <w:t>Dryden v. Campbell Estate</w:t>
      </w:r>
      <w:r w:rsidRPr="00AF1FA7">
        <w:rPr>
          <w:rFonts w:ascii="Calibri" w:eastAsia="Times New Roman" w:hAnsi="Calibri" w:cs="Calibri"/>
          <w:color w:val="000000"/>
          <w:sz w:val="20"/>
          <w:szCs w:val="20"/>
          <w:lang w:val="en-US" w:eastAsia="en-CA"/>
        </w:rPr>
        <w:t>, [2001] O.J. No. 829; </w:t>
      </w:r>
      <w:r w:rsidRPr="00AF1FA7">
        <w:rPr>
          <w:rFonts w:ascii="Calibri" w:eastAsia="Times New Roman" w:hAnsi="Calibri" w:cs="Calibri"/>
          <w:i/>
          <w:iCs/>
          <w:color w:val="000000"/>
          <w:sz w:val="20"/>
          <w:szCs w:val="20"/>
          <w:lang w:val="en-US" w:eastAsia="en-CA"/>
        </w:rPr>
        <w:t xml:space="preserve">Prevost (Committee </w:t>
      </w:r>
      <w:proofErr w:type="gramStart"/>
      <w:r w:rsidRPr="00AF1FA7">
        <w:rPr>
          <w:rFonts w:ascii="Calibri" w:eastAsia="Times New Roman" w:hAnsi="Calibri" w:cs="Calibri"/>
          <w:i/>
          <w:iCs/>
          <w:color w:val="000000"/>
          <w:sz w:val="20"/>
          <w:szCs w:val="20"/>
          <w:lang w:val="en-US" w:eastAsia="en-CA"/>
        </w:rPr>
        <w:t>of )</w:t>
      </w:r>
      <w:proofErr w:type="gramEnd"/>
      <w:r w:rsidRPr="00AF1FA7">
        <w:rPr>
          <w:rFonts w:ascii="Calibri" w:eastAsia="Times New Roman" w:hAnsi="Calibri" w:cs="Calibri"/>
          <w:i/>
          <w:iCs/>
          <w:color w:val="000000"/>
          <w:sz w:val="20"/>
          <w:szCs w:val="20"/>
          <w:lang w:val="en-US" w:eastAsia="en-CA"/>
        </w:rPr>
        <w:t xml:space="preserve"> v. Vetter</w:t>
      </w:r>
      <w:r w:rsidRPr="00AF1FA7">
        <w:rPr>
          <w:rFonts w:ascii="Calibri" w:eastAsia="Times New Roman" w:hAnsi="Calibri" w:cs="Calibri"/>
          <w:color w:val="000000"/>
          <w:sz w:val="20"/>
          <w:szCs w:val="20"/>
          <w:lang w:val="en-US" w:eastAsia="en-CA"/>
        </w:rPr>
        <w:t xml:space="preserve">, [2001] B.C.J. No. 323, </w:t>
      </w:r>
      <w:proofErr w:type="spellStart"/>
      <w:r w:rsidRPr="00AF1FA7">
        <w:rPr>
          <w:rFonts w:ascii="Calibri" w:eastAsia="Times New Roman" w:hAnsi="Calibri" w:cs="Calibri"/>
          <w:color w:val="000000"/>
          <w:sz w:val="20"/>
          <w:szCs w:val="20"/>
          <w:lang w:val="en-US" w:eastAsia="en-CA"/>
        </w:rPr>
        <w:t>revs’d</w:t>
      </w:r>
      <w:proofErr w:type="spellEnd"/>
      <w:r w:rsidRPr="00AF1FA7">
        <w:rPr>
          <w:rFonts w:ascii="Calibri" w:eastAsia="Times New Roman" w:hAnsi="Calibri" w:cs="Calibri"/>
          <w:color w:val="000000"/>
          <w:sz w:val="20"/>
          <w:szCs w:val="20"/>
          <w:lang w:val="en-US" w:eastAsia="en-CA"/>
        </w:rPr>
        <w:t xml:space="preserve"> [2002] B.C.J No. 602 (B.C.C.A.). </w:t>
      </w:r>
    </w:p>
    <w:p w14:paraId="7872ADF9" w14:textId="77777777" w:rsidR="00AF1FA7" w:rsidRPr="00AF1FA7" w:rsidRDefault="00AF1FA7" w:rsidP="00AF1FA7">
      <w:pPr>
        <w:shd w:val="clear" w:color="auto" w:fill="FFFFFF"/>
        <w:spacing w:after="0" w:line="240" w:lineRule="auto"/>
        <w:rPr>
          <w:rFonts w:ascii="Calibri" w:eastAsia="Times New Roman" w:hAnsi="Calibri" w:cs="Calibri"/>
          <w:color w:val="000000"/>
          <w:sz w:val="20"/>
          <w:szCs w:val="20"/>
          <w:lang w:eastAsia="en-CA"/>
        </w:rPr>
      </w:pPr>
      <w:hyperlink r:id="rId13" w:anchor="m_6453558962935733209__ftnref3" w:history="1">
        <w:r w:rsidRPr="00AF1FA7">
          <w:rPr>
            <w:rFonts w:ascii="Calibri" w:eastAsia="Times New Roman" w:hAnsi="Calibri" w:cs="Calibri"/>
            <w:color w:val="1155CC"/>
            <w:sz w:val="20"/>
            <w:szCs w:val="20"/>
            <w:u w:val="single"/>
            <w:vertAlign w:val="superscript"/>
            <w:lang w:val="en-US" w:eastAsia="en-CA"/>
          </w:rPr>
          <w:t>[3]</w:t>
        </w:r>
      </w:hyperlink>
      <w:r w:rsidRPr="00AF1FA7">
        <w:rPr>
          <w:rFonts w:ascii="Calibri" w:eastAsia="Times New Roman" w:hAnsi="Calibri" w:cs="Calibri"/>
          <w:color w:val="000000"/>
          <w:sz w:val="20"/>
          <w:szCs w:val="20"/>
          <w:lang w:val="en-US" w:eastAsia="en-CA"/>
        </w:rPr>
        <w:t> See the following cases for liability discussions where defendants have encouraged or allowed impaired driving:  Drinking Companions - </w:t>
      </w:r>
      <w:r w:rsidRPr="00AF1FA7">
        <w:rPr>
          <w:rFonts w:ascii="Calibri" w:eastAsia="Times New Roman" w:hAnsi="Calibri" w:cs="Calibri"/>
          <w:i/>
          <w:iCs/>
          <w:color w:val="000000"/>
          <w:sz w:val="20"/>
          <w:szCs w:val="20"/>
          <w:lang w:val="en-US" w:eastAsia="en-CA"/>
        </w:rPr>
        <w:t>Hall v. Hebert</w:t>
      </w:r>
      <w:r w:rsidRPr="00AF1FA7">
        <w:rPr>
          <w:rFonts w:ascii="Calibri" w:eastAsia="Times New Roman" w:hAnsi="Calibri" w:cs="Calibri"/>
          <w:color w:val="000000"/>
          <w:sz w:val="20"/>
          <w:szCs w:val="20"/>
          <w:lang w:val="en-US" w:eastAsia="en-CA"/>
        </w:rPr>
        <w:t>, (1993), 15 C.C.L.T. (2d) 93 (S.C.C.); </w:t>
      </w:r>
      <w:proofErr w:type="spellStart"/>
      <w:r w:rsidRPr="00AF1FA7">
        <w:rPr>
          <w:rFonts w:ascii="Calibri" w:eastAsia="Times New Roman" w:hAnsi="Calibri" w:cs="Calibri"/>
          <w:i/>
          <w:iCs/>
          <w:color w:val="000000"/>
          <w:sz w:val="20"/>
          <w:szCs w:val="20"/>
          <w:lang w:val="en-US" w:eastAsia="en-CA"/>
        </w:rPr>
        <w:t>Pizzolon</w:t>
      </w:r>
      <w:proofErr w:type="spellEnd"/>
      <w:r w:rsidRPr="00AF1FA7">
        <w:rPr>
          <w:rFonts w:ascii="Calibri" w:eastAsia="Times New Roman" w:hAnsi="Calibri" w:cs="Calibri"/>
          <w:i/>
          <w:iCs/>
          <w:color w:val="000000"/>
          <w:sz w:val="20"/>
          <w:szCs w:val="20"/>
          <w:lang w:val="en-US" w:eastAsia="en-CA"/>
        </w:rPr>
        <w:t xml:space="preserve"> v. Pedrosa</w:t>
      </w:r>
      <w:r w:rsidRPr="00AF1FA7">
        <w:rPr>
          <w:rFonts w:ascii="Calibri" w:eastAsia="Times New Roman" w:hAnsi="Calibri" w:cs="Calibri"/>
          <w:color w:val="000000"/>
          <w:sz w:val="20"/>
          <w:szCs w:val="20"/>
          <w:lang w:val="en-US" w:eastAsia="en-CA"/>
        </w:rPr>
        <w:t>, (1988), 46 C.C.L.T. 243 (B.C. S.C.); </w:t>
      </w:r>
      <w:r w:rsidRPr="00AF1FA7">
        <w:rPr>
          <w:rFonts w:ascii="Calibri" w:eastAsia="Times New Roman" w:hAnsi="Calibri" w:cs="Calibri"/>
          <w:i/>
          <w:iCs/>
          <w:color w:val="000000"/>
          <w:sz w:val="20"/>
          <w:szCs w:val="20"/>
          <w:lang w:val="en-US" w:eastAsia="en-CA"/>
        </w:rPr>
        <w:t>Hague v. Billings,</w:t>
      </w:r>
      <w:r w:rsidRPr="00AF1FA7">
        <w:rPr>
          <w:rFonts w:ascii="Calibri" w:eastAsia="Times New Roman" w:hAnsi="Calibri" w:cs="Calibri"/>
          <w:color w:val="000000"/>
          <w:sz w:val="20"/>
          <w:szCs w:val="20"/>
          <w:lang w:val="en-US" w:eastAsia="en-CA"/>
        </w:rPr>
        <w:t> (1993), 15 C.C.L.T. (2d) 264 (Ont. C.A.); </w:t>
      </w:r>
      <w:r w:rsidRPr="00AF1FA7">
        <w:rPr>
          <w:rFonts w:ascii="Calibri" w:eastAsia="Times New Roman" w:hAnsi="Calibri" w:cs="Calibri"/>
          <w:i/>
          <w:iCs/>
          <w:color w:val="000000"/>
          <w:sz w:val="20"/>
          <w:szCs w:val="20"/>
          <w:lang w:val="en-US" w:eastAsia="en-CA"/>
        </w:rPr>
        <w:t>Roberts v. 964639 Ontario Ltd</w:t>
      </w:r>
      <w:r w:rsidRPr="00AF1FA7">
        <w:rPr>
          <w:rFonts w:ascii="Calibri" w:eastAsia="Times New Roman" w:hAnsi="Calibri" w:cs="Calibri"/>
          <w:color w:val="000000"/>
          <w:sz w:val="20"/>
          <w:szCs w:val="20"/>
          <w:lang w:val="en-US" w:eastAsia="en-CA"/>
        </w:rPr>
        <w:t>., [1996] O.J. No. 56 (ONGD); </w:t>
      </w:r>
      <w:r w:rsidRPr="00AF1FA7">
        <w:rPr>
          <w:rFonts w:ascii="Calibri" w:eastAsia="Times New Roman" w:hAnsi="Calibri" w:cs="Calibri"/>
          <w:i/>
          <w:iCs/>
          <w:color w:val="000000"/>
          <w:sz w:val="20"/>
          <w:szCs w:val="20"/>
          <w:lang w:val="en-US" w:eastAsia="en-CA"/>
        </w:rPr>
        <w:t>Dryden (Litigation Guardian of) v. Campbell Estate</w:t>
      </w:r>
      <w:r w:rsidRPr="00AF1FA7">
        <w:rPr>
          <w:rFonts w:ascii="Calibri" w:eastAsia="Times New Roman" w:hAnsi="Calibri" w:cs="Calibri"/>
          <w:color w:val="000000"/>
          <w:sz w:val="20"/>
          <w:szCs w:val="20"/>
          <w:lang w:val="en-US" w:eastAsia="en-CA"/>
        </w:rPr>
        <w:t>, (2001), 11 M.V.R. (4th) 247 (ONSC); Police - </w:t>
      </w:r>
      <w:r w:rsidRPr="00AF1FA7">
        <w:rPr>
          <w:rFonts w:ascii="Calibri" w:eastAsia="Times New Roman" w:hAnsi="Calibri" w:cs="Calibri"/>
          <w:i/>
          <w:iCs/>
          <w:color w:val="000000"/>
          <w:sz w:val="20"/>
          <w:szCs w:val="20"/>
          <w:lang w:val="en-US" w:eastAsia="en-CA"/>
        </w:rPr>
        <w:t>Hooey v. Mancini</w:t>
      </w:r>
      <w:r w:rsidRPr="00AF1FA7">
        <w:rPr>
          <w:rFonts w:ascii="Calibri" w:eastAsia="Times New Roman" w:hAnsi="Calibri" w:cs="Calibri"/>
          <w:color w:val="000000"/>
          <w:sz w:val="20"/>
          <w:szCs w:val="20"/>
          <w:lang w:val="en-US" w:eastAsia="en-CA"/>
        </w:rPr>
        <w:t>, [1988] 4 W.W.R. 149 (MQB); </w:t>
      </w:r>
      <w:r w:rsidRPr="00AF1FA7">
        <w:rPr>
          <w:rFonts w:ascii="Calibri" w:eastAsia="Times New Roman" w:hAnsi="Calibri" w:cs="Calibri"/>
          <w:i/>
          <w:iCs/>
          <w:color w:val="000000"/>
          <w:sz w:val="20"/>
          <w:szCs w:val="20"/>
          <w:lang w:val="en-US" w:eastAsia="en-CA"/>
        </w:rPr>
        <w:t xml:space="preserve">Lafleur v. </w:t>
      </w:r>
      <w:proofErr w:type="spellStart"/>
      <w:r w:rsidRPr="00AF1FA7">
        <w:rPr>
          <w:rFonts w:ascii="Calibri" w:eastAsia="Times New Roman" w:hAnsi="Calibri" w:cs="Calibri"/>
          <w:i/>
          <w:iCs/>
          <w:color w:val="000000"/>
          <w:sz w:val="20"/>
          <w:szCs w:val="20"/>
          <w:lang w:val="en-US" w:eastAsia="en-CA"/>
        </w:rPr>
        <w:t>Maryniuk</w:t>
      </w:r>
      <w:proofErr w:type="spellEnd"/>
      <w:r w:rsidRPr="00AF1FA7">
        <w:rPr>
          <w:rFonts w:ascii="Calibri" w:eastAsia="Times New Roman" w:hAnsi="Calibri" w:cs="Calibri"/>
          <w:color w:val="000000"/>
          <w:sz w:val="20"/>
          <w:szCs w:val="20"/>
          <w:lang w:val="en-US" w:eastAsia="en-CA"/>
        </w:rPr>
        <w:t>, (1990), 4 C.C.L.T. (2d) 78 (B.C. S.C.); </w:t>
      </w:r>
      <w:proofErr w:type="spellStart"/>
      <w:r w:rsidRPr="00AF1FA7">
        <w:rPr>
          <w:rFonts w:ascii="Calibri" w:eastAsia="Times New Roman" w:hAnsi="Calibri" w:cs="Calibri"/>
          <w:i/>
          <w:iCs/>
          <w:color w:val="000000"/>
          <w:sz w:val="20"/>
          <w:szCs w:val="20"/>
          <w:lang w:val="en-US" w:eastAsia="en-CA"/>
        </w:rPr>
        <w:t>Meraw</w:t>
      </w:r>
      <w:proofErr w:type="spellEnd"/>
      <w:r w:rsidRPr="00AF1FA7">
        <w:rPr>
          <w:rFonts w:ascii="Calibri" w:eastAsia="Times New Roman" w:hAnsi="Calibri" w:cs="Calibri"/>
          <w:i/>
          <w:iCs/>
          <w:color w:val="000000"/>
          <w:sz w:val="20"/>
          <w:szCs w:val="20"/>
          <w:lang w:val="en-US" w:eastAsia="en-CA"/>
        </w:rPr>
        <w:t xml:space="preserve"> v. Curl Estate</w:t>
      </w:r>
      <w:r w:rsidRPr="00AF1FA7">
        <w:rPr>
          <w:rFonts w:ascii="Calibri" w:eastAsia="Times New Roman" w:hAnsi="Calibri" w:cs="Calibri"/>
          <w:color w:val="000000"/>
          <w:sz w:val="20"/>
          <w:szCs w:val="20"/>
          <w:lang w:val="en-US" w:eastAsia="en-CA"/>
        </w:rPr>
        <w:t> (1998), 43 C.C.L.T. (2d) 47 (OGD). </w:t>
      </w:r>
    </w:p>
    <w:p w14:paraId="62891248" w14:textId="77777777" w:rsidR="00AF1FA7" w:rsidRPr="00AF1FA7" w:rsidRDefault="00AF1FA7" w:rsidP="00AF1FA7">
      <w:pPr>
        <w:shd w:val="clear" w:color="auto" w:fill="FFFFFF"/>
        <w:spacing w:after="0" w:line="240" w:lineRule="auto"/>
        <w:rPr>
          <w:rFonts w:ascii="Calibri" w:eastAsia="Times New Roman" w:hAnsi="Calibri" w:cs="Calibri"/>
          <w:color w:val="000000"/>
          <w:sz w:val="20"/>
          <w:szCs w:val="20"/>
          <w:lang w:eastAsia="en-CA"/>
        </w:rPr>
      </w:pPr>
      <w:hyperlink r:id="rId14" w:anchor="m_6453558962935733209__ftnref4" w:history="1">
        <w:r w:rsidRPr="00AF1FA7">
          <w:rPr>
            <w:rFonts w:ascii="Calibri" w:eastAsia="Times New Roman" w:hAnsi="Calibri" w:cs="Calibri"/>
            <w:color w:val="1155CC"/>
            <w:sz w:val="20"/>
            <w:szCs w:val="20"/>
            <w:u w:val="single"/>
            <w:vertAlign w:val="superscript"/>
            <w:lang w:val="en-US" w:eastAsia="en-CA"/>
          </w:rPr>
          <w:t>[4]</w:t>
        </w:r>
      </w:hyperlink>
      <w:r w:rsidRPr="00AF1FA7">
        <w:rPr>
          <w:rFonts w:ascii="Calibri" w:eastAsia="Times New Roman" w:hAnsi="Calibri" w:cs="Calibri"/>
          <w:color w:val="000000"/>
          <w:sz w:val="20"/>
          <w:szCs w:val="20"/>
          <w:lang w:val="en-US" w:eastAsia="en-CA"/>
        </w:rPr>
        <w:t> See for instance: </w:t>
      </w:r>
      <w:r w:rsidRPr="00AF1FA7">
        <w:rPr>
          <w:rFonts w:ascii="Calibri" w:eastAsia="Times New Roman" w:hAnsi="Calibri" w:cs="Calibri"/>
          <w:i/>
          <w:iCs/>
          <w:color w:val="000000"/>
          <w:sz w:val="20"/>
          <w:szCs w:val="20"/>
          <w:lang w:val="en-US" w:eastAsia="en-CA"/>
        </w:rPr>
        <w:t xml:space="preserve">Kelly v. </w:t>
      </w:r>
      <w:proofErr w:type="spellStart"/>
      <w:r w:rsidRPr="00AF1FA7">
        <w:rPr>
          <w:rFonts w:ascii="Calibri" w:eastAsia="Times New Roman" w:hAnsi="Calibri" w:cs="Calibri"/>
          <w:i/>
          <w:iCs/>
          <w:color w:val="000000"/>
          <w:sz w:val="20"/>
          <w:szCs w:val="20"/>
          <w:lang w:val="en-US" w:eastAsia="en-CA"/>
        </w:rPr>
        <w:t>Gwinnell</w:t>
      </w:r>
      <w:proofErr w:type="spellEnd"/>
      <w:r w:rsidRPr="00AF1FA7">
        <w:rPr>
          <w:rFonts w:ascii="Calibri" w:eastAsia="Times New Roman" w:hAnsi="Calibri" w:cs="Calibri"/>
          <w:color w:val="000000"/>
          <w:sz w:val="20"/>
          <w:szCs w:val="20"/>
          <w:lang w:val="en-US" w:eastAsia="en-CA"/>
        </w:rPr>
        <w:t> 476 A. 2d 1219 (N.J. 1984), </w:t>
      </w:r>
      <w:r w:rsidRPr="00AF1FA7">
        <w:rPr>
          <w:rFonts w:ascii="Calibri" w:eastAsia="Times New Roman" w:hAnsi="Calibri" w:cs="Calibri"/>
          <w:i/>
          <w:iCs/>
          <w:color w:val="000000"/>
          <w:sz w:val="20"/>
          <w:szCs w:val="20"/>
          <w:lang w:val="en-US" w:eastAsia="en-CA"/>
        </w:rPr>
        <w:t>Walker v. Kennedy</w:t>
      </w:r>
      <w:r w:rsidRPr="00AF1FA7">
        <w:rPr>
          <w:rFonts w:ascii="Calibri" w:eastAsia="Times New Roman" w:hAnsi="Calibri" w:cs="Calibri"/>
          <w:color w:val="000000"/>
          <w:sz w:val="20"/>
          <w:szCs w:val="20"/>
          <w:lang w:val="en-US" w:eastAsia="en-CA"/>
        </w:rPr>
        <w:t>, 338 N.W. 2d 254; </w:t>
      </w:r>
      <w:r w:rsidRPr="00AF1FA7">
        <w:rPr>
          <w:rFonts w:ascii="Calibri" w:eastAsia="Times New Roman" w:hAnsi="Calibri" w:cs="Calibri"/>
          <w:i/>
          <w:iCs/>
          <w:color w:val="000000"/>
          <w:sz w:val="20"/>
          <w:szCs w:val="20"/>
          <w:lang w:val="en-US" w:eastAsia="en-CA"/>
        </w:rPr>
        <w:t>Huston v. Konieczny</w:t>
      </w:r>
      <w:r w:rsidRPr="00AF1FA7">
        <w:rPr>
          <w:rFonts w:ascii="Calibri" w:eastAsia="Times New Roman" w:hAnsi="Calibri" w:cs="Calibri"/>
          <w:color w:val="000000"/>
          <w:sz w:val="20"/>
          <w:szCs w:val="20"/>
          <w:lang w:val="en-US" w:eastAsia="en-CA"/>
        </w:rPr>
        <w:t> 52 Ohio St. 3d 214; </w:t>
      </w:r>
      <w:r w:rsidRPr="00AF1FA7">
        <w:rPr>
          <w:rFonts w:ascii="Calibri" w:eastAsia="Times New Roman" w:hAnsi="Calibri" w:cs="Calibri"/>
          <w:i/>
          <w:iCs/>
          <w:color w:val="000000"/>
          <w:sz w:val="20"/>
          <w:szCs w:val="20"/>
          <w:lang w:val="en-US" w:eastAsia="en-CA"/>
        </w:rPr>
        <w:t>Hernandez v. Arizona Board of Regents</w:t>
      </w:r>
      <w:r w:rsidRPr="00AF1FA7">
        <w:rPr>
          <w:rFonts w:ascii="Calibri" w:eastAsia="Times New Roman" w:hAnsi="Calibri" w:cs="Calibri"/>
          <w:color w:val="000000"/>
          <w:sz w:val="20"/>
          <w:szCs w:val="20"/>
          <w:lang w:val="en-US" w:eastAsia="en-CA"/>
        </w:rPr>
        <w:t> 866 Pacific Reporter (2d) 1329. </w:t>
      </w:r>
    </w:p>
    <w:p w14:paraId="3F8F327E" w14:textId="77777777" w:rsidR="00AF1FA7" w:rsidRPr="00AF1FA7" w:rsidRDefault="00AF1FA7" w:rsidP="00AF1FA7">
      <w:pPr>
        <w:shd w:val="clear" w:color="auto" w:fill="FFFFFF"/>
        <w:spacing w:after="0" w:line="240" w:lineRule="auto"/>
        <w:rPr>
          <w:rFonts w:ascii="Calibri" w:eastAsia="Times New Roman" w:hAnsi="Calibri" w:cs="Calibri"/>
          <w:color w:val="000000"/>
          <w:sz w:val="20"/>
          <w:szCs w:val="20"/>
          <w:lang w:eastAsia="en-CA"/>
        </w:rPr>
      </w:pPr>
      <w:hyperlink r:id="rId15" w:anchor="m_6453558962935733209__ftnref5" w:history="1">
        <w:r w:rsidRPr="00AF1FA7">
          <w:rPr>
            <w:rFonts w:ascii="Calibri" w:eastAsia="Times New Roman" w:hAnsi="Calibri" w:cs="Calibri"/>
            <w:color w:val="1155CC"/>
            <w:sz w:val="20"/>
            <w:szCs w:val="20"/>
            <w:u w:val="single"/>
            <w:vertAlign w:val="superscript"/>
            <w:lang w:val="en-US" w:eastAsia="en-CA"/>
          </w:rPr>
          <w:t>[5]</w:t>
        </w:r>
      </w:hyperlink>
      <w:r w:rsidRPr="00AF1FA7">
        <w:rPr>
          <w:rFonts w:ascii="Calibri" w:eastAsia="Times New Roman" w:hAnsi="Calibri" w:cs="Calibri"/>
          <w:i/>
          <w:iCs/>
          <w:color w:val="000000"/>
          <w:sz w:val="20"/>
          <w:szCs w:val="20"/>
          <w:lang w:val="en-US" w:eastAsia="en-CA"/>
        </w:rPr>
        <w:t>John v. Flynn</w:t>
      </w:r>
      <w:r w:rsidRPr="00AF1FA7">
        <w:rPr>
          <w:rFonts w:ascii="Calibri" w:eastAsia="Times New Roman" w:hAnsi="Calibri" w:cs="Calibri"/>
          <w:color w:val="000000"/>
          <w:sz w:val="20"/>
          <w:szCs w:val="20"/>
          <w:lang w:val="en-US" w:eastAsia="en-CA"/>
        </w:rPr>
        <w:t>, [2000] O.J. No. 128 (ONSC) </w:t>
      </w:r>
    </w:p>
    <w:p w14:paraId="7390D98C" w14:textId="77777777" w:rsidR="00AF1FA7" w:rsidRPr="00AF1FA7" w:rsidRDefault="00AF1FA7" w:rsidP="00AF1FA7">
      <w:pPr>
        <w:shd w:val="clear" w:color="auto" w:fill="FFFFFF"/>
        <w:spacing w:after="0" w:line="240" w:lineRule="auto"/>
        <w:rPr>
          <w:rFonts w:ascii="Calibri" w:eastAsia="Times New Roman" w:hAnsi="Calibri" w:cs="Calibri"/>
          <w:color w:val="000000"/>
          <w:sz w:val="20"/>
          <w:szCs w:val="20"/>
          <w:lang w:eastAsia="en-CA"/>
        </w:rPr>
      </w:pPr>
      <w:hyperlink r:id="rId16" w:anchor="m_6453558962935733209__ftnref6" w:history="1">
        <w:r w:rsidRPr="00AF1FA7">
          <w:rPr>
            <w:rFonts w:ascii="Calibri" w:eastAsia="Times New Roman" w:hAnsi="Calibri" w:cs="Calibri"/>
            <w:color w:val="1155CC"/>
            <w:sz w:val="20"/>
            <w:szCs w:val="20"/>
            <w:u w:val="single"/>
            <w:vertAlign w:val="superscript"/>
            <w:lang w:val="en-US" w:eastAsia="en-CA"/>
          </w:rPr>
          <w:t>[6]</w:t>
        </w:r>
      </w:hyperlink>
      <w:r w:rsidRPr="00AF1FA7">
        <w:rPr>
          <w:rFonts w:ascii="Calibri" w:eastAsia="Times New Roman" w:hAnsi="Calibri" w:cs="Calibri"/>
          <w:i/>
          <w:iCs/>
          <w:color w:val="000000"/>
          <w:sz w:val="20"/>
          <w:szCs w:val="20"/>
          <w:lang w:val="en-US" w:eastAsia="en-CA"/>
        </w:rPr>
        <w:t>John v. Flynn</w:t>
      </w:r>
      <w:r w:rsidRPr="00AF1FA7">
        <w:rPr>
          <w:rFonts w:ascii="Calibri" w:eastAsia="Times New Roman" w:hAnsi="Calibri" w:cs="Calibri"/>
          <w:color w:val="000000"/>
          <w:sz w:val="20"/>
          <w:szCs w:val="20"/>
          <w:lang w:val="en-US" w:eastAsia="en-CA"/>
        </w:rPr>
        <w:t>, (2001) 54 O.R. (3d) 774, [2001] O.J. No. 2578 (ONCA), leave to appeal dismissed, S.C.C. File No. 28739, S.C.C. Bulletin, 2002, p. 716. See also </w:t>
      </w:r>
      <w:r w:rsidRPr="00AF1FA7">
        <w:rPr>
          <w:rFonts w:ascii="Calibri" w:eastAsia="Times New Roman" w:hAnsi="Calibri" w:cs="Calibri"/>
          <w:i/>
          <w:iCs/>
          <w:color w:val="000000"/>
          <w:sz w:val="20"/>
          <w:szCs w:val="20"/>
          <w:lang w:val="en-US" w:eastAsia="en-CA"/>
        </w:rPr>
        <w:t>Hunt v. Sutton Group Incentive Realty Inc.</w:t>
      </w:r>
      <w:r w:rsidRPr="00AF1FA7">
        <w:rPr>
          <w:rFonts w:ascii="Calibri" w:eastAsia="Times New Roman" w:hAnsi="Calibri" w:cs="Calibri"/>
          <w:color w:val="000000"/>
          <w:sz w:val="20"/>
          <w:szCs w:val="20"/>
          <w:lang w:val="en-US" w:eastAsia="en-CA"/>
        </w:rPr>
        <w:t>, [2001] O.J. No. 374 (2001), 196 D.L.R. (4</w:t>
      </w:r>
      <w:r w:rsidRPr="00AF1FA7">
        <w:rPr>
          <w:rFonts w:ascii="Calibri" w:eastAsia="Times New Roman" w:hAnsi="Calibri" w:cs="Calibri"/>
          <w:color w:val="000000"/>
          <w:sz w:val="20"/>
          <w:szCs w:val="20"/>
          <w:vertAlign w:val="superscript"/>
          <w:lang w:val="en-US" w:eastAsia="en-CA"/>
        </w:rPr>
        <w:t>th</w:t>
      </w:r>
      <w:r w:rsidRPr="00AF1FA7">
        <w:rPr>
          <w:rFonts w:ascii="Calibri" w:eastAsia="Times New Roman" w:hAnsi="Calibri" w:cs="Calibri"/>
          <w:color w:val="000000"/>
          <w:sz w:val="20"/>
          <w:szCs w:val="20"/>
          <w:lang w:val="en-US" w:eastAsia="en-CA"/>
        </w:rPr>
        <w:t>) 738, 52 O.R. (3d) 425 (ONSC), appeal allowed [2002] O.J. No. 3109, (2002) 60 O.R. (3d) 665, 215 D.L.R. (4</w:t>
      </w:r>
      <w:r w:rsidRPr="00AF1FA7">
        <w:rPr>
          <w:rFonts w:ascii="Calibri" w:eastAsia="Times New Roman" w:hAnsi="Calibri" w:cs="Calibri"/>
          <w:color w:val="000000"/>
          <w:sz w:val="20"/>
          <w:szCs w:val="20"/>
          <w:vertAlign w:val="superscript"/>
          <w:lang w:val="en-US" w:eastAsia="en-CA"/>
        </w:rPr>
        <w:t>th</w:t>
      </w:r>
      <w:r w:rsidRPr="00AF1FA7">
        <w:rPr>
          <w:rFonts w:ascii="Calibri" w:eastAsia="Times New Roman" w:hAnsi="Calibri" w:cs="Calibri"/>
          <w:color w:val="000000"/>
          <w:sz w:val="20"/>
          <w:szCs w:val="20"/>
          <w:lang w:val="en-US" w:eastAsia="en-CA"/>
        </w:rPr>
        <w:t>) 193</w:t>
      </w:r>
      <w:proofErr w:type="gramStart"/>
      <w:r w:rsidRPr="00AF1FA7">
        <w:rPr>
          <w:rFonts w:ascii="Calibri" w:eastAsia="Times New Roman" w:hAnsi="Calibri" w:cs="Calibri"/>
          <w:color w:val="000000"/>
          <w:sz w:val="20"/>
          <w:szCs w:val="20"/>
          <w:lang w:val="en-US" w:eastAsia="en-CA"/>
        </w:rPr>
        <w:t>.  </w:t>
      </w:r>
      <w:proofErr w:type="gramEnd"/>
    </w:p>
    <w:p w14:paraId="7CC0DF03" w14:textId="77777777" w:rsidR="00E2004F" w:rsidRDefault="00E2004F"/>
    <w:sectPr w:rsidR="00E20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460C0"/>
    <w:multiLevelType w:val="multilevel"/>
    <w:tmpl w:val="E686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A7"/>
    <w:rsid w:val="00AF1FA7"/>
    <w:rsid w:val="00E200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C37F"/>
  <w15:chartTrackingRefBased/>
  <w15:docId w15:val="{AC649B88-CD7E-478B-9CE2-8A20A208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539326">
      <w:bodyDiv w:val="1"/>
      <w:marLeft w:val="0"/>
      <w:marRight w:val="0"/>
      <w:marTop w:val="0"/>
      <w:marBottom w:val="0"/>
      <w:divBdr>
        <w:top w:val="none" w:sz="0" w:space="0" w:color="auto"/>
        <w:left w:val="none" w:sz="0" w:space="0" w:color="auto"/>
        <w:bottom w:val="none" w:sz="0" w:space="0" w:color="auto"/>
        <w:right w:val="none" w:sz="0" w:space="0" w:color="auto"/>
      </w:divBdr>
      <w:divsChild>
        <w:div w:id="1284337628">
          <w:marLeft w:val="0"/>
          <w:marRight w:val="0"/>
          <w:marTop w:val="0"/>
          <w:marBottom w:val="0"/>
          <w:divBdr>
            <w:top w:val="none" w:sz="0" w:space="0" w:color="auto"/>
            <w:left w:val="none" w:sz="0" w:space="0" w:color="auto"/>
            <w:bottom w:val="none" w:sz="0" w:space="0" w:color="auto"/>
            <w:right w:val="none" w:sz="0" w:space="0" w:color="auto"/>
          </w:divBdr>
          <w:divsChild>
            <w:div w:id="855538643">
              <w:marLeft w:val="0"/>
              <w:marRight w:val="0"/>
              <w:marTop w:val="0"/>
              <w:marBottom w:val="0"/>
              <w:divBdr>
                <w:top w:val="none" w:sz="0" w:space="0" w:color="auto"/>
                <w:left w:val="none" w:sz="0" w:space="0" w:color="auto"/>
                <w:bottom w:val="none" w:sz="0" w:space="0" w:color="auto"/>
                <w:right w:val="none" w:sz="0" w:space="0" w:color="auto"/>
              </w:divBdr>
            </w:div>
            <w:div w:id="1929197186">
              <w:marLeft w:val="0"/>
              <w:marRight w:val="0"/>
              <w:marTop w:val="0"/>
              <w:marBottom w:val="0"/>
              <w:divBdr>
                <w:top w:val="none" w:sz="0" w:space="0" w:color="auto"/>
                <w:left w:val="none" w:sz="0" w:space="0" w:color="auto"/>
                <w:bottom w:val="none" w:sz="0" w:space="0" w:color="auto"/>
                <w:right w:val="none" w:sz="0" w:space="0" w:color="auto"/>
              </w:divBdr>
            </w:div>
            <w:div w:id="940453181">
              <w:marLeft w:val="0"/>
              <w:marRight w:val="0"/>
              <w:marTop w:val="0"/>
              <w:marBottom w:val="0"/>
              <w:divBdr>
                <w:top w:val="none" w:sz="0" w:space="0" w:color="auto"/>
                <w:left w:val="none" w:sz="0" w:space="0" w:color="auto"/>
                <w:bottom w:val="none" w:sz="0" w:space="0" w:color="auto"/>
                <w:right w:val="none" w:sz="0" w:space="0" w:color="auto"/>
              </w:divBdr>
            </w:div>
            <w:div w:id="622465303">
              <w:marLeft w:val="0"/>
              <w:marRight w:val="0"/>
              <w:marTop w:val="0"/>
              <w:marBottom w:val="0"/>
              <w:divBdr>
                <w:top w:val="none" w:sz="0" w:space="0" w:color="auto"/>
                <w:left w:val="none" w:sz="0" w:space="0" w:color="auto"/>
                <w:bottom w:val="none" w:sz="0" w:space="0" w:color="auto"/>
                <w:right w:val="none" w:sz="0" w:space="0" w:color="auto"/>
              </w:divBdr>
            </w:div>
            <w:div w:id="598216412">
              <w:marLeft w:val="0"/>
              <w:marRight w:val="0"/>
              <w:marTop w:val="0"/>
              <w:marBottom w:val="0"/>
              <w:divBdr>
                <w:top w:val="none" w:sz="0" w:space="0" w:color="auto"/>
                <w:left w:val="none" w:sz="0" w:space="0" w:color="auto"/>
                <w:bottom w:val="none" w:sz="0" w:space="0" w:color="auto"/>
                <w:right w:val="none" w:sz="0" w:space="0" w:color="auto"/>
              </w:divBdr>
            </w:div>
            <w:div w:id="5907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google.com/mail/u/0/" TargetMode="External"/><Relationship Id="rId13" Type="http://schemas.openxmlformats.org/officeDocument/2006/relationships/hyperlink" Target="https://mail.google.com/mail/u/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il.google.com/mail/u/0/" TargetMode="External"/><Relationship Id="rId12" Type="http://schemas.openxmlformats.org/officeDocument/2006/relationships/hyperlink" Target="https://mail.google.com/mail/u/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il.google.com/mail/u/0/" TargetMode="External"/><Relationship Id="rId1" Type="http://schemas.openxmlformats.org/officeDocument/2006/relationships/numbering" Target="numbering.xml"/><Relationship Id="rId6" Type="http://schemas.openxmlformats.org/officeDocument/2006/relationships/hyperlink" Target="https://mail.google.com/mail/u/0/" TargetMode="External"/><Relationship Id="rId11" Type="http://schemas.openxmlformats.org/officeDocument/2006/relationships/hyperlink" Target="https://mail.google.com/mail/u/0/" TargetMode="External"/><Relationship Id="rId5" Type="http://schemas.openxmlformats.org/officeDocument/2006/relationships/hyperlink" Target="https://mail.google.com/mail/u/0/" TargetMode="External"/><Relationship Id="rId15" Type="http://schemas.openxmlformats.org/officeDocument/2006/relationships/hyperlink" Target="https://mail.google.com/mail/u/0/" TargetMode="External"/><Relationship Id="rId10" Type="http://schemas.openxmlformats.org/officeDocument/2006/relationships/hyperlink" Target="https://mail.google.com/mail/u/0/" TargetMode="External"/><Relationship Id="rId4" Type="http://schemas.openxmlformats.org/officeDocument/2006/relationships/webSettings" Target="webSettings.xml"/><Relationship Id="rId9" Type="http://schemas.openxmlformats.org/officeDocument/2006/relationships/hyperlink" Target="https://mail.google.com/mail/u/0/" TargetMode="External"/><Relationship Id="rId14" Type="http://schemas.openxmlformats.org/officeDocument/2006/relationships/hyperlink" Target="https://mail.google.com/mai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Rafeena Bacchus</dc:creator>
  <cp:keywords/>
  <dc:description/>
  <cp:lastModifiedBy>Rafeena Bacchus</cp:lastModifiedBy>
  <cp:revision>1</cp:revision>
  <dcterms:created xsi:type="dcterms:W3CDTF">2021-11-06T23:42:00Z</dcterms:created>
  <dcterms:modified xsi:type="dcterms:W3CDTF">2021-11-06T23:43:00Z</dcterms:modified>
</cp:coreProperties>
</file>