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209"/>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3D7C58F8">
          <w:pPr>
            <w:pStyle w:val="1210"/>
            <w:pBdr/>
            <w:tabs>
              <w:tab w:val="left" w:leader="none" w:pos="567"/>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39" w:anchor="_Toc39" w:history="1">
            <w:r>
              <w:rPr>
                <w:rFonts w:ascii="Arial" w:hAnsi="Arial" w:eastAsia="Times New Roman" w:cs="Arial"/>
              </w:rPr>
              <w:t xml:space="preserve">2.</w:t>
            </w:r>
            <w:r>
              <w:tab/>
            </w:r>
            <w:r>
              <w:rPr>
                <w:rStyle w:val="1212"/>
              </w:rPr>
            </w:r>
            <w:r>
              <w:rPr>
                <w:rStyle w:val="1212"/>
              </w:rPr>
              <w:t xml:space="preserve">Resumen</w:t>
            </w:r>
            <w:r>
              <w:rPr>
                <w:rStyle w:val="1212"/>
              </w:rPr>
            </w:r>
            <w:r>
              <w:tab/>
            </w:r>
            <w:r>
              <w:fldChar w:fldCharType="begin"/>
              <w:instrText xml:space="preserve">PAGEREF _Toc39 \h</w:instrText>
              <w:fldChar w:fldCharType="separate"/>
              <w:t xml:space="preserve">3</w:t>
              <w:fldChar w:fldCharType="end"/>
            </w:r>
          </w:hyperlink>
          <w:r/>
          <w:r/>
        </w:p>
        <w:p w14:paraId="36246896">
          <w:pPr>
            <w:pStyle w:val="1210"/>
            <w:pBdr/>
            <w:tabs>
              <w:tab w:val="left" w:leader="none" w:pos="567"/>
              <w:tab w:val="right" w:leader="dot" w:pos="8494"/>
            </w:tabs>
            <w:spacing/>
            <w:ind/>
            <w:rPr/>
          </w:pPr>
          <w:r/>
          <w:hyperlink w:tooltip="#_Toc40" w:anchor="_Toc40" w:history="1">
            <w:r>
              <w:rPr>
                <w:rFonts w:ascii="Arial" w:hAnsi="Arial" w:eastAsia="Times New Roman" w:cs="Arial"/>
              </w:rPr>
              <w:t xml:space="preserve">3.</w:t>
            </w:r>
            <w:r>
              <w:tab/>
            </w:r>
            <w:r>
              <w:rPr>
                <w:rStyle w:val="1212"/>
              </w:rPr>
            </w:r>
            <w:r>
              <w:rPr>
                <w:rStyle w:val="1212"/>
              </w:rPr>
              <w:t xml:space="preserve">Abstract</w:t>
            </w:r>
            <w:r>
              <w:rPr>
                <w:rStyle w:val="1212"/>
              </w:rPr>
            </w:r>
            <w:r>
              <w:tab/>
            </w:r>
            <w:r>
              <w:fldChar w:fldCharType="begin"/>
              <w:instrText xml:space="preserve">PAGEREF _Toc40 \h</w:instrText>
              <w:fldChar w:fldCharType="separate"/>
              <w:t xml:space="preserve">4</w:t>
              <w:fldChar w:fldCharType="end"/>
            </w:r>
          </w:hyperlink>
          <w:r/>
          <w:r/>
        </w:p>
        <w:p w14:paraId="1C83D72F">
          <w:pPr>
            <w:pStyle w:val="1210"/>
            <w:pBdr/>
            <w:tabs>
              <w:tab w:val="left" w:leader="none" w:pos="567"/>
              <w:tab w:val="right" w:leader="dot" w:pos="8494"/>
            </w:tabs>
            <w:spacing/>
            <w:ind/>
            <w:rPr>
              <w:rFonts w:ascii="Arial" w:hAnsi="Arial" w:cs="Arial"/>
            </w:rPr>
          </w:pPr>
          <w:r/>
          <w:hyperlink w:tooltip="#_Toc41" w:anchor="_Toc41"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_Toc41 \h</w:instrText>
              <w:fldChar w:fldCharType="separate"/>
              <w:t xml:space="preserve">5</w:t>
              <w:fldChar w:fldCharType="end"/>
            </w:r>
          </w:hyperlink>
          <w:r>
            <w:rPr>
              <w:rFonts w:ascii="Arial" w:hAnsi="Arial" w:cs="Arial"/>
            </w:rPr>
          </w:r>
          <w:r>
            <w:rPr>
              <w:rFonts w:ascii="Arial" w:hAnsi="Arial" w:cs="Arial"/>
            </w:rPr>
          </w:r>
        </w:p>
        <w:p w14:paraId="0745505B">
          <w:pPr>
            <w:pStyle w:val="1211"/>
            <w:pBdr/>
            <w:tabs>
              <w:tab w:val="left" w:leader="none" w:pos="1134"/>
              <w:tab w:val="right" w:leader="dot" w:pos="8494"/>
            </w:tabs>
            <w:spacing/>
            <w:ind/>
            <w:rPr>
              <w:rFonts w:ascii="Arial" w:hAnsi="Arial" w:cs="Arial"/>
              <w:b/>
              <w:bCs/>
            </w:rPr>
          </w:pPr>
          <w:r/>
          <w:hyperlink w:tooltip="#_Toc42" w:anchor="_Toc42" w:history="1">
            <w:r>
              <w:rPr>
                <w:rFonts w:ascii="Arial" w:hAnsi="Arial" w:eastAsia="Arial" w:cs="Arial"/>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_Toc42 \h</w:instrText>
              <w:fldChar w:fldCharType="separate"/>
              <w:t xml:space="preserve">5</w:t>
              <w:fldChar w:fldCharType="end"/>
            </w:r>
          </w:hyperlink>
          <w:r>
            <w:rPr>
              <w:rFonts w:ascii="Arial" w:hAnsi="Arial" w:cs="Arial"/>
              <w:b/>
              <w:bCs/>
            </w:rPr>
          </w:r>
          <w:r>
            <w:rPr>
              <w:rFonts w:ascii="Arial" w:hAnsi="Arial" w:cs="Arial"/>
              <w:b/>
              <w:bCs/>
            </w:rPr>
          </w:r>
        </w:p>
        <w:p w14:paraId="228D9D72">
          <w:pPr>
            <w:pStyle w:val="1211"/>
            <w:pBdr/>
            <w:tabs>
              <w:tab w:val="left" w:leader="none" w:pos="1134"/>
              <w:tab w:val="right" w:leader="dot" w:pos="8494"/>
            </w:tabs>
            <w:spacing/>
            <w:ind/>
            <w:rPr>
              <w:rFonts w:ascii="Arial" w:hAnsi="Arial" w:cs="Arial"/>
              <w:b/>
              <w:bCs/>
            </w:rPr>
          </w:pPr>
          <w:r/>
          <w:hyperlink w:tooltip="#_Toc43" w:anchor="_Toc43" w:history="1">
            <w:r>
              <w:rPr>
                <w:rFonts w:ascii="Arial" w:hAnsi="Arial" w:eastAsia="Arial" w:cs="Arial"/>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_Toc43 \h</w:instrText>
              <w:fldChar w:fldCharType="separate"/>
              <w:t xml:space="preserve">5</w:t>
              <w:fldChar w:fldCharType="end"/>
            </w:r>
          </w:hyperlink>
          <w:r>
            <w:rPr>
              <w:rFonts w:ascii="Arial" w:hAnsi="Arial" w:cs="Arial"/>
              <w:b/>
              <w:bCs/>
            </w:rPr>
          </w:r>
          <w:r>
            <w:rPr>
              <w:rFonts w:ascii="Arial" w:hAnsi="Arial" w:cs="Arial"/>
              <w:b/>
              <w:bCs/>
            </w:rPr>
          </w:r>
        </w:p>
        <w:p w14:paraId="1E877876">
          <w:pPr>
            <w:pStyle w:val="1211"/>
            <w:pBdr/>
            <w:tabs>
              <w:tab w:val="left" w:leader="none" w:pos="1134"/>
              <w:tab w:val="right" w:leader="dot" w:pos="8494"/>
            </w:tabs>
            <w:spacing/>
            <w:ind/>
            <w:rPr>
              <w:rFonts w:ascii="Arial" w:hAnsi="Arial" w:cs="Arial"/>
              <w:b/>
              <w:bCs/>
            </w:rPr>
          </w:pPr>
          <w:r/>
          <w:hyperlink w:tooltip="#_Toc44" w:anchor="_Toc44" w:history="1">
            <w:r>
              <w:rPr>
                <w:rFonts w:ascii="Arial" w:hAnsi="Arial" w:eastAsia="Arial" w:cs="Arial"/>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_Toc44 \h</w:instrText>
              <w:fldChar w:fldCharType="separate"/>
              <w:t xml:space="preserve">7</w:t>
              <w:fldChar w:fldCharType="end"/>
            </w:r>
          </w:hyperlink>
          <w:r>
            <w:rPr>
              <w:rFonts w:ascii="Arial" w:hAnsi="Arial" w:cs="Arial"/>
              <w:b/>
              <w:bCs/>
            </w:rPr>
          </w:r>
          <w:r>
            <w:rPr>
              <w:rFonts w:ascii="Arial" w:hAnsi="Arial" w:cs="Arial"/>
              <w:b/>
              <w:bCs/>
            </w:rPr>
          </w:r>
        </w:p>
        <w:p w14:paraId="49146DEA">
          <w:pPr>
            <w:pStyle w:val="1210"/>
            <w:pBdr/>
            <w:tabs>
              <w:tab w:val="left" w:leader="none" w:pos="567"/>
              <w:tab w:val="right" w:leader="dot" w:pos="8494"/>
            </w:tabs>
            <w:spacing/>
            <w:ind/>
            <w:rPr>
              <w:rFonts w:ascii="Arial" w:hAnsi="Arial" w:cs="Arial"/>
            </w:rPr>
          </w:pPr>
          <w:r/>
          <w:hyperlink w:tooltip="#_Toc45" w:anchor="_Toc45"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_Toc45 \h</w:instrText>
              <w:fldChar w:fldCharType="separate"/>
              <w:t xml:space="preserve">8</w:t>
              <w:fldChar w:fldCharType="end"/>
            </w:r>
          </w:hyperlink>
          <w:r>
            <w:rPr>
              <w:rFonts w:ascii="Arial" w:hAnsi="Arial" w:cs="Arial"/>
            </w:rPr>
          </w:r>
          <w:r>
            <w:rPr>
              <w:rFonts w:ascii="Arial" w:hAnsi="Arial" w:cs="Arial"/>
            </w:rPr>
          </w:r>
        </w:p>
        <w:p w14:paraId="7A71DB5B">
          <w:pPr>
            <w:pStyle w:val="1211"/>
            <w:pBdr/>
            <w:tabs>
              <w:tab w:val="left" w:leader="none" w:pos="1134"/>
              <w:tab w:val="right" w:leader="dot" w:pos="8494"/>
            </w:tabs>
            <w:spacing/>
            <w:ind/>
            <w:rPr>
              <w:rFonts w:ascii="Arial" w:hAnsi="Arial" w:cs="Arial"/>
              <w:b/>
              <w:bCs/>
            </w:rPr>
          </w:pPr>
          <w:r/>
          <w:hyperlink w:tooltip="#_Toc46" w:anchor="_Toc46" w:history="1">
            <w:r>
              <w:rPr>
                <w:rFonts w:ascii="Arial" w:hAnsi="Arial" w:eastAsia="Arial" w:cs="Arial"/>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_Toc46 \h</w:instrText>
              <w:fldChar w:fldCharType="separate"/>
              <w:t xml:space="preserve">8</w:t>
              <w:fldChar w:fldCharType="end"/>
            </w:r>
          </w:hyperlink>
          <w:r>
            <w:rPr>
              <w:rFonts w:ascii="Arial" w:hAnsi="Arial" w:cs="Arial"/>
              <w:b/>
              <w:bCs/>
            </w:rPr>
          </w:r>
          <w:r>
            <w:rPr>
              <w:rFonts w:ascii="Arial" w:hAnsi="Arial" w:cs="Arial"/>
              <w:b/>
              <w:bCs/>
            </w:rPr>
          </w:r>
        </w:p>
        <w:p w14:paraId="564B68CA">
          <w:pPr>
            <w:pStyle w:val="1211"/>
            <w:pBdr/>
            <w:tabs>
              <w:tab w:val="left" w:leader="none" w:pos="1134"/>
              <w:tab w:val="right" w:leader="dot" w:pos="8494"/>
            </w:tabs>
            <w:spacing/>
            <w:ind/>
            <w:rPr>
              <w:rFonts w:ascii="Arial" w:hAnsi="Arial" w:cs="Arial"/>
              <w:b/>
              <w:bCs/>
            </w:rPr>
          </w:pPr>
          <w:r/>
          <w:hyperlink w:tooltip="#_Toc47" w:anchor="_Toc47" w:history="1">
            <w:r>
              <w:rPr>
                <w:rFonts w:ascii="Arial" w:hAnsi="Arial" w:eastAsia="Arial" w:cs="Arial"/>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_Toc47 \h</w:instrText>
              <w:fldChar w:fldCharType="separate"/>
              <w:t xml:space="preserve">9</w:t>
              <w:fldChar w:fldCharType="end"/>
            </w:r>
          </w:hyperlink>
          <w:r>
            <w:rPr>
              <w:rFonts w:ascii="Arial" w:hAnsi="Arial" w:cs="Arial"/>
              <w:b/>
              <w:bCs/>
            </w:rPr>
          </w:r>
          <w:r>
            <w:rPr>
              <w:rFonts w:ascii="Arial" w:hAnsi="Arial" w:cs="Arial"/>
              <w:b/>
              <w:bCs/>
            </w:rPr>
          </w:r>
        </w:p>
        <w:p w14:paraId="26808C15">
          <w:pPr>
            <w:pStyle w:val="1211"/>
            <w:pBdr/>
            <w:tabs>
              <w:tab w:val="left" w:leader="none" w:pos="1134"/>
              <w:tab w:val="right" w:leader="dot" w:pos="8494"/>
            </w:tabs>
            <w:spacing/>
            <w:ind/>
            <w:rPr>
              <w:rFonts w:ascii="Arial" w:hAnsi="Arial" w:cs="Arial"/>
              <w:b/>
              <w:bCs/>
            </w:rPr>
          </w:pPr>
          <w:r/>
          <w:hyperlink w:tooltip="#_Toc48" w:anchor="_Toc48" w:history="1">
            <w:r>
              <w:rPr>
                <w:rFonts w:ascii="Arial" w:hAnsi="Arial" w:eastAsia="Arial" w:cs="Arial"/>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_Toc48 \h</w:instrText>
              <w:fldChar w:fldCharType="separate"/>
              <w:t xml:space="preserve">10</w:t>
              <w:fldChar w:fldCharType="end"/>
            </w:r>
          </w:hyperlink>
          <w:r>
            <w:rPr>
              <w:rFonts w:ascii="Arial" w:hAnsi="Arial" w:cs="Arial"/>
              <w:b/>
              <w:bCs/>
            </w:rPr>
          </w:r>
          <w:r>
            <w:rPr>
              <w:rFonts w:ascii="Arial" w:hAnsi="Arial" w:cs="Arial"/>
              <w:b/>
              <w:bCs/>
            </w:rPr>
          </w:r>
        </w:p>
        <w:p w14:paraId="2D2887BB">
          <w:pPr>
            <w:pStyle w:val="1211"/>
            <w:pBdr/>
            <w:tabs>
              <w:tab w:val="left" w:leader="none" w:pos="1134"/>
              <w:tab w:val="right" w:leader="dot" w:pos="8494"/>
            </w:tabs>
            <w:spacing/>
            <w:ind/>
            <w:rPr>
              <w:rFonts w:ascii="Arial" w:hAnsi="Arial" w:cs="Arial"/>
              <w:b/>
              <w:bCs/>
            </w:rPr>
          </w:pPr>
          <w:r/>
          <w:hyperlink w:tooltip="#_Toc49" w:anchor="_Toc49"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2.3.1. Implementación de un sistema de Detección Sidecar.</w:t>
            </w:r>
            <w:r>
              <w:rPr>
                <w:rStyle w:val="1212"/>
                <w:rFonts w:ascii="Arial" w:hAnsi="Arial" w:cs="Arial"/>
                <w:b/>
                <w:bCs/>
                <w:lang w:eastAsia="en-US"/>
              </w:rPr>
            </w:r>
            <w:r>
              <w:tab/>
            </w:r>
            <w:r>
              <w:fldChar w:fldCharType="begin"/>
              <w:instrText xml:space="preserve">PAGEREF _Toc49 \h</w:instrText>
              <w:fldChar w:fldCharType="separate"/>
              <w:t xml:space="preserve">10</w:t>
              <w:fldChar w:fldCharType="end"/>
            </w:r>
          </w:hyperlink>
          <w:r>
            <w:rPr>
              <w:rFonts w:ascii="Arial" w:hAnsi="Arial" w:cs="Arial"/>
              <w:b/>
              <w:bCs/>
            </w:rPr>
          </w:r>
          <w:r>
            <w:rPr>
              <w:rFonts w:ascii="Arial" w:hAnsi="Arial" w:cs="Arial"/>
              <w:b/>
              <w:bCs/>
            </w:rPr>
          </w:r>
        </w:p>
        <w:p w14:paraId="2142B055">
          <w:pPr>
            <w:pStyle w:val="1211"/>
            <w:pBdr/>
            <w:tabs>
              <w:tab w:val="left" w:leader="none" w:pos="1134"/>
              <w:tab w:val="right" w:leader="dot" w:pos="8494"/>
            </w:tabs>
            <w:spacing/>
            <w:ind/>
            <w:rPr>
              <w:rFonts w:ascii="Arial" w:hAnsi="Arial" w:cs="Arial"/>
              <w:b/>
              <w:bCs/>
            </w:rPr>
          </w:pPr>
          <w:r/>
          <w:hyperlink w:tooltip="#_Toc50" w:anchor="_Toc50" w:history="1">
            <w:r>
              <w:rPr>
                <w:rFonts w:ascii="Arial" w:hAnsi="Arial" w:cs="Arial" w:eastAsiaTheme="majorEastAsia"/>
              </w:rPr>
              <w:t xml:space="preserve">3.2.</w:t>
            </w:r>
            <w:r>
              <w:tab/>
            </w:r>
            <w:r>
              <w:rPr>
                <w:rStyle w:val="1212"/>
              </w:rPr>
            </w:r>
            <w:r>
              <w:rPr>
                <w:rStyle w:val="1212"/>
                <w:rFonts w:ascii="Arial" w:hAnsi="Arial" w:cs="Arial"/>
                <w:b/>
                <w:bCs/>
                <w:lang w:eastAsia="en-US"/>
              </w:rPr>
              <w:t xml:space="preserve">2.3.2. Contratación de una empresa externa especializada en ciberseguridad</w:t>
            </w:r>
            <w:r>
              <w:rPr>
                <w:rStyle w:val="1212"/>
                <w:rFonts w:ascii="Arial" w:hAnsi="Arial" w:cs="Arial"/>
                <w:b/>
                <w:bCs/>
                <w:lang w:eastAsia="en-US"/>
              </w:rPr>
            </w:r>
            <w:r>
              <w:tab/>
            </w:r>
            <w:r>
              <w:fldChar w:fldCharType="begin"/>
              <w:instrText xml:space="preserve">PAGEREF _Toc50 \h</w:instrText>
              <w:fldChar w:fldCharType="separate"/>
              <w:t xml:space="preserve">11</w:t>
              <w:fldChar w:fldCharType="end"/>
            </w:r>
          </w:hyperlink>
          <w:r>
            <w:rPr>
              <w:rFonts w:ascii="Arial" w:hAnsi="Arial" w:cs="Arial"/>
              <w:b/>
              <w:bCs/>
            </w:rPr>
          </w:r>
          <w:r>
            <w:rPr>
              <w:rFonts w:ascii="Arial" w:hAnsi="Arial" w:cs="Arial"/>
              <w:b/>
              <w:bCs/>
            </w:rPr>
          </w:r>
        </w:p>
        <w:p w14:paraId="19BCBE2B">
          <w:pPr>
            <w:pStyle w:val="1210"/>
            <w:pBdr/>
            <w:tabs>
              <w:tab w:val="left" w:leader="none" w:pos="567"/>
              <w:tab w:val="right" w:leader="dot" w:pos="8494"/>
            </w:tabs>
            <w:spacing/>
            <w:ind/>
            <w:rPr>
              <w:rFonts w:ascii="Arial" w:hAnsi="Arial" w:cs="Arial"/>
            </w:rPr>
          </w:pPr>
          <w:r/>
          <w:hyperlink w:tooltip="#_Toc51" w:anchor="_Toc51"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_Toc51 \h</w:instrText>
              <w:fldChar w:fldCharType="separate"/>
              <w:t xml:space="preserve">15</w:t>
              <w:fldChar w:fldCharType="end"/>
            </w:r>
          </w:hyperlink>
          <w:r>
            <w:rPr>
              <w:rFonts w:ascii="Arial" w:hAnsi="Arial" w:cs="Arial"/>
            </w:rPr>
          </w:r>
          <w:r>
            <w:rPr>
              <w:rFonts w:ascii="Arial" w:hAnsi="Arial" w:cs="Arial"/>
            </w:rPr>
          </w:r>
        </w:p>
        <w:p w14:paraId="546E3DD9">
          <w:pPr>
            <w:pStyle w:val="1211"/>
            <w:pBdr/>
            <w:tabs>
              <w:tab w:val="left" w:leader="none" w:pos="1134"/>
              <w:tab w:val="right" w:leader="dot" w:pos="8494"/>
            </w:tabs>
            <w:spacing/>
            <w:ind/>
            <w:rPr>
              <w:rFonts w:ascii="Arial" w:hAnsi="Arial" w:cs="Arial"/>
              <w:b/>
              <w:bCs/>
            </w:rPr>
          </w:pPr>
          <w:r/>
          <w:hyperlink w:tooltip="#_Toc52" w:anchor="_Toc52" w:history="1">
            <w:r>
              <w:rPr>
                <w:rFonts w:ascii="Arial" w:hAnsi="Arial" w:eastAsia="Arial" w:cs="Arial"/>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_Toc52 \h</w:instrText>
              <w:fldChar w:fldCharType="separate"/>
              <w:t xml:space="preserve">16</w:t>
              <w:fldChar w:fldCharType="end"/>
            </w:r>
          </w:hyperlink>
          <w:r>
            <w:rPr>
              <w:rFonts w:ascii="Arial" w:hAnsi="Arial" w:cs="Arial"/>
              <w:b/>
              <w:bCs/>
            </w:rPr>
          </w:r>
          <w:r>
            <w:rPr>
              <w:rFonts w:ascii="Arial" w:hAnsi="Arial" w:cs="Arial"/>
              <w:b/>
              <w:bCs/>
            </w:rPr>
          </w:r>
        </w:p>
        <w:p w14:paraId="4CCDC902">
          <w:pPr>
            <w:pStyle w:val="1179"/>
            <w:pBdr/>
            <w:tabs>
              <w:tab w:val="left" w:leader="none" w:pos="1417"/>
              <w:tab w:val="right" w:leader="dot" w:pos="8494"/>
            </w:tabs>
            <w:spacing/>
            <w:ind/>
            <w:rPr>
              <w:rFonts w:ascii="Arial" w:hAnsi="Arial" w:eastAsia="Arial" w:cs="Arial"/>
              <w:b/>
              <w:bCs/>
            </w:rPr>
          </w:pPr>
          <w:r/>
          <w:hyperlink w:tooltip="#_Toc53" w:anchor="_Toc53" w:history="1">
            <w:r>
              <w:rPr>
                <w:rFonts w:ascii="Arial" w:hAnsi="Arial" w:eastAsia="Arial" w:cs="Arial"/>
              </w:rPr>
              <w:t xml:space="preserve">3.2.1.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_Toc53 \h</w:instrText>
              <w:fldChar w:fldCharType="separate"/>
              <w:t xml:space="preserve">16</w:t>
              <w:fldChar w:fldCharType="end"/>
            </w:r>
          </w:hyperlink>
          <w:r>
            <w:rPr>
              <w:rFonts w:ascii="Arial" w:hAnsi="Arial" w:eastAsia="Arial" w:cs="Arial"/>
              <w:b/>
              <w:bCs/>
            </w:rPr>
          </w:r>
          <w:r>
            <w:rPr>
              <w:rFonts w:ascii="Arial" w:hAnsi="Arial" w:eastAsia="Arial" w:cs="Arial"/>
              <w:b/>
              <w:bCs/>
            </w:rPr>
          </w:r>
        </w:p>
        <w:p w14:paraId="073FEC3F">
          <w:pPr>
            <w:pStyle w:val="1179"/>
            <w:pBdr/>
            <w:tabs>
              <w:tab w:val="left" w:leader="none" w:pos="1417"/>
              <w:tab w:val="right" w:leader="dot" w:pos="8494"/>
            </w:tabs>
            <w:spacing/>
            <w:ind/>
            <w:rPr>
              <w:rFonts w:ascii="Arial" w:hAnsi="Arial" w:cs="Arial"/>
            </w:rPr>
          </w:pPr>
          <w:r/>
          <w:hyperlink w:tooltip="#_Toc54" w:anchor="_Toc54" w:history="1">
            <w:r>
              <w:rPr>
                <w:rFonts w:ascii="Arial" w:hAnsi="Arial" w:cs="Arial" w:eastAsiaTheme="majorEastAsia"/>
              </w:rPr>
              <w:t xml:space="preserve">3.2.2.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_Toc54 \h</w:instrText>
              <w:fldChar w:fldCharType="separate"/>
              <w:t xml:space="preserve">17</w:t>
              <w:fldChar w:fldCharType="end"/>
            </w:r>
          </w:hyperlink>
          <w:r>
            <w:rPr>
              <w:rFonts w:ascii="Arial" w:hAnsi="Arial" w:cs="Arial"/>
            </w:rPr>
          </w:r>
          <w:r>
            <w:rPr>
              <w:rFonts w:ascii="Arial" w:hAnsi="Arial" w:cs="Arial"/>
            </w:rPr>
          </w:r>
        </w:p>
        <w:p w14:paraId="02D1B492">
          <w:pPr>
            <w:pStyle w:val="1179"/>
            <w:pBdr/>
            <w:tabs>
              <w:tab w:val="left" w:leader="none" w:pos="1417"/>
              <w:tab w:val="right" w:leader="dot" w:pos="8494"/>
            </w:tabs>
            <w:spacing/>
            <w:ind/>
            <w:rPr>
              <w:rFonts w:ascii="Arial" w:hAnsi="Arial" w:cs="Arial"/>
              <w:b/>
              <w:bCs/>
            </w:rPr>
          </w:pPr>
          <w:r/>
          <w:hyperlink w:tooltip="#_Toc55" w:anchor="_Toc55" w:history="1">
            <w:r>
              <w:rPr>
                <w:rFonts w:ascii="Arial" w:hAnsi="Arial" w:cs="Arial" w:eastAsiaTheme="majorEastAsia"/>
              </w:rPr>
              <w:t xml:space="preserve">3.2.3.</w:t>
            </w:r>
            <w:r>
              <w:tab/>
            </w:r>
            <w:r>
              <w:rPr>
                <w:rStyle w:val="1212"/>
              </w:rPr>
            </w:r>
            <w:r>
              <w:rPr>
                <w:rStyle w:val="1212"/>
                <w:rFonts w:ascii="Arial" w:hAnsi="Arial" w:cs="Arial"/>
                <w:b/>
                <w:bCs/>
              </w:rPr>
              <w:t xml:space="preserve">Tabla Alcance vs. No Alcance</w:t>
            </w:r>
            <w:r>
              <w:rPr>
                <w:rStyle w:val="1212"/>
                <w:rFonts w:ascii="Arial" w:hAnsi="Arial" w:cs="Arial"/>
                <w:b/>
                <w:bCs/>
              </w:rPr>
            </w:r>
            <w:r>
              <w:tab/>
            </w:r>
            <w:r>
              <w:fldChar w:fldCharType="begin"/>
              <w:instrText xml:space="preserve">PAGEREF _Toc55 \h</w:instrText>
              <w:fldChar w:fldCharType="separate"/>
              <w:t xml:space="preserve">17</w:t>
              <w:fldChar w:fldCharType="end"/>
            </w:r>
          </w:hyperlink>
          <w:r>
            <w:rPr>
              <w:rFonts w:ascii="Arial" w:hAnsi="Arial" w:cs="Arial"/>
              <w:b/>
              <w:bCs/>
            </w:rPr>
          </w:r>
          <w:r>
            <w:rPr>
              <w:rFonts w:ascii="Arial" w:hAnsi="Arial" w:cs="Arial"/>
              <w:b/>
              <w:bCs/>
            </w:rPr>
          </w:r>
        </w:p>
        <w:p w14:paraId="41D89288">
          <w:pPr>
            <w:pStyle w:val="1210"/>
            <w:pBdr/>
            <w:tabs>
              <w:tab w:val="left" w:leader="none" w:pos="567"/>
              <w:tab w:val="right" w:leader="dot" w:pos="8494"/>
            </w:tabs>
            <w:spacing/>
            <w:ind/>
            <w:rPr>
              <w:rFonts w:ascii="Arial" w:hAnsi="Arial" w:cs="Arial"/>
            </w:rPr>
          </w:pPr>
          <w:r/>
          <w:hyperlink w:tooltip="#_Toc56" w:anchor="_Toc56"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_Toc56 \h</w:instrText>
              <w:fldChar w:fldCharType="separate"/>
              <w:t xml:space="preserve">20</w:t>
              <w:fldChar w:fldCharType="end"/>
            </w:r>
          </w:hyperlink>
          <w:r>
            <w:rPr>
              <w:rFonts w:ascii="Arial" w:hAnsi="Arial" w:cs="Arial"/>
            </w:rPr>
          </w:r>
          <w:r>
            <w:rPr>
              <w:rFonts w:ascii="Arial" w:hAnsi="Arial" w:cs="Arial"/>
            </w:rPr>
          </w:r>
        </w:p>
        <w:p w14:paraId="358382ED">
          <w:pPr>
            <w:pStyle w:val="1211"/>
            <w:pBdr/>
            <w:tabs>
              <w:tab w:val="left" w:leader="none" w:pos="1134"/>
              <w:tab w:val="right" w:leader="dot" w:pos="8494"/>
            </w:tabs>
            <w:spacing/>
            <w:ind/>
            <w:rPr>
              <w:rFonts w:ascii="Arial" w:hAnsi="Arial" w:cs="Arial"/>
              <w:b/>
              <w:bCs/>
            </w:rPr>
          </w:pPr>
          <w:r/>
          <w:hyperlink w:tooltip="#_Toc57" w:anchor="_Toc57" w:history="1">
            <w:r>
              <w:rPr>
                <w:rFonts w:ascii="Arial" w:hAnsi="Arial" w:eastAsia="Arial" w:cs="Arial"/>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_Toc57 \h</w:instrText>
              <w:fldChar w:fldCharType="separate"/>
              <w:t xml:space="preserve">21</w:t>
              <w:fldChar w:fldCharType="end"/>
            </w:r>
          </w:hyperlink>
          <w:r>
            <w:rPr>
              <w:rFonts w:ascii="Arial" w:hAnsi="Arial" w:cs="Arial"/>
              <w:b/>
              <w:bCs/>
            </w:rPr>
          </w:r>
          <w:r>
            <w:rPr>
              <w:rFonts w:ascii="Arial" w:hAnsi="Arial" w:cs="Arial"/>
              <w:b/>
              <w:bCs/>
            </w:rPr>
          </w:r>
        </w:p>
        <w:p w14:paraId="155706C2">
          <w:pPr>
            <w:pStyle w:val="1211"/>
            <w:pBdr/>
            <w:tabs>
              <w:tab w:val="left" w:leader="none" w:pos="1134"/>
              <w:tab w:val="right" w:leader="dot" w:pos="8494"/>
            </w:tabs>
            <w:spacing/>
            <w:ind/>
            <w:rPr>
              <w:rFonts w:ascii="Arial" w:hAnsi="Arial" w:cs="Arial"/>
              <w:b/>
              <w:bCs/>
            </w:rPr>
          </w:pPr>
          <w:r/>
          <w:hyperlink w:tooltip="#_Toc58" w:anchor="_Toc58" w:history="1">
            <w:r>
              <w:rPr>
                <w:rFonts w:ascii="Arial" w:hAnsi="Arial" w:eastAsia="Arial" w:cs="Arial"/>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_Toc58 \h</w:instrText>
              <w:fldChar w:fldCharType="separate"/>
              <w:t xml:space="preserve">21</w:t>
              <w:fldChar w:fldCharType="end"/>
            </w:r>
          </w:hyperlink>
          <w:r>
            <w:rPr>
              <w:rFonts w:ascii="Arial" w:hAnsi="Arial" w:cs="Arial"/>
              <w:b/>
              <w:bCs/>
            </w:rPr>
          </w:r>
          <w:r>
            <w:rPr>
              <w:rFonts w:ascii="Arial" w:hAnsi="Arial" w:cs="Arial"/>
              <w:b/>
              <w:bCs/>
            </w:rPr>
          </w:r>
        </w:p>
        <w:p w14:paraId="18978570">
          <w:pPr>
            <w:pStyle w:val="1210"/>
            <w:pBdr/>
            <w:tabs>
              <w:tab w:val="left" w:leader="none" w:pos="567"/>
              <w:tab w:val="right" w:leader="dot" w:pos="8494"/>
            </w:tabs>
            <w:spacing/>
            <w:ind/>
            <w:rPr>
              <w:rFonts w:ascii="Arial" w:hAnsi="Arial" w:cs="Arial"/>
            </w:rPr>
          </w:pPr>
          <w:r/>
          <w:hyperlink w:tooltip="#_Toc59" w:anchor="_Toc59"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_Toc59 \h</w:instrText>
              <w:fldChar w:fldCharType="separate"/>
              <w:t xml:space="preserve">21</w:t>
              <w:fldChar w:fldCharType="end"/>
            </w:r>
          </w:hyperlink>
          <w:r>
            <w:rPr>
              <w:rFonts w:ascii="Arial" w:hAnsi="Arial" w:cs="Arial"/>
            </w:rPr>
          </w:r>
          <w:r>
            <w:rPr>
              <w:rFonts w:ascii="Arial" w:hAnsi="Arial" w:cs="Arial"/>
            </w:rPr>
          </w:r>
        </w:p>
        <w:p w14:paraId="2002DD5B">
          <w:pPr>
            <w:pStyle w:val="1179"/>
            <w:pBdr/>
            <w:tabs>
              <w:tab w:val="left" w:leader="none" w:pos="1417"/>
              <w:tab w:val="right" w:leader="dot" w:pos="8494"/>
            </w:tabs>
            <w:spacing/>
            <w:ind/>
            <w:rPr>
              <w:rFonts w:ascii="Arial" w:hAnsi="Arial" w:eastAsia="Calibri" w:cs="Arial"/>
              <w:b/>
              <w:bCs/>
            </w:rPr>
          </w:pPr>
          <w:r/>
          <w:hyperlink w:tooltip="#_Toc60" w:anchor="_Toc60" w:history="1">
            <w:r>
              <w:rPr>
                <w:rFonts w:ascii="Arial" w:hAnsi="Arial" w:eastAsia="Calibri" w:cs="Arial"/>
              </w:rPr>
              <w:t xml:space="preserve">3.2.4.</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_Toc60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620BCCB5">
          <w:pPr>
            <w:pStyle w:val="1179"/>
            <w:pBdr/>
            <w:tabs>
              <w:tab w:val="left" w:leader="none" w:pos="1417"/>
              <w:tab w:val="right" w:leader="dot" w:pos="8494"/>
            </w:tabs>
            <w:spacing/>
            <w:ind/>
            <w:rPr>
              <w:rFonts w:ascii="Arial" w:hAnsi="Arial" w:eastAsia="Calibri" w:cs="Arial"/>
              <w:b/>
              <w:bCs/>
            </w:rPr>
          </w:pPr>
          <w:r/>
          <w:hyperlink w:tooltip="#_Toc61" w:anchor="_Toc61" w:history="1">
            <w:r>
              <w:rPr>
                <w:rFonts w:ascii="Arial" w:hAnsi="Arial" w:eastAsia="Calibri" w:cs="Arial"/>
              </w:rPr>
              <w:t xml:space="preserve">3.2.5.</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_Toc61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4D9E651F">
          <w:pPr>
            <w:pStyle w:val="1179"/>
            <w:pBdr/>
            <w:tabs>
              <w:tab w:val="left" w:leader="none" w:pos="1417"/>
              <w:tab w:val="right" w:leader="dot" w:pos="8494"/>
            </w:tabs>
            <w:spacing/>
            <w:ind/>
            <w:rPr>
              <w:rFonts w:ascii="Arial" w:hAnsi="Arial" w:eastAsia="Calibri" w:cs="Arial"/>
              <w:b/>
              <w:bCs/>
            </w:rPr>
          </w:pPr>
          <w:r/>
          <w:hyperlink w:tooltip="#_Toc62" w:anchor="_Toc62" w:history="1">
            <w:r>
              <w:rPr>
                <w:rFonts w:ascii="Arial" w:hAnsi="Arial" w:eastAsia="Calibri" w:cs="Arial"/>
              </w:rPr>
              <w:t xml:space="preserve">3.2.6.</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_Toc62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3E4BFB23">
          <w:pPr>
            <w:pStyle w:val="1179"/>
            <w:pBdr/>
            <w:tabs>
              <w:tab w:val="left" w:leader="none" w:pos="1417"/>
              <w:tab w:val="right" w:leader="dot" w:pos="8494"/>
            </w:tabs>
            <w:spacing/>
            <w:ind/>
            <w:rPr>
              <w:rFonts w:ascii="Arial" w:hAnsi="Arial" w:eastAsia="Calibri" w:cs="Arial"/>
              <w:b/>
              <w:bCs/>
            </w:rPr>
          </w:pPr>
          <w:r/>
          <w:hyperlink w:tooltip="#_Toc63" w:anchor="_Toc63" w:history="1">
            <w:r>
              <w:rPr>
                <w:rFonts w:ascii="Arial" w:hAnsi="Arial" w:eastAsia="Calibri" w:cs="Arial"/>
              </w:rPr>
              <w:t xml:space="preserve">3.2.7.</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_Toc63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5DBCBE5C">
          <w:pPr>
            <w:pStyle w:val="1179"/>
            <w:pBdr/>
            <w:tabs>
              <w:tab w:val="left" w:leader="none" w:pos="1417"/>
              <w:tab w:val="right" w:leader="dot" w:pos="8494"/>
            </w:tabs>
            <w:spacing/>
            <w:ind/>
            <w:rPr>
              <w:rFonts w:ascii="Arial" w:hAnsi="Arial" w:eastAsia="Calibri" w:cs="Arial"/>
              <w:b/>
              <w:bCs/>
            </w:rPr>
          </w:pPr>
          <w:r/>
          <w:hyperlink w:tooltip="#_Toc64" w:anchor="_Toc64" w:history="1">
            <w:r>
              <w:rPr>
                <w:rFonts w:ascii="Arial" w:hAnsi="Arial" w:eastAsia="Calibri" w:cs="Arial"/>
              </w:rPr>
              <w:t xml:space="preserve">3.2.8.</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_Toc64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5605136B">
          <w:pPr>
            <w:pStyle w:val="1179"/>
            <w:pBdr/>
            <w:tabs>
              <w:tab w:val="left" w:leader="none" w:pos="1417"/>
              <w:tab w:val="right" w:leader="dot" w:pos="8494"/>
            </w:tabs>
            <w:spacing/>
            <w:ind/>
            <w:rPr>
              <w:rFonts w:ascii="Arial" w:hAnsi="Arial" w:eastAsia="Calibri" w:cs="Arial"/>
              <w:b/>
              <w:bCs/>
            </w:rPr>
          </w:pPr>
          <w:r/>
          <w:hyperlink w:tooltip="#_Toc65" w:anchor="_Toc65" w:history="1">
            <w:r>
              <w:rPr>
                <w:rFonts w:ascii="Arial" w:hAnsi="Arial" w:eastAsia="Calibri" w:cs="Arial"/>
              </w:rPr>
              <w:t xml:space="preserve">3.2.9.</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_Toc65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24F1CB5E">
          <w:pPr>
            <w:pStyle w:val="1210"/>
            <w:pBdr/>
            <w:tabs>
              <w:tab w:val="left" w:leader="none" w:pos="567"/>
              <w:tab w:val="right" w:leader="dot" w:pos="8494"/>
            </w:tabs>
            <w:spacing/>
            <w:ind/>
            <w:rPr>
              <w:rFonts w:ascii="Arial" w:hAnsi="Arial" w:cs="Arial"/>
            </w:rPr>
          </w:pPr>
          <w:r/>
          <w:hyperlink w:tooltip="#_Toc66" w:anchor="_Toc66"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_Toc66 \h</w:instrText>
              <w:fldChar w:fldCharType="separate"/>
              <w:t xml:space="preserve">24</w:t>
              <w:fldChar w:fldCharType="end"/>
            </w:r>
          </w:hyperlink>
          <w:r>
            <w:rPr>
              <w:rFonts w:ascii="Arial" w:hAnsi="Arial" w:cs="Arial"/>
            </w:rPr>
          </w:r>
          <w:r>
            <w:rPr>
              <w:rFonts w:ascii="Arial" w:hAnsi="Arial" w:cs="Arial"/>
            </w:rPr>
          </w:r>
        </w:p>
        <w:p w14:paraId="1F4C8DDB">
          <w:pPr>
            <w:pStyle w:val="1211"/>
            <w:pBdr/>
            <w:tabs>
              <w:tab w:val="left" w:leader="none" w:pos="1134"/>
              <w:tab w:val="right" w:leader="dot" w:pos="8494"/>
            </w:tabs>
            <w:spacing/>
            <w:ind/>
            <w:rPr>
              <w:rFonts w:ascii="Arial" w:hAnsi="Arial" w:cs="Arial"/>
              <w:b/>
              <w:bCs/>
            </w:rPr>
          </w:pPr>
          <w:r/>
          <w:hyperlink w:tooltip="#_Toc67" w:anchor="_Toc67" w:history="1">
            <w:r>
              <w:rPr>
                <w:rFonts w:ascii="Arial" w:hAnsi="Arial" w:eastAsia="Arial" w:cs="Arial"/>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_Toc67 \h</w:instrText>
              <w:fldChar w:fldCharType="separate"/>
              <w:t xml:space="preserve">24</w:t>
              <w:fldChar w:fldCharType="end"/>
            </w:r>
          </w:hyperlink>
          <w:r>
            <w:rPr>
              <w:rFonts w:ascii="Arial" w:hAnsi="Arial" w:cs="Arial"/>
              <w:b/>
              <w:bCs/>
            </w:rPr>
          </w:r>
          <w:r>
            <w:rPr>
              <w:rFonts w:ascii="Arial" w:hAnsi="Arial" w:cs="Arial"/>
              <w:b/>
              <w:bCs/>
            </w:rPr>
          </w:r>
        </w:p>
        <w:p w14:paraId="51589AD5">
          <w:pPr>
            <w:pStyle w:val="1211"/>
            <w:pBdr/>
            <w:tabs>
              <w:tab w:val="left" w:leader="none" w:pos="1134"/>
              <w:tab w:val="right" w:leader="dot" w:pos="8494"/>
            </w:tabs>
            <w:spacing/>
            <w:ind/>
            <w:rPr>
              <w:rFonts w:ascii="Arial" w:hAnsi="Arial" w:cs="Arial"/>
              <w:b/>
              <w:bCs/>
            </w:rPr>
          </w:pPr>
          <w:r/>
          <w:hyperlink w:tooltip="#_Toc68" w:anchor="_Toc68" w:history="1">
            <w:r>
              <w:rPr>
                <w:rFonts w:ascii="Arial" w:hAnsi="Arial" w:eastAsia="Arial" w:cs="Arial"/>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_Toc68 \h</w:instrText>
              <w:fldChar w:fldCharType="separate"/>
              <w:t xml:space="preserve">24</w:t>
              <w:fldChar w:fldCharType="end"/>
            </w:r>
          </w:hyperlink>
          <w:r>
            <w:rPr>
              <w:rFonts w:ascii="Arial" w:hAnsi="Arial" w:cs="Arial"/>
              <w:b/>
              <w:bCs/>
            </w:rPr>
          </w:r>
          <w:r>
            <w:rPr>
              <w:rFonts w:ascii="Arial" w:hAnsi="Arial" w:cs="Arial"/>
              <w:b/>
              <w:bCs/>
            </w:rPr>
          </w:r>
        </w:p>
        <w:p w14:paraId="7F904263">
          <w:pPr>
            <w:pStyle w:val="1211"/>
            <w:pBdr/>
            <w:tabs>
              <w:tab w:val="left" w:leader="none" w:pos="1134"/>
              <w:tab w:val="right" w:leader="dot" w:pos="8494"/>
            </w:tabs>
            <w:spacing/>
            <w:ind/>
            <w:rPr>
              <w:rFonts w:ascii="Arial" w:hAnsi="Arial" w:cs="Arial"/>
              <w:b/>
              <w:bCs/>
            </w:rPr>
          </w:pPr>
          <w:r/>
          <w:hyperlink w:tooltip="#_Toc69" w:anchor="_Toc69" w:history="1">
            <w:r>
              <w:rPr>
                <w:rFonts w:ascii="Arial" w:hAnsi="Arial" w:eastAsia="Arial" w:cs="Arial"/>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_Toc69 \h</w:instrText>
              <w:fldChar w:fldCharType="separate"/>
              <w:t xml:space="preserve">24</w:t>
              <w:fldChar w:fldCharType="end"/>
            </w:r>
          </w:hyperlink>
          <w:r>
            <w:rPr>
              <w:rFonts w:ascii="Arial" w:hAnsi="Arial" w:cs="Arial"/>
              <w:b/>
              <w:bCs/>
            </w:rPr>
          </w:r>
          <w:r>
            <w:rPr>
              <w:rFonts w:ascii="Arial" w:hAnsi="Arial" w:cs="Arial"/>
              <w:b/>
              <w:bCs/>
            </w:rPr>
          </w:r>
        </w:p>
        <w:p w14:paraId="3F0E0723">
          <w:pPr>
            <w:pStyle w:val="1211"/>
            <w:pBdr/>
            <w:tabs>
              <w:tab w:val="left" w:leader="none" w:pos="1134"/>
              <w:tab w:val="right" w:leader="dot" w:pos="8494"/>
            </w:tabs>
            <w:spacing/>
            <w:ind/>
            <w:rPr>
              <w:rFonts w:ascii="Arial" w:hAnsi="Arial" w:cs="Arial"/>
              <w:b/>
              <w:bCs/>
            </w:rPr>
          </w:pPr>
          <w:r/>
          <w:hyperlink w:tooltip="#_Toc70" w:anchor="_Toc70" w:history="1">
            <w:r>
              <w:rPr>
                <w:rFonts w:ascii="Arial" w:hAnsi="Arial" w:eastAsia="Arial" w:cs="Arial"/>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_Toc70 \h</w:instrText>
              <w:fldChar w:fldCharType="separate"/>
              <w:t xml:space="preserve">24</w:t>
              <w:fldChar w:fldCharType="end"/>
            </w:r>
          </w:hyperlink>
          <w:r>
            <w:rPr>
              <w:rFonts w:ascii="Arial" w:hAnsi="Arial" w:cs="Arial"/>
              <w:b/>
              <w:bCs/>
            </w:rPr>
          </w:r>
          <w:r>
            <w:rPr>
              <w:rFonts w:ascii="Arial" w:hAnsi="Arial" w:cs="Arial"/>
              <w:b/>
              <w:bCs/>
            </w:rPr>
          </w:r>
        </w:p>
        <w:p w14:paraId="628A5F44">
          <w:pPr>
            <w:pStyle w:val="1211"/>
            <w:pBdr/>
            <w:tabs>
              <w:tab w:val="left" w:leader="none" w:pos="1134"/>
              <w:tab w:val="right" w:leader="dot" w:pos="8494"/>
            </w:tabs>
            <w:spacing/>
            <w:ind/>
            <w:rPr>
              <w:rFonts w:ascii="Arial" w:hAnsi="Arial" w:cs="Arial"/>
              <w:b/>
              <w:bCs/>
            </w:rPr>
          </w:pPr>
          <w:r/>
          <w:hyperlink w:tooltip="#_Toc71" w:anchor="_Toc71" w:history="1">
            <w:r>
              <w:rPr>
                <w:rFonts w:ascii="Arial" w:hAnsi="Arial" w:eastAsia="Arial" w:cs="Arial"/>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_Toc71 \h</w:instrText>
              <w:fldChar w:fldCharType="separate"/>
              <w:t xml:space="preserve">24</w:t>
              <w:fldChar w:fldCharType="end"/>
            </w:r>
          </w:hyperlink>
          <w:r>
            <w:rPr>
              <w:rFonts w:ascii="Arial" w:hAnsi="Arial" w:cs="Arial"/>
              <w:b/>
              <w:bCs/>
            </w:rPr>
          </w:r>
          <w:r>
            <w:rPr>
              <w:rFonts w:ascii="Arial" w:hAnsi="Arial" w:cs="Arial"/>
              <w:b/>
              <w:bCs/>
            </w:rPr>
          </w:r>
        </w:p>
        <w:p w14:paraId="1187A898">
          <w:pPr>
            <w:pStyle w:val="1210"/>
            <w:pBdr/>
            <w:tabs>
              <w:tab w:val="left" w:leader="none" w:pos="567"/>
              <w:tab w:val="right" w:leader="dot" w:pos="8494"/>
            </w:tabs>
            <w:spacing/>
            <w:ind/>
            <w:rPr>
              <w:rFonts w:ascii="Arial" w:hAnsi="Arial" w:cs="Arial"/>
            </w:rPr>
          </w:pPr>
          <w:r/>
          <w:hyperlink w:tooltip="#_Toc72" w:anchor="_Toc72"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_Toc72 \h</w:instrText>
              <w:fldChar w:fldCharType="separate"/>
              <w:t xml:space="preserve">24</w:t>
              <w:fldChar w:fldCharType="end"/>
            </w:r>
          </w:hyperlink>
          <w:r>
            <w:rPr>
              <w:rFonts w:ascii="Arial" w:hAnsi="Arial" w:cs="Arial"/>
            </w:rPr>
          </w:r>
          <w:r>
            <w:rPr>
              <w:rFonts w:ascii="Arial" w:hAnsi="Arial" w:cs="Arial"/>
            </w:rPr>
          </w:r>
        </w:p>
        <w:p w14:paraId="30494086">
          <w:pPr>
            <w:pStyle w:val="1210"/>
            <w:pBdr/>
            <w:tabs>
              <w:tab w:val="left" w:leader="none" w:pos="567"/>
              <w:tab w:val="right" w:leader="dot" w:pos="8494"/>
            </w:tabs>
            <w:spacing/>
            <w:ind/>
            <w:rPr>
              <w:rFonts w:ascii="Arial" w:hAnsi="Arial" w:cs="Arial"/>
            </w:rPr>
          </w:pPr>
          <w:r/>
          <w:hyperlink w:tooltip="#_Toc73" w:anchor="_Toc73"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_Toc73 \h</w:instrText>
              <w:fldChar w:fldCharType="separate"/>
              <w:t xml:space="preserve">24</w:t>
              <w:fldChar w:fldCharType="end"/>
            </w:r>
          </w:hyperlink>
          <w:r>
            <w:rPr>
              <w:rFonts w:ascii="Arial" w:hAnsi="Arial" w:cs="Arial"/>
            </w:rPr>
          </w:r>
          <w:r>
            <w:rPr>
              <w:rFonts w:ascii="Arial" w:hAnsi="Arial" w:cs="Arial"/>
            </w:rPr>
          </w:r>
        </w:p>
        <w:p w14:paraId="15DAFD68">
          <w:pPr>
            <w:pStyle w:val="1210"/>
            <w:pBdr/>
            <w:tabs>
              <w:tab w:val="left" w:leader="none" w:pos="567"/>
              <w:tab w:val="right" w:leader="dot" w:pos="8494"/>
            </w:tabs>
            <w:spacing/>
            <w:ind/>
            <w:rPr>
              <w:rFonts w:ascii="Arial" w:hAnsi="Arial" w:cs="Arial"/>
            </w:rPr>
          </w:pPr>
          <w:r/>
          <w:hyperlink w:tooltip="#_Toc74" w:anchor="_Toc74"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_Toc74 \h</w:instrText>
              <w:fldChar w:fldCharType="separate"/>
              <w:t xml:space="preserve">25</w:t>
              <w:fldChar w:fldCharType="end"/>
            </w:r>
          </w:hyperlink>
          <w:r>
            <w:rPr>
              <w:rFonts w:ascii="Arial" w:hAnsi="Arial" w:cs="Arial"/>
            </w:rPr>
          </w:r>
          <w:r>
            <w:rPr>
              <w:rFonts w:ascii="Arial" w:hAnsi="Arial" w:cs="Arial"/>
            </w:rPr>
          </w:r>
        </w:p>
        <w:p w14:paraId="10E2736A">
          <w:pPr>
            <w:pStyle w:val="1210"/>
            <w:pBdr/>
            <w:tabs>
              <w:tab w:val="left" w:leader="none" w:pos="850"/>
              <w:tab w:val="right" w:leader="dot" w:pos="8494"/>
            </w:tabs>
            <w:spacing/>
            <w:ind/>
            <w:rPr>
              <w:rFonts w:ascii="Arial" w:hAnsi="Arial" w:cs="Arial"/>
            </w:rPr>
          </w:pPr>
          <w:r/>
          <w:hyperlink w:tooltip="#_Toc75" w:anchor="_Toc75"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_Toc75 \h</w:instrText>
              <w:fldChar w:fldCharType="separate"/>
              <w:t xml:space="preserve">29</w:t>
              <w:fldChar w:fldCharType="end"/>
            </w:r>
          </w:hyperlink>
          <w:r>
            <w:rPr>
              <w:rFonts w:ascii="Arial" w:hAnsi="Arial" w:cs="Arial"/>
            </w:rPr>
          </w:r>
          <w:r>
            <w:rPr>
              <w:rFonts w:ascii="Arial" w:hAnsi="Arial" w:cs="Arial"/>
            </w:rPr>
          </w:r>
        </w:p>
        <w:p w14:paraId="56E7B5A7">
          <w:pPr>
            <w:pStyle w:val="1211"/>
            <w:pBdr/>
            <w:tabs>
              <w:tab w:val="left" w:leader="none" w:pos="1134"/>
              <w:tab w:val="right" w:leader="dot" w:pos="8494"/>
            </w:tabs>
            <w:spacing/>
            <w:ind/>
            <w:rPr>
              <w:rFonts w:ascii="Arial" w:hAnsi="Arial" w:eastAsia="Arial" w:cs="Arial"/>
              <w:b/>
              <w:bCs/>
            </w:rPr>
          </w:pPr>
          <w:r/>
          <w:hyperlink w:tooltip="#_Toc76" w:anchor="_Toc76"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_Toc76 \h</w:instrText>
              <w:fldChar w:fldCharType="separate"/>
              <w:t xml:space="preserve">29</w:t>
              <w:fldChar w:fldCharType="end"/>
            </w:r>
          </w:hyperlink>
          <w:r>
            <w:rPr>
              <w:rFonts w:ascii="Arial" w:hAnsi="Arial" w:eastAsia="Arial" w:cs="Arial"/>
              <w:b/>
              <w:bCs/>
            </w:rPr>
          </w:r>
          <w:r>
            <w:rPr>
              <w:rFonts w:ascii="Arial" w:hAnsi="Arial" w:eastAsia="Arial" w:cs="Arial"/>
              <w:b/>
              <w:bCs/>
            </w:rPr>
          </w:r>
        </w:p>
        <w:p w14:paraId="1D4800B6">
          <w:pPr>
            <w:pStyle w:val="1211"/>
            <w:pBdr/>
            <w:tabs>
              <w:tab w:val="left" w:leader="none" w:pos="1134"/>
              <w:tab w:val="right" w:leader="dot" w:pos="8494"/>
            </w:tabs>
            <w:spacing/>
            <w:ind/>
            <w:rPr>
              <w:rFonts w:ascii="Arial" w:hAnsi="Arial" w:eastAsia="Arial" w:cs="Arial"/>
              <w:b/>
              <w:bCs/>
            </w:rPr>
          </w:pPr>
          <w:r/>
          <w:hyperlink w:tooltip="#_Toc77" w:anchor="_Toc77"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_Toc77 \h</w:instrText>
              <w:fldChar w:fldCharType="separate"/>
              <w:t xml:space="preserve">32</w:t>
              <w:fldChar w:fldCharType="end"/>
            </w:r>
          </w:hyperlink>
          <w:r>
            <w:rPr>
              <w:rFonts w:ascii="Arial" w:hAnsi="Arial" w:eastAsia="Arial" w:cs="Arial"/>
              <w:b/>
              <w:bCs/>
            </w:rPr>
          </w:r>
          <w:r>
            <w:rPr>
              <w:rFonts w:ascii="Arial" w:hAnsi="Arial" w:eastAsia="Arial" w:cs="Arial"/>
              <w:b/>
              <w:bCs/>
            </w:rPr>
          </w:r>
        </w:p>
        <w:p w14:paraId="3B33B4E1">
          <w:pPr>
            <w:pStyle w:val="1211"/>
            <w:pBdr/>
            <w:tabs>
              <w:tab w:val="left" w:leader="none" w:pos="1134"/>
              <w:tab w:val="right" w:leader="dot" w:pos="8494"/>
            </w:tabs>
            <w:spacing/>
            <w:ind/>
            <w:rPr/>
          </w:pPr>
          <w:r/>
          <w:hyperlink w:tooltip="#_Toc78" w:anchor="_Toc78" w:history="1">
            <w:r>
              <w:rPr>
                <w:rFonts w:ascii="Arial" w:hAnsi="Arial" w:eastAsia="Arial" w:cs="Arial"/>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_Toc78 \h</w:instrText>
              <w:fldChar w:fldCharType="separate"/>
              <w:t xml:space="preserve">34</w:t>
              <w:fldChar w:fldCharType="end"/>
            </w:r>
          </w:hyperlink>
          <w:r/>
          <w:r/>
        </w:p>
        <w:p w14:paraId="6BAAC19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Pr>
              <w:rFonts w:ascii="Arial" w:hAnsi="Arial" w:cs="Arial"/>
              <w:color w:val="000000" w:themeColor="text1"/>
              <w:sz w:val="24"/>
              <w:szCs w:val="24"/>
            </w:rPr>
          </w:r>
          <w:r>
            <w:rPr>
              <w:rFonts w:ascii="Arial" w:hAnsi="Arial" w:cs="Arial"/>
              <w:color w:val="000000" w:themeColor="text1"/>
              <w:sz w:val="24"/>
              <w:szCs w:val="24"/>
            </w:rP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r/>
    </w:p>
    <w:p w14:paraId="2E8AB3AB">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r/>
    </w:p>
    <w:p w14:paraId="551367DE">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r/>
    </w:p>
    <w:p w14:paraId="2FC29C10">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r/>
    </w:p>
    <w:p w14:paraId="31F8A296">
      <w:pPr>
        <w:pStyle w:val="1187"/>
        <w:pBdr/>
        <w:tabs>
          <w:tab w:val="right" w:leader="dot" w:pos="8504"/>
        </w:tabs>
        <w:spacing/>
        <w:ind/>
        <w:rPr/>
      </w:pPr>
      <w: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r/>
    </w:p>
    <w:p w14:paraId="31B2BE5F">
      <w:pPr>
        <w:pStyle w:val="1187"/>
        <w:pBdr/>
        <w:tabs>
          <w:tab w:val="right" w:leader="dot" w:pos="8504"/>
        </w:tabs>
        <w:spacing/>
        <w:ind/>
        <w:rPr/>
      </w:pPr>
      <w: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207"/>
        <w:pBdr/>
        <w:spacing/>
        <w:ind/>
        <w:jc w:val="both"/>
        <w:rPr>
          <w:color w:val="000000" w:themeColor="text1"/>
        </w:rPr>
      </w:pPr>
      <w:r>
        <w:rPr>
          <w:color w:val="000000" w:themeColor="text1"/>
        </w:rPr>
        <w:t xml:space="preserve">Resumen</w:t>
      </w:r>
      <w:r>
        <w:rPr>
          <w:color w:val="000000" w:themeColor="text1"/>
        </w:rPr>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pBdr/>
        <w:spacing/>
        <w:ind/>
        <w:jc w:val="both"/>
        <w:rPr>
          <w:color w:val="000000" w:themeColor="text1"/>
        </w:rPr>
      </w:pPr>
      <w:r>
        <w:rPr>
          <w:color w:val="000000" w:themeColor="text1"/>
        </w:rPr>
        <w:t xml:space="preserve">Abstract</w:t>
      </w:r>
      <w:r>
        <w:rPr>
          <w:color w:val="000000" w:themeColor="text1"/>
        </w:rPr>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Introducción</w:t>
      </w:r>
      <w:r>
        <w:rPr>
          <w:rFonts w:ascii="Arial" w:hAnsi="Arial" w:cs="Arial"/>
          <w:color w:val="000000" w:themeColor="text1"/>
        </w:rPr>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Identificación y descripción del problema o necesidad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5C503305">
      <w:pPr>
        <w:pBdr/>
        <w:spacing w:after="240" w:before="240"/>
        <w:ind/>
        <w:jc w:val="both"/>
        <w:rPr/>
      </w:pPr>
      <w:r>
        <w:rPr>
          <w:rFonts w:ascii="Arial" w:hAnsi="Arial" w:eastAsia="Arial" w:cs="Arial"/>
          <w:color w:val="000000" w:themeColor="text1"/>
          <w:sz w:val="24"/>
          <w:szCs w:val="24"/>
          <w:lang w:bidi="es-EC"/>
        </w:rPr>
        <w:t xml:space="preserve">Para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Descripción de la organización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Impacto del proyecto en la sociedad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E497B84">
      <w:pPr>
        <w:pBdr/>
        <w:spacing w:after="240" w:before="240"/>
        <w:ind/>
        <w:jc w:val="both"/>
        <w:rPr/>
      </w:pPr>
      <w:r>
        <w:rPr>
          <w:rFonts w:ascii="Arial" w:hAnsi="Arial" w:eastAsia="Arial" w:cs="Arial"/>
          <w:color w:val="000000" w:themeColor="text1"/>
          <w:sz w:val="24"/>
          <w:szCs w:val="24"/>
        </w:rPr>
        <w:t xml:space="preserve">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p>
    <w:p w14:paraId="68742A03">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69D312">
      <w:pPr>
        <w:pBdr/>
        <w:spacing w:after="240" w:before="240"/>
        <w:ind/>
        <w:jc w:val="both"/>
        <w:rPr/>
      </w:pPr>
      <w:r>
        <w:rPr>
          <w:rFonts w:ascii="Arial" w:hAnsi="Arial" w:eastAsia="Arial" w:cs="Arial"/>
          <w:color w:val="000000" w:themeColor="text1"/>
          <w:sz w:val="24"/>
          <w:szCs w:val="24"/>
        </w:rPr>
        <w:t xml:space="preserve">Desde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p>
    <w:p w14:paraId="3D48CF54">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CAB6AD">
      <w:pPr>
        <w:pBdr/>
        <w:spacing w:after="240" w:before="240"/>
        <w:ind/>
        <w:jc w:val="both"/>
        <w:rPr/>
      </w:pPr>
      <w:r>
        <w:rPr>
          <w:rFonts w:ascii="Arial" w:hAnsi="Arial" w:eastAsia="Arial" w:cs="Arial"/>
          <w:color w:val="000000" w:themeColor="text1"/>
          <w:sz w:val="24"/>
          <w:szCs w:val="24"/>
        </w:rPr>
        <w:t xml:space="preserve">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p>
    <w:p w14:paraId="66E3CA9E">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ED7D7B9">
      <w:pPr>
        <w:pBdr/>
        <w:spacing w:after="240" w:before="240"/>
        <w:ind/>
        <w:jc w:val="both"/>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p>
    <w:p w14:paraId="78267360">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Análisis de posibles soluciones</w:t>
      </w:r>
      <w:r>
        <w:rPr>
          <w:rFonts w:ascii="Arial" w:hAnsi="Arial" w:cs="Arial"/>
          <w:color w:val="000000" w:themeColor="text1"/>
        </w:rPr>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9EBB6D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de posibles soluciones se desarroll</w:t>
      </w:r>
      <w:r>
        <w:rPr>
          <w:rFonts w:ascii="Arial" w:hAnsi="Arial" w:eastAsia="Arial" w:cs="Arial"/>
          <w:color w:val="000000" w:themeColor="text1"/>
          <w:sz w:val="24"/>
          <w:szCs w:val="24"/>
        </w:rPr>
        <w:t xml:space="preserve">a con el objetivo de identificar el enfoque más adecuado para mitigar el riesgo de ataques de phishing en el contexto de la empresa Hackick – IT Services &amp; Consulting y las organizaciones a las que presta servicios. Para ello, se consideran alternativas té</w:t>
      </w:r>
      <w:r>
        <w:rPr>
          <w:rFonts w:ascii="Arial" w:hAnsi="Arial" w:eastAsia="Arial" w:cs="Arial"/>
          <w:color w:val="000000" w:themeColor="text1"/>
          <w:sz w:val="24"/>
          <w:szCs w:val="24"/>
        </w:rPr>
        <w:t xml:space="preserve">cnicas y organizacionales orientadas a mejorar la detección de correos electrónicos maliciosos, evaluando criterios como efectividad, viabilidad técnica, impacto operativo, costos de implementación y alineación con los objetivos estratégicos de la empresa.</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541AFF" w14:textId="77777777">
      <w:pPr>
        <w:pBdr/>
        <w:spacing w:after="240" w:before="240"/>
        <w:ind/>
        <w:jc w:val="both"/>
        <w:rPr>
          <w:rFonts w:ascii="Arial" w:hAnsi="Arial" w:eastAsia="Arial" w:cs="Arial"/>
          <w:color w:val="000000" w:themeColor="text1"/>
          <w:sz w:val="24"/>
          <w:szCs w:val="24"/>
        </w:rPr>
      </w:pPr>
      <w:r/>
      <w:commentRangeStart w:id="2"/>
      <w:r>
        <w:rPr>
          <w:rFonts w:ascii="Arial" w:hAnsi="Arial" w:eastAsia="Arial" w:cs="Arial"/>
          <w:color w:val="000000" w:themeColor="text1"/>
          <w:sz w:val="24"/>
          <w:szCs w:val="24"/>
        </w:rPr>
        <w:t xml:space="preserve">Diversos estudios académicos</w:t>
      </w:r>
      <w:commentRangeEnd w:id="2"/>
      <w:r>
        <w:commentReference w:id="2"/>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respaldan la insuficiencia de métodos tradicionales de de</w:t>
      </w:r>
      <w:r>
        <w:rPr>
          <w:rFonts w:ascii="Arial" w:hAnsi="Arial" w:eastAsia="Arial" w:cs="Arial"/>
          <w:color w:val="000000" w:themeColor="text1"/>
          <w:sz w:val="24"/>
          <w:szCs w:val="24"/>
        </w:rPr>
        <w:t xml:space="preserve">tección basados únicamente en reglas estáticas o listas negras, especialmente frente a ataques sofisticados que cambian rápidamente sus patrones. Investigaciones recientes han demostrado la eficacia del uso de machine learning para la detección de phishing</w:t>
      </w:r>
      <w:r>
        <w:rPr>
          <w:rFonts w:ascii="Arial" w:hAnsi="Arial" w:eastAsia="Arial" w:cs="Arial"/>
          <w:color w:val="000000" w:themeColor="text1"/>
          <w:sz w:val="24"/>
          <w:szCs w:val="24"/>
        </w:rPr>
        <w:t xml:space="preserve">, ya que estos métodos permiten automatizar la clasificación de correos según patrones complejos aprendidos de datos etiquetados, mejorando la adaptabilidad del sistema ante nuevas variantes de ataques (Muriithi &amp; Karani, 2024; Raweia &amp; Abdulhammed,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F9C6C9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particular, la literatura revisada señala que algoritmos como Support Vector Machine (SVM), Random Forest (RF) y</w:t>
      </w:r>
      <w:r>
        <w:rPr>
          <w:rFonts w:ascii="Arial" w:hAnsi="Arial" w:eastAsia="Arial" w:cs="Arial"/>
          <w:color w:val="000000" w:themeColor="text1"/>
          <w:sz w:val="24"/>
          <w:szCs w:val="24"/>
        </w:rPr>
        <w:t xml:space="preserve"> Decision Tree (DT) han demostrado capacidades sólidas para diferenciar entre correos legítimos y maliciosos, alcanzando niveles de precisión elevados cuando se combinan con técnicas de extracción de características relevantes (Raweia &amp; Abdulhammed,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EFEF9C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Además, trabajos adicionales muestran que las mejoras en la selec</w:t>
      </w:r>
      <w:r>
        <w:rPr>
          <w:rFonts w:ascii="Arial" w:hAnsi="Arial" w:eastAsia="Arial" w:cs="Arial"/>
          <w:color w:val="000000" w:themeColor="text1"/>
          <w:sz w:val="24"/>
          <w:szCs w:val="24"/>
        </w:rPr>
        <w:t xml:space="preserve">ción de características, como el uso de técnicas de reducción dimensional y análisis semántico, contribuyen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6C0489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industrial, los proveedores </w:t>
      </w:r>
      <w:r>
        <w:rPr>
          <w:rFonts w:ascii="Arial" w:hAnsi="Arial" w:eastAsia="Arial" w:cs="Arial"/>
          <w:color w:val="000000" w:themeColor="text1"/>
          <w:sz w:val="24"/>
          <w:szCs w:val="24"/>
        </w:rPr>
        <w:t xml:space="preserve">de seguridad líderes han integrado técnicas de aprendizaje automático y heurísticas avanzadas en sus plataformas de protección de correo electrónico. Por ejemplo, Microsoft Defender for Office 365 incorpora análisis basado en IA para evaluar reputación de </w:t>
      </w:r>
      <w:r>
        <w:rPr>
          <w:rFonts w:ascii="Arial" w:hAnsi="Arial" w:eastAsia="Arial" w:cs="Arial"/>
          <w:color w:val="000000" w:themeColor="text1"/>
          <w:sz w:val="24"/>
          <w:szCs w:val="24"/>
        </w:rPr>
        <w:t xml:space="preserve">remitentes y patrones de contenido sospechoso, bloqueando amenazas antes de que lleguen a la bandeja de en</w:t>
      </w:r>
      <w:r>
        <w:rPr>
          <w:rFonts w:ascii="Arial" w:hAnsi="Arial" w:eastAsia="Arial" w:cs="Arial"/>
          <w:color w:val="000000" w:themeColor="text1"/>
          <w:sz w:val="24"/>
          <w:szCs w:val="24"/>
        </w:rPr>
        <w:t xml:space="preserve">trada; Proofpoint Email Protection emplea análisis de comportamiento y reputación del dominio para identificar correos fraudulentos; Cisco Secure Email Gateway utiliza modelos adaptativos para identificar anomalías en mensajes; y Mimecast Messaging Securit</w:t>
      </w:r>
      <w:r>
        <w:rPr>
          <w:rFonts w:ascii="Arial" w:hAnsi="Arial" w:eastAsia="Arial" w:cs="Arial"/>
          <w:color w:val="000000" w:themeColor="text1"/>
          <w:sz w:val="24"/>
          <w:szCs w:val="24"/>
        </w:rPr>
        <w:t xml:space="preserve">y aplica análisis contextual y reputación dinámicamente para mitigar phishing y suplantación de identidad. Estas implementaciones industriales confirman la aplicabilidad y madurez de enfoques basados en aprendizaje automático en entornos reales de empresa.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9AD9CD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w:t>
      </w:r>
      <w:r>
        <w:rPr>
          <w:rFonts w:ascii="Arial" w:hAnsi="Arial" w:eastAsia="Arial" w:cs="Arial"/>
          <w:color w:val="000000" w:themeColor="text1"/>
          <w:sz w:val="24"/>
          <w:szCs w:val="24"/>
        </w:rPr>
        <w:t xml:space="preserve">términos de costos de licencia, dependencia de proveedores externos y escasa personalización para escenarios específicos, añadiendo una barrera para pequeñas y medianas empresas que requieren soluciones más flexibles y ajustadas a sus contextos operativos.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los estudios académicos y la adopción industrial de técnicas de aprendizaje automático respaldan la pertinencia de d</w:t>
      </w:r>
      <w:r>
        <w:rPr>
          <w:rFonts w:ascii="Arial" w:hAnsi="Arial" w:eastAsia="Arial" w:cs="Arial"/>
          <w:color w:val="000000" w:themeColor="text1"/>
          <w:sz w:val="24"/>
          <w:szCs w:val="24"/>
        </w:rPr>
        <w:t xml:space="preserve">esarrollar una solución propia basada en machine learning. Este enfoque permitiría a Hackick adaptar modelos de detección a las necesidades particulares de sus clientes, emplear herramientas de código abierto y evitar dependencias comerciales restrictivas.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Limitaciones y restricciones del proyecto</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EBF7883" w14:textId="77777777">
      <w:pPr>
        <w:pBdr/>
        <w:spacing/>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Limitaciones:</w:t>
      </w:r>
      <w:r>
        <w:rPr>
          <w:rFonts w:ascii="Arial" w:hAnsi="Arial" w:cs="Arial"/>
          <w:color w:val="000000" w:themeColor="text1"/>
          <w:sz w:val="24"/>
          <w:szCs w:val="24"/>
        </w:rPr>
      </w:r>
      <w:r>
        <w:rPr>
          <w:rFonts w:ascii="Arial" w:hAnsi="Arial" w:cs="Arial"/>
          <w:color w:val="000000" w:themeColor="text1"/>
          <w:sz w:val="24"/>
          <w:szCs w:val="24"/>
        </w:rPr>
      </w:r>
    </w:p>
    <w:p w14:paraId="627EEC3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sistema se enfocará únicamente en la detección de correos electrónicos de tipo phishing, sin abarcar otros tipos de ataques como malware o ransomware.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9D8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se desarrollará una aplicación móvil ni extensión de navegador; el modelo será implementado y probado en un entorno local mediante Python y librerías de machine learning (scikit-learn).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1A3416B"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dataset utilizado será </w:t>
      </w:r>
      <w:r>
        <w:rPr>
          <w:rFonts w:ascii="Arial" w:hAnsi="Arial" w:eastAsia="Arial" w:cs="Arial"/>
          <w:color w:val="000000" w:themeColor="text1"/>
          <w:sz w:val="24"/>
          <w:szCs w:val="24"/>
        </w:rPr>
        <w:t xml:space="preserve">de fuentes públicas (Kaggle, DataSource.ai y repositorios abiertos de correos electrónicos simulados utilizados en entornos de prueba en ciberseguridad) y de tamaño limitado, lo que puede influir en la precisión del modelo frente a nuevos tipos de ataques.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98B2B3" w14:textId="572E98A8">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se centrará en la validación, sin incluir la puesta en producción del sistema.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50C6F85" w14:textId="77777777">
      <w:pPr>
        <w:pBdr/>
        <w:spacing w:after="240" w:before="240"/>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Restricciones:</w:t>
      </w:r>
      <w:r>
        <w:rPr>
          <w:rFonts w:ascii="Arial" w:hAnsi="Arial" w:cs="Arial"/>
          <w:color w:val="000000" w:themeColor="text1"/>
          <w:sz w:val="24"/>
          <w:szCs w:val="24"/>
        </w:rPr>
      </w:r>
      <w:r>
        <w:rPr>
          <w:rFonts w:ascii="Arial" w:hAnsi="Arial" w:cs="Arial"/>
          <w:color w:val="000000" w:themeColor="text1"/>
          <w:sz w:val="24"/>
          <w:szCs w:val="24"/>
        </w:rPr>
      </w:r>
    </w:p>
    <w:p w14:paraId="191F09C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modelo funcionará correctamente solo con </w:t>
      </w:r>
      <w:commentRangeStart w:id="3"/>
      <w:r>
        <w:rPr>
          <w:rFonts w:ascii="Arial" w:hAnsi="Arial" w:eastAsia="Arial" w:cs="Arial"/>
          <w:color w:val="000000" w:themeColor="text1"/>
          <w:sz w:val="24"/>
          <w:szCs w:val="24"/>
        </w:rPr>
        <w:t xml:space="preserve">datos previamente estructurados y limpiados</w:t>
      </w:r>
      <w:commentRangeEnd w:id="3"/>
      <w:r>
        <w:commentReference w:id="3"/>
      </w:r>
      <w:r>
        <w:rPr>
          <w:rFonts w:ascii="Arial" w:hAnsi="Arial" w:eastAsia="Arial" w:cs="Arial"/>
          <w:color w:val="000000" w:themeColor="text1"/>
          <w:sz w:val="24"/>
          <w:szCs w:val="24"/>
        </w:rPr>
        <w:t xml:space="preserve">, siguiendo un formato definido (CSV o similar).</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6C6BD35"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Se empleará exclusivamente software libre y herramientas open source, evitando dependencias comerciales o de pago.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15570A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proyecto deberá cumplir con las </w:t>
      </w:r>
      <w:commentRangeStart w:id="4"/>
      <w:r>
        <w:rPr>
          <w:rFonts w:ascii="Arial" w:hAnsi="Arial" w:eastAsia="Arial" w:cs="Arial"/>
          <w:color w:val="000000" w:themeColor="text1"/>
          <w:sz w:val="24"/>
          <w:szCs w:val="24"/>
        </w:rPr>
        <w:t xml:space="preserve">normas éticas y de privacidad de datos</w:t>
      </w:r>
      <w:commentRangeEnd w:id="4"/>
      <w:r>
        <w:commentReference w:id="4"/>
      </w:r>
      <w:r>
        <w:rPr>
          <w:rFonts w:ascii="Arial" w:hAnsi="Arial" w:eastAsia="Arial" w:cs="Arial"/>
          <w:color w:val="000000" w:themeColor="text1"/>
          <w:sz w:val="24"/>
          <w:szCs w:val="24"/>
        </w:rPr>
        <w:t xml:space="preserve">, asegurando que ningún correo contenga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CF545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entorno será completamente on-premise, utilizando equipos con capacidad media y sin dependencia de procesamiento en la nube o distribuido.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56E70B5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Con base en el problema identificado, los estudios revisados y las limitaciones del proyecto, se analizaron tres alternativas principales para fortalecer la detección de phishing en el contexto de Hackick – IT Services &amp; Consulting.</w:t>
      </w:r>
      <w:r>
        <w:rPr>
          <w:rFonts w:ascii="Arial" w:hAnsi="Arial" w:cs="Arial"/>
          <w:color w:val="000000" w:themeColor="text1"/>
          <w:sz w:val="24"/>
          <w:szCs w:val="24"/>
        </w:rPr>
      </w:r>
      <w:r>
        <w:rPr>
          <w:rFonts w:ascii="Arial" w:hAnsi="Arial" w:cs="Arial"/>
          <w:color w:val="000000" w:themeColor="text1"/>
          <w:sz w:val="24"/>
          <w:szCs w:val="24"/>
        </w:rPr>
      </w:r>
    </w:p>
    <w:p w14:paraId="78AA0999" w14:textId="77777777">
      <w:pPr>
        <w:pStyle w:val="1009"/>
        <w:pBdr/>
        <w:spacing/>
        <w:ind w:left="204"/>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2.3.1. Implementación de un sistema de Detección Sidecar.</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3B72CD"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alternativa propone el desarrollo de un sistema de detección basado en una arquitectura tipo Sidecar por copia,</w:t>
      </w:r>
      <w:r>
        <w:rPr>
          <w:rFonts w:ascii="Arial" w:hAnsi="Arial" w:eastAsia="Arial" w:cs="Arial"/>
          <w:color w:val="000000" w:themeColor="text1"/>
          <w:sz w:val="24"/>
          <w:szCs w:val="24"/>
        </w:rPr>
        <w:t xml:space="preserve"> la cual opera de forma paralela al flujo principal de entrega de mensajería sin interferir en la disponibilidad del servicio. En este modelo, cada mensaje entrante al servidor de correo de los clientes de Hackick genera una copia automática enviada a un b</w:t>
      </w:r>
      <w:r>
        <w:rPr>
          <w:rFonts w:ascii="Arial" w:hAnsi="Arial" w:eastAsia="Arial" w:cs="Arial"/>
          <w:color w:val="000000" w:themeColor="text1"/>
          <w:sz w:val="24"/>
          <w:szCs w:val="24"/>
        </w:rPr>
        <w:t xml:space="preserve">uzón técnico dedicado para su análisis. Este enfoque de "vigilancia pasiva" permite la aplicación de modelos de aprendizaje profundo y supervisado sin los riesgos operativos asociados a la modificación de registros MX o la inserción de gateways intrusivos </w:t>
      </w:r>
      <w:commentRangeStart w:id="5"/>
      <w:r>
        <w:rPr>
          <w:rFonts w:ascii="Arial" w:hAnsi="Arial" w:eastAsia="Arial" w:cs="Arial"/>
          <w:color w:val="000000" w:themeColor="text1"/>
          <w:sz w:val="24"/>
          <w:szCs w:val="24"/>
        </w:rPr>
        <w:t xml:space="preserve">(Abbazi &amp; Alsabih, 2024).</w:t>
      </w:r>
      <w:commentRangeEnd w:id="5"/>
      <w:r>
        <w:commentReference w:id="5"/>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B00D05"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procedimiento técnico se divide en tres fases críticas soportadas por literatura especializada:</w:t>
      </w:r>
      <w:r>
        <w:rPr>
          <w:rFonts w:ascii="Arial" w:hAnsi="Arial" w:cs="Arial"/>
          <w:color w:val="000000" w:themeColor="text1"/>
          <w:sz w:val="24"/>
          <w:szCs w:val="24"/>
        </w:rPr>
      </w:r>
      <w:r>
        <w:rPr>
          <w:rFonts w:ascii="Arial" w:hAnsi="Arial" w:cs="Arial"/>
          <w:color w:val="000000" w:themeColor="text1"/>
          <w:sz w:val="24"/>
          <w:szCs w:val="24"/>
        </w:rPr>
      </w:r>
    </w:p>
    <w:p w14:paraId="2DF05DE5"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Extracción y Preprocesamiento (Collector): Mediante el protocolo IMAP, el sistema extrae metadatos, cabeceras (SPF, </w:t>
      </w:r>
      <w:r>
        <w:rPr>
          <w:rFonts w:ascii="Arial" w:hAnsi="Arial" w:eastAsia="Arial" w:cs="Arial"/>
          <w:color w:val="000000" w:themeColor="text1"/>
          <w:sz w:val="24"/>
          <w:szCs w:val="24"/>
        </w:rPr>
        <w:t xml:space="preserve">DKIM, DMARC) y el cuerpo del mensaje. Se aplican técnicas de limpieza de HTML y tokenización para transformar el texto en vectores numéricos, un paso esencial para que los algoritmos de clasificación identifiquen patrones de riesgo (Verma &amp; Hossain, 2013).</w:t>
      </w:r>
      <w:r>
        <w:rPr>
          <w:rFonts w:ascii="Arial" w:hAnsi="Arial" w:cs="Arial"/>
          <w:color w:val="000000" w:themeColor="text1"/>
          <w:sz w:val="24"/>
          <w:szCs w:val="24"/>
        </w:rPr>
      </w:r>
      <w:r>
        <w:rPr>
          <w:rFonts w:ascii="Arial" w:hAnsi="Arial" w:cs="Arial"/>
          <w:color w:val="000000" w:themeColor="text1"/>
          <w:sz w:val="24"/>
          <w:szCs w:val="24"/>
        </w:rPr>
      </w:r>
    </w:p>
    <w:p w14:paraId="794EF54D"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Motor de Clasificación (Machine Learning): Se utilizan modelos supervisados como Random</w:t>
      </w:r>
      <w:r>
        <w:rPr>
          <w:rFonts w:ascii="Arial" w:hAnsi="Arial" w:eastAsia="Arial" w:cs="Arial"/>
          <w:color w:val="000000" w:themeColor="text1"/>
          <w:sz w:val="24"/>
          <w:szCs w:val="24"/>
        </w:rPr>
        <w:t xml:space="preserve"> Forest o SVM para evaluar características léxicas y semánticas, asignando un puntaje de riesgo a cada correo. Estudios demuestran que estos modelos alcanzan niveles superiores de precisión frente a los ataques dinámicos actuales al analizar la estructura </w:t>
      </w:r>
      <w:r>
        <w:rPr>
          <w:rFonts w:ascii="Arial" w:hAnsi="Arial" w:eastAsia="Arial" w:cs="Arial"/>
          <w:color w:val="000000" w:themeColor="text1"/>
          <w:sz w:val="24"/>
          <w:szCs w:val="24"/>
        </w:rPr>
        <w:t xml:space="preserve">completa del mensaje y no solo palabras clave (Muliono et al., 2024; Nature, 2023).</w:t>
      </w:r>
      <w:r>
        <w:rPr>
          <w:rFonts w:ascii="Arial" w:hAnsi="Arial" w:cs="Arial"/>
          <w:color w:val="000000" w:themeColor="text1"/>
          <w:sz w:val="24"/>
          <w:szCs w:val="24"/>
        </w:rPr>
      </w:r>
      <w:r>
        <w:rPr>
          <w:rFonts w:ascii="Arial" w:hAnsi="Arial" w:cs="Arial"/>
          <w:color w:val="000000" w:themeColor="text1"/>
          <w:sz w:val="24"/>
          <w:szCs w:val="24"/>
        </w:rPr>
      </w:r>
    </w:p>
    <w:p w14:paraId="65258661"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Acción Reactiva y Visualización: Una vez detectada una amenaza, el sistema invoca la API del proveedor de</w:t>
      </w:r>
      <w:r>
        <w:rPr>
          <w:rFonts w:ascii="Arial" w:hAnsi="Arial" w:eastAsia="Arial" w:cs="Arial"/>
          <w:color w:val="000000" w:themeColor="text1"/>
          <w:sz w:val="24"/>
          <w:szCs w:val="24"/>
        </w:rPr>
        <w:t xml:space="preserve"> correo para inyectar una alerta visual (banner HTML) o etiquetar el mensaje en la bandeja del usuario. Este proceso de retroalimentación es vital para fortalecer la cultura de seguridad del cliente sin interrumpir su flujo de trabajo (Singh et al., 2020).</w:t>
      </w:r>
      <w:r>
        <w:rPr>
          <w:rFonts w:ascii="Arial" w:hAnsi="Arial" w:cs="Arial"/>
          <w:color w:val="000000" w:themeColor="text1"/>
          <w:sz w:val="24"/>
          <w:szCs w:val="24"/>
        </w:rPr>
      </w:r>
      <w:r>
        <w:rPr>
          <w:rFonts w:ascii="Arial" w:hAnsi="Arial" w:cs="Arial"/>
          <w:color w:val="000000" w:themeColor="text1"/>
          <w:sz w:val="24"/>
          <w:szCs w:val="24"/>
        </w:rP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principal ventaja competitiva para Hackick es el bajo impacto operativo y la capacidad de ofrecer un servicio gestionado escalable y personalizado (ResearchGate, 2024). No obstante, esta </w:t>
      </w:r>
      <w:r>
        <w:rPr>
          <w:rFonts w:ascii="Arial" w:hAnsi="Arial" w:eastAsia="Arial" w:cs="Arial"/>
          <w:color w:val="000000" w:themeColor="text1"/>
          <w:sz w:val="24"/>
          <w:szCs w:val="24"/>
        </w:rPr>
        <w:t xml:space="preserve">solución presenta el reto de la latencia mínima entre la entrega del correo original y el etiquetado de la alerta, lo que exige una optimización rigurosa del modelo de detección para garantizar tiempos de respuesta casi inmediatos (Applied Sciences, 2025).</w:t>
      </w:r>
      <w:r>
        <w:rPr>
          <w:rFonts w:ascii="Arial" w:hAnsi="Arial" w:eastAsia="Arial" w:cs="Arial"/>
          <w:color w:val="000000" w:themeColor="text1"/>
          <w:sz w:val="24"/>
          <w:szCs w:val="24"/>
        </w:rPr>
        <w:t xml:space="preserve"> Se encontrara mas información en el Anexo 1</w:t>
      </w:r>
      <w:r>
        <w:rPr>
          <w:rFonts w:ascii="Arial" w:hAnsi="Arial" w:cs="Arial"/>
          <w:color w:val="000000" w:themeColor="text1"/>
          <w:sz w:val="24"/>
          <w:szCs w:val="24"/>
        </w:rPr>
      </w:r>
      <w:r>
        <w:rPr>
          <w:rFonts w:ascii="Arial" w:hAnsi="Arial" w:cs="Arial"/>
          <w:color w:val="000000" w:themeColor="text1"/>
          <w:sz w:val="24"/>
          <w:szCs w:val="24"/>
        </w:rPr>
      </w:r>
    </w:p>
    <w:p w14:paraId="5E3641C3" w14:textId="77777777">
      <w:pPr>
        <w:pStyle w:val="1009"/>
        <w:pBdr/>
        <w:spacing/>
        <w:ind w:left="204"/>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2.3.2. Contratación de una empresa externa especializada en ciberseguridad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285CACD"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Otra alternativa considerada es la co</w:t>
      </w:r>
      <w:r>
        <w:rPr>
          <w:rFonts w:ascii="Arial" w:hAnsi="Arial" w:eastAsia="Arial" w:cs="Arial"/>
          <w:color w:val="000000" w:themeColor="text1"/>
          <w:sz w:val="24"/>
          <w:szCs w:val="24"/>
        </w:rPr>
        <w:t xml:space="preserve">ntratación de una empresa especializada en seguridad de correo electrónico que provea soluciones comerciales de detección de phishing. Este enfoque permite acceder a plataformas maduras y a experiencia externa, reduciendo el esfuerzo de desarrollo interno.</w:t>
      </w:r>
      <w:r>
        <w:rPr>
          <w:rFonts w:ascii="Arial" w:hAnsi="Arial" w:cs="Arial"/>
          <w:color w:val="000000" w:themeColor="text1"/>
          <w:sz w:val="24"/>
          <w:szCs w:val="24"/>
        </w:rPr>
      </w:r>
      <w:r>
        <w:rPr>
          <w:rFonts w:ascii="Arial" w:hAnsi="Arial" w:cs="Arial"/>
          <w:color w:val="000000" w:themeColor="text1"/>
          <w:sz w:val="24"/>
          <w:szCs w:val="24"/>
        </w:rPr>
      </w:r>
    </w:p>
    <w:p w14:paraId="41C2091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Sin embargo, esta opción implica </w:t>
      </w:r>
      <w:r>
        <w:rPr>
          <w:rFonts w:ascii="Arial" w:hAnsi="Arial" w:eastAsia="Arial" w:cs="Arial"/>
          <w:b/>
          <w:bCs/>
          <w:color w:val="000000" w:themeColor="text1"/>
          <w:sz w:val="24"/>
          <w:szCs w:val="24"/>
        </w:rPr>
        <w:t xml:space="preserve">costos elevados</w:t>
      </w:r>
      <w:r>
        <w:rPr>
          <w:rFonts w:ascii="Arial" w:hAnsi="Arial" w:eastAsia="Arial" w:cs="Arial"/>
          <w:color w:val="000000" w:themeColor="text1"/>
          <w:sz w:val="24"/>
          <w:szCs w:val="24"/>
        </w:rPr>
        <w:t xml:space="preserve">, dependencia tecnoló</w:t>
      </w:r>
      <w:r>
        <w:rPr>
          <w:rFonts w:ascii="Arial" w:hAnsi="Arial" w:eastAsia="Arial" w:cs="Arial"/>
          <w:color w:val="000000" w:themeColor="text1"/>
          <w:sz w:val="24"/>
          <w:szCs w:val="24"/>
        </w:rPr>
        <w:t xml:space="preserve">gica del proveedor y menor capacidad de personalización. Además, limita la posibilidad de que Hackick diferencie su oferta de servicios y desarrolle capacidades internas en inteligencia artificial aplicada a la ciberseguridad. Mas información en el Anexo 2</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25D0366" w14:textId="6475838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2.3.3. </w:t>
      </w:r>
      <w:commentRangeStart w:id="6"/>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6"/>
      <w:r>
        <w:commentReference w:id="6"/>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5584954"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tercera alternativa consiste e</w:t>
      </w:r>
      <w:r>
        <w:rPr>
          <w:rFonts w:ascii="Arial" w:hAnsi="Arial" w:eastAsia="Arial" w:cs="Arial"/>
          <w:color w:val="000000" w:themeColor="text1"/>
          <w:sz w:val="24"/>
          <w:szCs w:val="24"/>
        </w:rPr>
        <w:t xml:space="preserve">n el desarrollo de una plataforma orientada a la concientización y capacitación de usuarios frente a ataques de phishing. Esta solución busca reducir el riesgo mediante el fortalecimiento del factor humano, complementando los controles técnicos existentes.</w:t>
      </w:r>
      <w:r>
        <w:rPr>
          <w:rFonts w:ascii="Arial" w:hAnsi="Arial" w:cs="Arial"/>
          <w:color w:val="000000" w:themeColor="text1"/>
          <w:sz w:val="24"/>
          <w:szCs w:val="24"/>
        </w:rPr>
      </w:r>
      <w:r>
        <w:rPr>
          <w:rFonts w:ascii="Arial" w:hAnsi="Arial" w:cs="Arial"/>
          <w:color w:val="000000" w:themeColor="text1"/>
          <w:sz w:val="24"/>
          <w:szCs w:val="24"/>
        </w:rPr>
      </w:r>
    </w:p>
    <w:p w14:paraId="3701FD3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 bien esta alternativa aporta valor en términos de cultura de seguridad, no ofrece una capacidad directa de detección automatizada, por lo que resulta insuficiente como solución principal frente al problema identificado. Mas información en el Anexo 3</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1D49D">
      <w:pPr>
        <w:pStyle w:val="1171"/>
        <w:pBdr/>
        <w:spacing/>
        <w:ind/>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r/>
    </w:p>
    <w:p w14:paraId="61AD58D0">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1</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Comparación de soluciones </w:t>
      </w: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7"/>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7"/>
            <w:r>
              <w:commentReference w:id="7"/>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8"/>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8"/>
            <w:r>
              <w:commentReference w:id="8"/>
            </w:r>
            <w:r>
              <w:rPr>
                <w:rFonts w:ascii="Arial" w:hAnsi="Arial" w:cs="Arial"/>
                <w:color w:val="000000" w:themeColor="text1"/>
                <w:sz w:val="24"/>
                <w:szCs w:val="24"/>
              </w:rPr>
            </w:r>
            <w:r>
              <w:rPr>
                <w:rFonts w:ascii="Arial" w:hAnsi="Arial" w:cs="Arial"/>
                <w:color w:val="000000" w:themeColor="text1"/>
                <w:sz w:val="24"/>
                <w:szCs w:val="24"/>
              </w:rPr>
            </w:r>
          </w:p>
        </w:tc>
      </w:tr>
    </w:tbl>
    <w:p w14:paraId="3C8080E0">
      <w:pPr>
        <w:pStyle w:val="1171"/>
        <w:pBdr/>
        <w:spacing/>
        <w:ind/>
        <w:rPr/>
      </w:pPr>
      <w:r/>
      <w:r/>
    </w:p>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Alcance</w:t>
      </w:r>
      <w:r>
        <w:rPr>
          <w:rFonts w:ascii="Arial" w:hAnsi="Arial" w:cs="Arial"/>
          <w:color w:val="000000" w:themeColor="text1"/>
        </w:rPr>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Alcance de la solución seleccionada</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9"/>
      <w:r>
        <w:rPr>
          <w:rFonts w:ascii="Arial" w:hAnsi="Arial" w:eastAsia="Arial" w:cs="Arial"/>
          <w:color w:val="000000" w:themeColor="text1"/>
          <w:sz w:val="24"/>
          <w:szCs w:val="24"/>
        </w:rPr>
        <w:t xml:space="preserve">prototipo funcional </w:t>
      </w:r>
      <w:commentRangeEnd w:id="9"/>
      <w:r>
        <w:commentReference w:id="9"/>
      </w:r>
      <w:r>
        <w:rPr>
          <w:rFonts w:ascii="Arial" w:hAnsi="Arial" w:eastAsia="Arial" w:cs="Arial"/>
          <w:color w:val="000000" w:themeColor="text1"/>
          <w:sz w:val="24"/>
          <w:szCs w:val="24"/>
        </w:rPr>
        <w:t xml:space="preserve">que simula un escenario real de operación mediante conexión IMAP, respetando la </w:t>
      </w:r>
      <w:commentRangeStart w:id="10"/>
      <w:r>
        <w:rPr>
          <w:rFonts w:ascii="Arial" w:hAnsi="Arial" w:eastAsia="Arial" w:cs="Arial"/>
          <w:color w:val="000000" w:themeColor="text1"/>
          <w:sz w:val="24"/>
          <w:szCs w:val="24"/>
        </w:rPr>
        <w:t xml:space="preserve">arquitectura Sidecar </w:t>
      </w:r>
      <w:commentRangeEnd w:id="10"/>
      <w:r>
        <w:commentReference w:id="10"/>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11"/>
      <w:r>
        <w:rPr>
          <w:rFonts w:ascii="Arial" w:hAnsi="Arial" w:eastAsia="Arial" w:cs="Arial"/>
          <w:color w:val="000000" w:themeColor="text1"/>
          <w:sz w:val="24"/>
          <w:szCs w:val="24"/>
        </w:rPr>
        <w:t xml:space="preserve">Indicar los componentes que va a tener</w:t>
      </w:r>
      <w:commentRangeEnd w:id="11"/>
      <w:r>
        <w:commentReference w:id="11"/>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12"/>
      <w:r>
        <w:rPr>
          <w:rFonts w:ascii="Arial" w:hAnsi="Arial" w:eastAsia="Arial" w:cs="Arial"/>
          <w:color w:val="000000" w:themeColor="text1"/>
          <w:sz w:val="24"/>
          <w:szCs w:val="24"/>
        </w:rPr>
        <w:t xml:space="preserve">Indicar cuales son las herramientas de software libre que se van a usar.</w:t>
      </w:r>
      <w:commentRangeEnd w:id="12"/>
      <w:r>
        <w:commentReference w:id="12"/>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13"/>
      <w:r>
        <w:rPr>
          <w:rFonts w:ascii="Arial" w:hAnsi="Arial" w:eastAsia="Arial" w:cs="Arial"/>
          <w:color w:val="000000" w:themeColor="text1"/>
          <w:sz w:val="24"/>
          <w:szCs w:val="24"/>
        </w:rPr>
        <w:t xml:space="preserve">Incluir un diagrama de la arquitectura de la aplicación</w:t>
      </w:r>
      <w:commentRangeEnd w:id="13"/>
      <w:r>
        <w:commentReference w:id="13"/>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commentRangeStart w:id="14"/>
      <w:r>
        <w:rPr>
          <w:rFonts w:ascii="Arial" w:hAnsi="Arial" w:eastAsia="Arial" w:cs="Arial"/>
          <w:b/>
          <w:bCs/>
          <w:color w:val="000000" w:themeColor="text1"/>
          <w:sz w:val="24"/>
          <w:szCs w:val="24"/>
        </w:rPr>
        <w:t xml:space="preserve">Objetivos funcionales del alcance</w:t>
      </w:r>
      <w:commentRangeEnd w:id="14"/>
      <w:r>
        <w:commentReference w:id="14"/>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5"/>
      <w:r>
        <w:rPr>
          <w:rFonts w:ascii="Arial" w:hAnsi="Arial" w:eastAsia="Arial" w:cs="Arial"/>
          <w:color w:val="000000" w:themeColor="text1"/>
          <w:sz w:val="24"/>
          <w:szCs w:val="24"/>
        </w:rPr>
        <w:t xml:space="preserve">Entrenar y validar </w:t>
      </w:r>
      <w:commentRangeEnd w:id="15"/>
      <w:r>
        <w:commentReference w:id="15"/>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6"/>
      <w:r>
        <w:rPr>
          <w:rFonts w:ascii="Arial" w:hAnsi="Arial" w:eastAsia="Arial" w:cs="Arial"/>
          <w:color w:val="000000" w:themeColor="text1"/>
          <w:sz w:val="24"/>
          <w:szCs w:val="24"/>
        </w:rPr>
        <w:t xml:space="preserve">Calcular métricas de desempeño (precisión, recall, F1-score, matriz de confusión).</w:t>
      </w:r>
      <w:commentRangeEnd w:id="16"/>
      <w:r>
        <w:commentReference w:id="16"/>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7"/>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7"/>
      <w:r>
        <w:commentReference w:id="17"/>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rPr>
          <w:rFonts w:ascii="Arial" w:hAnsi="Arial" w:eastAsia="Segoe UI" w:cs="Arial"/>
          <w:b/>
          <w:bCs/>
          <w:color w:val="000000" w:themeColor="text1"/>
          <w:sz w:val="24"/>
          <w:szCs w:val="24"/>
        </w:rPr>
        <w:t xml:space="preserve">Entregables esperados</w:t>
      </w:r>
      <w:r>
        <w:rPr>
          <w:rFonts w:ascii="Arial" w:hAnsi="Arial" w:cs="Arial"/>
          <w:color w:val="000000" w:themeColor="text1"/>
          <w:sz w:val="24"/>
          <w:szCs w:val="24"/>
        </w:rPr>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18"/>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18"/>
      <w:r>
        <w:commentReference w:id="18"/>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bookmarkStart w:id="56" w:name="_Toc1"/>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bookmarkEnd w:id="56"/>
      <w:r>
        <w:rPr>
          <w:rFonts w:ascii="Arial" w:hAnsi="Arial" w:eastAsia="Arial" w:cs="Arial"/>
          <w:b/>
          <w:bCs w:val="0"/>
          <w:i w:val="0"/>
          <w:sz w:val="24"/>
          <w:szCs w:val="24"/>
        </w:rPr>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highlight w:val="none"/>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19"/>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bookmarkStart w:id="57" w:name="_Toc2"/>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bookmarkEnd w:id="57"/>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19"/>
      <w:r>
        <w:commentReference w:id="19"/>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Objetivos</w:t>
      </w:r>
      <w:r>
        <w:rPr>
          <w:rFonts w:ascii="Arial" w:hAnsi="Arial" w:cs="Arial"/>
          <w:color w:val="000000" w:themeColor="text1"/>
        </w:rPr>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Objetivo General</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Objetivos Específicos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commentRangeStart w:id="20"/>
      <w:r>
        <w:rPr>
          <w:rFonts w:ascii="Arial" w:hAnsi="Arial" w:cs="Arial"/>
          <w:color w:val="000000" w:themeColor="text1"/>
        </w:rPr>
        <w:t xml:space="preserve">Planificación y costos del proyecto</w:t>
      </w:r>
      <w:commentRangeEnd w:id="20"/>
      <w:r>
        <w:commentReference w:id="20"/>
      </w:r>
      <w:r>
        <w:rPr>
          <w:rFonts w:ascii="Arial" w:hAnsi="Arial" w:cs="Arial"/>
          <w:color w:val="000000" w:themeColor="text1"/>
        </w:rPr>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1: Análisis y levantamiento de información (Mes 1)</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2: Diseño de la solución (Mes 2)</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3: Preparación y análisis de datos (Meses 3 y 4)</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rPr>
          <w:rFonts w:ascii="Arial" w:hAnsi="Arial" w:eastAsia="Calibri" w:cs="Arial"/>
          <w:b/>
          <w:bCs/>
          <w:color w:val="000000" w:themeColor="text1"/>
          <w:sz w:val="24"/>
          <w:szCs w:val="24"/>
          <w:lang w:val="es-ES"/>
        </w:rPr>
        <w:t xml:space="preserve">Fase 4: Desarrollo del modelo de machine learning (Meses 5 y 6)</w:t>
      </w:r>
      <w:r>
        <w:rPr>
          <w:rFonts w:ascii="Arial" w:hAnsi="Arial" w:eastAsia="Calibri" w:cs="Arial"/>
          <w:b/>
          <w:bCs/>
          <w:color w:val="000000" w:themeColor="text1"/>
          <w:sz w:val="24"/>
          <w:szCs w:val="24"/>
          <w:lang w:val="es-ES"/>
        </w:rPr>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5: Implementación del prototipo Sidecar (Mes 7)</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6: Pruebas finales y documentación (Mes 8)</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bookmarkStart w:id="58" w:name="_Toc3"/>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bookmarkEnd w:id="58"/>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21"/>
            <w:r>
              <w:rPr>
                <w:rFonts w:ascii="Arial" w:hAnsi="Arial" w:cs="Arial"/>
                <w:color w:val="000000" w:themeColor="text1"/>
                <w:sz w:val="24"/>
                <w:szCs w:val="24"/>
              </w:rPr>
              <w:t xml:space="preserve">Revisión bibliográfica</w:t>
            </w:r>
            <w:commentRangeEnd w:id="21"/>
            <w:r>
              <w:commentReference w:id="21"/>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22"/>
      <w:r>
        <w:rPr>
          <w:rFonts w:ascii="Arial" w:hAnsi="Arial" w:eastAsia="Calibri" w:cs="Arial"/>
          <w:color w:val="000000" w:themeColor="text1"/>
          <w:sz w:val="24"/>
          <w:szCs w:val="24"/>
          <w:lang w:val="es"/>
        </w:rPr>
        <w:t xml:space="preserve">Falta el título de este item.</w:t>
      </w:r>
      <w:commentRangeEnd w:id="22"/>
      <w:r>
        <w:commentReference w:id="22"/>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23"/>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23"/>
            <w:r>
              <w:commentReference w:id="23"/>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Desarrollo del proyecto</w:t>
      </w:r>
      <w:r>
        <w:rPr>
          <w:rFonts w:ascii="Arial" w:hAnsi="Arial" w:cs="Arial"/>
          <w:color w:val="000000" w:themeColor="text1"/>
        </w:rPr>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Diseño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Desarrollo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Pruebas y evaluación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Resultados y Discusión.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Implicaciones éticas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Conclusiones y Recomendaciones</w:t>
      </w:r>
      <w:r>
        <w:rPr>
          <w:rFonts w:ascii="Arial" w:hAnsi="Arial" w:cs="Arial"/>
          <w:color w:val="000000" w:themeColor="text1"/>
        </w:rPr>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Trabajo futuro</w:t>
      </w:r>
      <w:r>
        <w:rPr>
          <w:rFonts w:ascii="Arial" w:hAnsi="Arial" w:cs="Arial"/>
          <w:color w:val="000000" w:themeColor="text1"/>
        </w:rPr>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commentRangeStart w:id="24"/>
      <w:r>
        <w:rPr>
          <w:rFonts w:ascii="Arial" w:hAnsi="Arial" w:cs="Arial"/>
          <w:color w:val="000000" w:themeColor="text1"/>
        </w:rPr>
        <w:t xml:space="preserve">Referencias bibliográficas</w:t>
      </w:r>
      <w:commentRangeEnd w:id="24"/>
      <w:r>
        <w:commentReference w:id="24"/>
      </w:r>
      <w:r>
        <w:rPr>
          <w:rFonts w:ascii="Arial" w:hAnsi="Arial" w:cs="Arial"/>
          <w:color w:val="000000" w:themeColor="text1"/>
        </w:rPr>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1.3</w:t>
      </w:r>
      <w:r>
        <w:rPr>
          <w:rFonts w:ascii="Arial" w:hAnsi="Arial" w:cs="Arial"/>
          <w:color w:val="000000" w:themeColor="text1"/>
          <w:sz w:val="24"/>
          <w:szCs w:val="24"/>
        </w:rPr>
      </w:r>
    </w:p>
    <w:p w14:paraId="7F1D7288">
      <w:pPr>
        <w:pBdr/>
        <w:spacing/>
        <w:ind/>
        <w:jc w:val="both"/>
        <w:rPr/>
      </w:pPr>
      <w:r>
        <w:rPr>
          <w:rFonts w:ascii="Arial" w:hAnsi="Arial" w:cs="Arial"/>
          <w:color w:val="000000" w:themeColor="text1"/>
          <w:sz w:val="24"/>
          <w:szCs w:val="24"/>
          <w:highlight w:val="none"/>
          <w:lang w:val="es-ES"/>
        </w:rPr>
        <w:t xml:space="preserve">Abbazi, A., &amp; Alsabih, M. (2024). Phishing Email Detection Model Using Deep Learning. Electronics, 12(20), 4261. https://doi.org/10.3390/electronics12204261 </w:t>
      </w:r>
      <w:r>
        <w:rPr>
          <w:rFonts w:ascii="Arial" w:hAnsi="Arial" w:cs="Arial"/>
          <w:color w:val="000000" w:themeColor="text1"/>
          <w:sz w:val="24"/>
          <w:szCs w:val="24"/>
          <w:highlight w:val="none"/>
          <w:lang w:val="es-ES"/>
        </w:rPr>
      </w:r>
    </w:p>
    <w:p w14:paraId="0A265CD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7EF07317">
      <w:pPr>
        <w:pBdr/>
        <w:spacing/>
        <w:ind/>
        <w:jc w:val="both"/>
        <w:rPr/>
      </w:pPr>
      <w:r>
        <w:rPr>
          <w:rFonts w:ascii="Arial" w:hAnsi="Arial" w:cs="Arial"/>
          <w:color w:val="000000" w:themeColor="text1"/>
          <w:sz w:val="24"/>
          <w:szCs w:val="24"/>
          <w:highlight w:val="none"/>
          <w:lang w:val="es-ES"/>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highlight w:val="none"/>
          <w:lang w:val="es-ES"/>
        </w:rPr>
      </w:r>
    </w:p>
    <w:p w14:paraId="1D12BDD3">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B7CAB91">
      <w:pPr>
        <w:pBdr/>
        <w:spacing/>
        <w:ind/>
        <w:jc w:val="both"/>
        <w:rPr/>
      </w:pPr>
      <w:r>
        <w:rPr>
          <w:rFonts w:ascii="Arial" w:hAnsi="Arial" w:cs="Arial"/>
          <w:color w:val="000000" w:themeColor="text1"/>
          <w:sz w:val="24"/>
          <w:szCs w:val="24"/>
          <w:highlight w:val="none"/>
          <w:lang w:val="es-ES"/>
        </w:rPr>
        <w:t xml:space="preserve">Singh, A., Aggarwal, G., Rajivan, P., &amp; González, C. (2020). What makes phishing emails hard for humans to detect? Proceedings of SDS, 1-10. https://www.cmu.edu/dietrich/sds/ddmlab/papers/SinghAggarwalRajivanGonzalez2020.pdf </w:t>
      </w:r>
      <w:r>
        <w:rPr>
          <w:rFonts w:ascii="Arial" w:hAnsi="Arial" w:cs="Arial"/>
          <w:color w:val="000000" w:themeColor="text1"/>
          <w:sz w:val="24"/>
          <w:szCs w:val="24"/>
          <w:highlight w:val="none"/>
          <w:lang w:val="es-ES"/>
        </w:rPr>
      </w:r>
    </w:p>
    <w:p w14:paraId="2D64F336">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94C04A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Weinz, M., Zannone, N., Allodi, L., &amp; Apruzzese, G. (2025). The impact of emerging phishing threats: Assessing quishing and LLM-generated phishing emails against organizations. arXiv. https://arxiv.org/abs/2505.12104</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5A67E26">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FC141B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30B0C72">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9CC6BD">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76D860F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Anexos</w:t>
      </w:r>
      <w:r>
        <w:rPr>
          <w:rFonts w:ascii="Arial" w:hAnsi="Arial" w:cs="Arial"/>
          <w:color w:val="000000" w:themeColor="text1"/>
        </w:rPr>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24E8727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implementación de un sistema de detección de correos electrónicos de phishing mediante una arquitectura tipo Sidecar </w:t>
      </w:r>
      <w:r>
        <w:rPr>
          <w:rFonts w:ascii="Arial" w:hAnsi="Arial" w:eastAsia="Arial" w:cs="Arial"/>
          <w:color w:val="000000" w:themeColor="text1"/>
          <w:sz w:val="24"/>
          <w:szCs w:val="24"/>
        </w:rPr>
        <w:t xml:space="preserve">se plantea como una solución técnica orientada a minimizar el impacto operativo en la infraestructura de correo electrónico, al mismo tiempo que se incorporan capacidades avanzadas de análisis automatizado. Este enfoque resulta especialmente adecuado para </w:t>
      </w:r>
      <w:r>
        <w:rPr>
          <w:rFonts w:ascii="Arial" w:hAnsi="Arial" w:eastAsia="Arial" w:cs="Arial"/>
          <w:color w:val="000000" w:themeColor="text1"/>
          <w:sz w:val="24"/>
          <w:szCs w:val="24"/>
        </w:rPr>
        <w:t xml:space="preserve">entornos empresariales donde la disponibilidad del servicio de correo es crítica y donde la modificación de configuraciones centrales representa un riesgo significativo.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61BA4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arquitectónico, el modelo Sidecar permite</w:t>
      </w:r>
      <w:r>
        <w:rPr>
          <w:rFonts w:ascii="Arial" w:hAnsi="Arial" w:eastAsia="Arial" w:cs="Arial"/>
          <w:color w:val="000000" w:themeColor="text1"/>
          <w:sz w:val="24"/>
          <w:szCs w:val="24"/>
        </w:rPr>
        <w:t xml:space="preserve"> que el sistema de detección opere como un componente externo e independiente, encargado de analizar copias de los correos electrónicos sin intervenir directamente en su entrega. A diferencia de arquitecturas basadas en gateways o filtros inline, este enfo</w:t>
      </w:r>
      <w:r>
        <w:rPr>
          <w:rFonts w:ascii="Arial" w:hAnsi="Arial" w:eastAsia="Arial" w:cs="Arial"/>
          <w:color w:val="000000" w:themeColor="text1"/>
          <w:sz w:val="24"/>
          <w:szCs w:val="24"/>
        </w:rPr>
        <w:t xml:space="preserve">que reduce la probabilidad de interrupciones del servicio y facilita la evaluación progresiva del sistema. En términos de implementación, esto se traduce en una mayor flexibilidad para realizar ajustes, pruebas y mejoras sin afectar a los usuarios finales.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30A10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Para el desarrollo del sistema se selecciona el lenguaje de programación Python, debido a su amplia adopción en proyectos de ciberseguridad y análisis de datos, así como a la madurez de su ecosistema de librerías. Python permit</w:t>
      </w:r>
      <w:r>
        <w:rPr>
          <w:rFonts w:ascii="Arial" w:hAnsi="Arial" w:eastAsia="Arial" w:cs="Arial"/>
          <w:color w:val="000000" w:themeColor="text1"/>
          <w:sz w:val="24"/>
          <w:szCs w:val="24"/>
        </w:rPr>
        <w:t xml:space="preserve">e implementar rápidamente prototipos funcionales, favoreciendo un enfoque iterativo en el desarrollo del sistema Sidecar. Además, su compatibilidad con múltiples sistemas operativos facilita el despliegue del prototipo en entornos locales o de laboratorio.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55CCB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tratamiento de los datos se apoya en librerías como pandas y numpy, las cuales permiten estructurar los correos electrónicos en formatos tabulares y realizar operaciones eficientes de limpieza y transformación. Estas herramientas son fundamentales</w:t>
      </w:r>
      <w:r>
        <w:rPr>
          <w:rFonts w:ascii="Arial" w:hAnsi="Arial" w:eastAsia="Arial" w:cs="Arial"/>
          <w:color w:val="000000" w:themeColor="text1"/>
          <w:sz w:val="24"/>
          <w:szCs w:val="24"/>
        </w:rPr>
        <w:t xml:space="preserve"> en la fase de preprocesamiento, donde se eliminan elementos irrelevantes, se normaliza el texto y se preparan los datos para su análisis posterior. Una correcta gestión de los datos en esta etapa impacta directamente en la calidad del modelo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DE37A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del contenido textual de los correos electrónicos se realiza mediante t</w:t>
      </w:r>
      <w:r>
        <w:rPr>
          <w:rFonts w:ascii="Arial" w:hAnsi="Arial" w:eastAsia="Arial" w:cs="Arial"/>
          <w:color w:val="000000" w:themeColor="text1"/>
          <w:sz w:val="24"/>
          <w:szCs w:val="24"/>
        </w:rPr>
        <w:t xml:space="preserve">écnicas de procesamiento de lenguaje natural, utilizando librerías como NLTK y expresiones regulares. Estas herramientas permiten identificar patrones lingüísticos comúnmente asociados a ataques de phishing, como el uso de lenguaje urgente, solicitudes eng</w:t>
      </w:r>
      <w:r>
        <w:rPr>
          <w:rFonts w:ascii="Arial" w:hAnsi="Arial" w:eastAsia="Arial" w:cs="Arial"/>
          <w:color w:val="000000" w:themeColor="text1"/>
          <w:sz w:val="24"/>
          <w:szCs w:val="24"/>
        </w:rPr>
        <w:t xml:space="preserve">añosas, estructuras gramaticales anómalas y errores ortográficos frecuentes. La aplicación de estas técnicas permite ir más allá de los filtros basados únicamente en palabras clave, incrementando la capacidad de detección frente a ataques más sofisticados.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33E894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 las URLs incluidas en los correos constituye otro componente clave del sistema Sidecar. En esta etapa se evalú</w:t>
      </w:r>
      <w:r>
        <w:rPr>
          <w:rFonts w:ascii="Arial" w:hAnsi="Arial" w:eastAsia="Arial" w:cs="Arial"/>
          <w:color w:val="000000" w:themeColor="text1"/>
          <w:sz w:val="24"/>
          <w:szCs w:val="24"/>
        </w:rPr>
        <w:t xml:space="preserve">an características estructurales como la longitud de la URL, el número de subdominios, la presencia de direcciones IP y el uso de caracteres especiales. Estas características han sido ampliamente documentadas como indicadores de phishing y complementan el </w:t>
      </w:r>
      <w:r>
        <w:rPr>
          <w:rFonts w:ascii="Arial" w:hAnsi="Arial" w:eastAsia="Arial" w:cs="Arial"/>
          <w:color w:val="000000" w:themeColor="text1"/>
          <w:sz w:val="24"/>
          <w:szCs w:val="24"/>
        </w:rPr>
        <w:t xml:space="preserve">análisis textual, permitiendo una detección más robusta frente a intentos de evasión.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9F64894">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motor central de detección se implementa utilizando algoritmos de machi</w:t>
      </w:r>
      <w:r>
        <w:rPr>
          <w:rFonts w:ascii="Arial" w:hAnsi="Arial" w:eastAsia="Arial" w:cs="Arial"/>
          <w:color w:val="000000" w:themeColor="text1"/>
          <w:sz w:val="24"/>
          <w:szCs w:val="24"/>
        </w:rPr>
        <w:t xml:space="preserve">ne learning supervisado mediante la librería scikit-learn. Esta herramienta permite entrenar, validar y comparar distintos modelos de clasificación, facilitando la selección del algoritmo más adecuado según su desempeño. El proceso de entrenamiento se real</w:t>
      </w:r>
      <w:r>
        <w:rPr>
          <w:rFonts w:ascii="Arial" w:hAnsi="Arial" w:eastAsia="Arial" w:cs="Arial"/>
          <w:color w:val="000000" w:themeColor="text1"/>
          <w:sz w:val="24"/>
          <w:szCs w:val="24"/>
        </w:rPr>
        <w:t xml:space="preserve">iza con datasets públicos previamente etiquetados, y la evaluación del modelo se apoya en métricas técnicas como precisión, recall, F1-score y matriz de confusión. Este enfoque permite medir objetivamente la efectividad del sistema en escenarios de prueba.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3AD5A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ventaja </w:t>
      </w:r>
      <w:r>
        <w:rPr>
          <w:rFonts w:ascii="Arial" w:hAnsi="Arial" w:eastAsia="Arial" w:cs="Arial"/>
          <w:color w:val="000000" w:themeColor="text1"/>
          <w:sz w:val="24"/>
          <w:szCs w:val="24"/>
        </w:rPr>
        <w:t xml:space="preserve">relevante de la implementación Sidecar es que el sistema se limita a generar resultados de análisis y clasificación, sin ejecutar acciones automáticas sobre los correos electrónicos. Los resultados son presentados a través de un módulo de visualización ori</w:t>
      </w:r>
      <w:r>
        <w:rPr>
          <w:rFonts w:ascii="Arial" w:hAnsi="Arial" w:eastAsia="Arial" w:cs="Arial"/>
          <w:color w:val="000000" w:themeColor="text1"/>
          <w:sz w:val="24"/>
          <w:szCs w:val="24"/>
        </w:rPr>
        <w:t xml:space="preserve">entado al análisis técnico, permitiendo que el personal especializado revise y valide los hallazgos antes de tomar decisiones. Este enfoque reduce el riesgo de falsos positivos y se alinea con buenas prácticas en la gestión de incidentes de ciberseguridad.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AD2572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w:t>
      </w:r>
      <w:r>
        <w:rPr>
          <w:rFonts w:ascii="Arial" w:hAnsi="Arial" w:eastAsia="Arial" w:cs="Arial"/>
          <w:color w:val="000000" w:themeColor="text1"/>
          <w:sz w:val="24"/>
          <w:szCs w:val="24"/>
        </w:rPr>
        <w:t xml:space="preserve">perspectiva comparativa, la arquitectura Sidecar presenta ventajas claras frente a otras alternativas técnicas. En comparación con soluciones basadas en gateways de correo, reduce el impacto operativo y elimina puntos únicos de falla. Frente a soluciones c</w:t>
      </w:r>
      <w:r>
        <w:rPr>
          <w:rFonts w:ascii="Arial" w:hAnsi="Arial" w:eastAsia="Arial" w:cs="Arial"/>
          <w:color w:val="000000" w:themeColor="text1"/>
          <w:sz w:val="24"/>
          <w:szCs w:val="24"/>
        </w:rPr>
        <w:t xml:space="preserve">ompletamente tercerizadas, ofrece mayor control sobre los datos y los mecanismos de detección. Asimismo, en comparación con enfoques exclusivamente educativos, proporciona una capacidad de detección automatizada que no depende únicamente del factor humano.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029FF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seguridad y ética, la implementación del sistema se realiza exclusivamente con datos anonimiza</w:t>
      </w:r>
      <w:r>
        <w:rPr>
          <w:rFonts w:ascii="Arial" w:hAnsi="Arial" w:eastAsia="Arial" w:cs="Arial"/>
          <w:color w:val="000000" w:themeColor="text1"/>
          <w:sz w:val="24"/>
          <w:szCs w:val="24"/>
        </w:rPr>
        <w:t xml:space="preserve">dos y de uso público, evitando el análisis de correos reales de usuarios. Esta decisión garantiza el cumplimiento de principios de privacidad y reduce riesgos legales y éticos, manteniendo el enfoque del proyecto dentro de un marco académico y profesional.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color w:val="000000" w:themeColor="text1"/>
          <w:sz w:val="24"/>
          <w:szCs w:val="24"/>
        </w:rPr>
        <w:t xml:space="preserve">En conclusión, la implementación de un sistema de detección Sidecar representa una alternativa técnica sólida, flexible y escalable</w:t>
      </w:r>
      <w:r>
        <w:rPr>
          <w:rFonts w:ascii="Arial" w:hAnsi="Arial" w:eastAsia="Arial" w:cs="Arial"/>
          <w:color w:val="000000" w:themeColor="text1"/>
          <w:sz w:val="24"/>
          <w:szCs w:val="24"/>
        </w:rPr>
        <w:t xml:space="preserve"> para la detección de phishing mediante correo electrónico. Su arquitectura desacoplada, combinada con el uso de herramientas de código abierto y técnicas de machine learning, permite desarrollar una solución de bajo impacto operativo y alto valor técnico.</w:t>
      </w:r>
      <w:r>
        <w:rPr>
          <w:rFonts w:ascii="Arial" w:hAnsi="Arial" w:eastAsia="Arial" w:cs="Arial"/>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EF473E0">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4</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Justificación de herramientas seleccionada para la solución 1 </w:t>
      </w:r>
      <w:r/>
    </w:p>
    <w:tbl>
      <w:tblPr>
        <w:tblW w:w="9624" w:type="dxa"/>
        <w:tblCellMar>
          <w:left w:w="0" w:type="dxa"/>
          <w:right w:w="0" w:type="dxa"/>
        </w:tblCellMar>
        <w:tblBorders/>
        <w:tblLook w:val="04A0" w:firstRow="1" w:lastRow="0" w:firstColumn="1" w:lastColumn="0" w:noHBand="0" w:noVBand="1"/>
      </w:tblPr>
      <w:tblGrid>
        <w:gridCol w:w="2173"/>
        <w:gridCol w:w="1847"/>
        <w:gridCol w:w="2397"/>
        <w:gridCol w:w="3207"/>
      </w:tblGrid>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5CD2689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Componente</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1A71214">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 seleccionada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1D06B0F">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Alternativas comunes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DB96377">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Justificación técnica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1292"/>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12722863">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Lenguaje de programación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5214836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D38BA9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Java, C#, 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6D0D3B6C">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Mayor ecosistema para ML y ciberseguridad, rápido prototipado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2FD6C09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Gestión de datos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0A6F09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pandas, numpy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171748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Excel, SQL puro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0C50B3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Eficiencia en manipulación y limpieza de grandes volúmenes de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065B825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Procesamiento de texto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C4DE92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NLTK, regex</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EC3DC63">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spaCy, TextBlob</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184A5A7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Flexibilidad y control detallado del análisis léxico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9C54C29">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Análisis de URLs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AF43C6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Scripts personalizados en 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33D8E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APIs externas, listas negras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522FE48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Independencia de terceros y mayor control del análisis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654E28E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Machine Learning</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4DA416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scikit-learn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0B9E118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TensorFlow, PyTorch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A2387F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Simplicidad, robustez y adecuado para clasificación supervisada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0AC0E7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Visualización de resultados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175F4F1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Consola / reportes locales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54516DD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Dashboards web complejos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C9DB17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Alineado al alcance de prototipo académico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70345922">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Arquitectura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11D34A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Sidecar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D58284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Gateway, Proxy inline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396CF2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Bajo impacto operativo y fácil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043BF4C0">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b/>
          <w:bCs/>
          <w:color w:val="auto"/>
          <w:lang w:val="es-ES" w:bidi="es-ES"/>
        </w:rPr>
      </w:r>
      <w:bookmarkStart w:id="55" w:name="_10.2_Anexo"/>
      <w:r>
        <w:rPr>
          <w:b/>
          <w:bCs/>
          <w:color w:val="auto"/>
          <w:lang w:val="es-ES" w:bidi="es-ES"/>
        </w:rPr>
      </w:r>
      <w:bookmarkEnd w:id="55"/>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pPr>
        <w:pStyle w:val="1009"/>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sz w:val="24"/>
          <w:szCs w:val="24"/>
          <w:lang w:val="es-ES"/>
        </w:rPr>
        <w:t xml:space="preserve">Anexo 2: Contratación de una empresa externa especializada en ciberseguridad </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AD886F5">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rPr>
        <w:t xml:space="preserve">La contratación de una empresa externa especializada en ciberseguridad constituye una alternativa ampliamente adoptada por organizaciones que buscan </w:t>
      </w:r>
      <w:r>
        <w:rPr>
          <w:rFonts w:ascii="Arial" w:hAnsi="Arial" w:eastAsia="Arial" w:cs="Arial"/>
          <w:color w:val="000000" w:themeColor="text1"/>
          <w:sz w:val="24"/>
          <w:szCs w:val="24"/>
        </w:rPr>
        <w:t xml:space="preserve">proteger sus sistemas de información sin desarrollar soluciones internas. En el contexto de la det</w:t>
      </w:r>
      <w:r>
        <w:rPr>
          <w:rFonts w:ascii="Arial" w:hAnsi="Arial" w:eastAsia="Arial" w:cs="Arial"/>
          <w:color w:val="000000" w:themeColor="text1"/>
          <w:sz w:val="24"/>
          <w:szCs w:val="24"/>
        </w:rPr>
        <w:t xml:space="preserve">ección de ataques de phishing mediante correo electrónico, este enfoque se basa en delegar la responsabilidad del análisis, filtrado y mitigación de amenazas a proveedores que cuentan con infraestructura, experiencia y tecnologías previamente consolidadas.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26B133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Las empresas especializa</w:t>
      </w:r>
      <w:r>
        <w:rPr>
          <w:rFonts w:ascii="Arial" w:hAnsi="Arial" w:eastAsia="Arial" w:cs="Arial"/>
          <w:color w:val="000000" w:themeColor="text1"/>
          <w:sz w:val="24"/>
          <w:szCs w:val="24"/>
        </w:rPr>
        <w:t xml:space="preserve">das en este tipo de servicios suelen ofrecer soluciones de seguridad de correo electrónico como parte de plataformas integrales de ciberseguridad o como servicios específicos enfocados en la detección de phishing, suplantación de identidad y fraude digital</w:t>
      </w:r>
      <w:r>
        <w:rPr>
          <w:rFonts w:ascii="Arial" w:hAnsi="Arial" w:eastAsia="Arial" w:cs="Arial"/>
          <w:color w:val="000000" w:themeColor="text1"/>
          <w:sz w:val="24"/>
          <w:szCs w:val="24"/>
        </w:rPr>
        <w:t xml:space="preserve">. Estas soluciones incorporan técnicas avanzadas como análisis de reputación de dominios, inteligencia de amenazas global, modelos de inteligencia artificial entrenados con grandes volúmenes de datos y mecanismos automatizados de respuesta ante incidentes.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F0E082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el mercado se identifican distintos tipos de proveedores. En primer lugar, existen e</w:t>
      </w:r>
      <w:r>
        <w:rPr>
          <w:rFonts w:ascii="Arial" w:hAnsi="Arial" w:eastAsia="Arial" w:cs="Arial"/>
          <w:color w:val="000000" w:themeColor="text1"/>
          <w:sz w:val="24"/>
          <w:szCs w:val="24"/>
        </w:rPr>
        <w:t xml:space="preserve">mpresas globales de ciberseguridad que ofrecen suites completas de protección para correo electrónico, integradas con otros servicios como detección de malware, sandboxing y respuesta ante incidentes. Estas compañías destacan por su alta madurez tecnológic</w:t>
      </w:r>
      <w:r>
        <w:rPr>
          <w:rFonts w:ascii="Arial" w:hAnsi="Arial" w:eastAsia="Arial" w:cs="Arial"/>
          <w:color w:val="000000" w:themeColor="text1"/>
          <w:sz w:val="24"/>
          <w:szCs w:val="24"/>
        </w:rPr>
        <w:t xml:space="preserve">a, disponibilidad continua del servicio y soporte especializado, siendo común su adopción en grandes organizaciones. Sin embargo, sus soluciones suelen implicar altos costos de licenciamiento, contratos a largo plazo y una fuerte dependencia del proveedor.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32BEFD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segundo lugar, se encuentran proveedores especializados exclusivamente en la protección del correo electrónico. Estas empresas concentran sus capacidades en la detección </w:t>
      </w:r>
      <w:r>
        <w:rPr>
          <w:rFonts w:ascii="Arial" w:hAnsi="Arial" w:eastAsia="Arial" w:cs="Arial"/>
          <w:color w:val="000000" w:themeColor="text1"/>
          <w:sz w:val="24"/>
          <w:szCs w:val="24"/>
        </w:rPr>
        <w:t xml:space="preserve">de phishing avanzado, ataques dirigidos y fraude por suplantación de identidad. Técnicamente, estas soluciones ofrecen altos niveles de precisión y funcionalidades específicas para el análisis de correos maliciosos. No obstante, su implementación generalme</w:t>
      </w:r>
      <w:r>
        <w:rPr>
          <w:rFonts w:ascii="Arial" w:hAnsi="Arial" w:eastAsia="Arial" w:cs="Arial"/>
          <w:color w:val="000000" w:themeColor="text1"/>
          <w:sz w:val="24"/>
          <w:szCs w:val="24"/>
        </w:rPr>
        <w:t xml:space="preserve">nte requiere cambios en la infraestructura del cliente, como la modificación de registros MX, redirección del tráfico de correo o integración directa con servicios en la nube, lo cual puede generar impacto operativo y riesgos durante la fase de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04F7CA">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tercera categoría corresponde a las empresas que ofrecen servicios gestionados de ciberseg</w:t>
      </w:r>
      <w:r>
        <w:rPr>
          <w:rFonts w:ascii="Arial" w:hAnsi="Arial" w:eastAsia="Arial" w:cs="Arial"/>
          <w:color w:val="000000" w:themeColor="text1"/>
          <w:sz w:val="24"/>
          <w:szCs w:val="24"/>
        </w:rPr>
        <w:t xml:space="preserve">uridad (MSSP), donde el proveedor no solo suministra la tecnología, sino que también asume la operación, monitoreo y respuesta ante incidentes relacionados con el correo electrónico. Este modelo reduce la carga técnica interna de la organización contratant</w:t>
      </w:r>
      <w:r>
        <w:rPr>
          <w:rFonts w:ascii="Arial" w:hAnsi="Arial" w:eastAsia="Arial" w:cs="Arial"/>
          <w:color w:val="000000" w:themeColor="text1"/>
          <w:sz w:val="24"/>
          <w:szCs w:val="24"/>
        </w:rPr>
        <w:t xml:space="preserve">e y garantiza atención especializada permanente. Sin embargo, implica una dependencia total del proveedor, menor control sobre los datos analizados y costos recurrentes elevados, lo que puede resultar poco viable para organizaciones con recursos limitados.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8550DB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técnico, la contratación de</w:t>
      </w:r>
      <w:r>
        <w:rPr>
          <w:rFonts w:ascii="Arial" w:hAnsi="Arial" w:eastAsia="Arial" w:cs="Arial"/>
          <w:color w:val="000000" w:themeColor="text1"/>
          <w:sz w:val="24"/>
          <w:szCs w:val="24"/>
        </w:rPr>
        <w:t xml:space="preserve"> una empresa externa permite acceder a tecnologías maduras y a modelos de detección constantemente actualizados frente a nuevas campañas de phishing. Además, los proveedores suelen respaldar sus servicios mediante acuerdos de nivel de servicio orientados a</w:t>
      </w:r>
      <w:r>
        <w:rPr>
          <w:rFonts w:ascii="Arial" w:hAnsi="Arial" w:eastAsia="Arial" w:cs="Arial"/>
          <w:color w:val="000000" w:themeColor="text1"/>
          <w:sz w:val="24"/>
          <w:szCs w:val="24"/>
        </w:rPr>
        <w:t xml:space="preserve"> la disponibilidad y continuidad operativa. Sin embargo, estas ventajas vienen acompañadas de una pérdida de control sobre los mecanismos internos de detección y una menor capacidad de personalización según las necesidades específicas de cada organización.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2CAE09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económicos, esta alternativa representa una inversión significativa, especialmente para pequeñas y medianas empresas. Los costos asociados a licencias por usuario, implementación, sop</w:t>
      </w:r>
      <w:r>
        <w:rPr>
          <w:rFonts w:ascii="Arial" w:hAnsi="Arial" w:eastAsia="Arial" w:cs="Arial"/>
          <w:color w:val="000000" w:themeColor="text1"/>
          <w:sz w:val="24"/>
          <w:szCs w:val="24"/>
        </w:rPr>
        <w:t xml:space="preserve">orte y mantenimiento pueden limitar la adopción del servicio o afectar su sostenibilidad a largo plazo. Asimismo, la dependencia contractual con un proveedor externo reduce la flexibilidad para modificar o escalar la solución sin incurrir en nuevos costos.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B1A6DE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académica, la contratación de una e</w:t>
      </w:r>
      <w:r>
        <w:rPr>
          <w:rFonts w:ascii="Arial" w:hAnsi="Arial" w:eastAsia="Arial" w:cs="Arial"/>
          <w:color w:val="000000" w:themeColor="text1"/>
          <w:sz w:val="24"/>
          <w:szCs w:val="24"/>
        </w:rPr>
        <w:t xml:space="preserve">mpresa externa no implica el desarrollo directo de una solución técnica, sino la adopción de una tecnología ya existente. Por esta razón, si bien esta alternativa es válida en entornos empresariales reales, su aporte al desarrollo de competencias en diseño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Para garantizar una adecuada protección frente a ataques de suplantación de identidad (phishing) y otras amenazas dirigidas al correo institucional, es recomendable considerar la</w:t>
      </w:r>
      <w:r>
        <w:rPr>
          <w:rFonts w:ascii="Arial" w:hAnsi="Arial" w:eastAsia="Arial" w:cs="Arial"/>
          <w:color w:val="000000" w:themeColor="text1"/>
          <w:sz w:val="24"/>
          <w:szCs w:val="24"/>
        </w:rPr>
        <w:t xml:space="preserve"> contratación de una empresa especializada en ciberseguridad. Esta alternativa aporta experiencia externa, metodologías probadas, herramientas avanzadas y un enfoque integral que puede servir como complemento o respaldo a las soluciones técnicas internas. </w:t>
      </w:r>
      <w:r>
        <w:rPr>
          <w:rFonts w:ascii="Arial" w:hAnsi="Arial" w:eastAsia="Arial" w:cs="Arial"/>
          <w:color w:val="000000" w:themeColor="text1"/>
          <w:sz w:val="24"/>
          <w:szCs w:val="24"/>
        </w:rPr>
        <w:b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numPr>
          <w:ilvl w:val="1"/>
          <w:numId w:val="28"/>
        </w:numPr>
        <w:pBdr/>
        <w:spacing/>
        <w:ind/>
        <w:jc w:val="both"/>
        <w:rPr/>
      </w:pPr>
      <w:r>
        <w:rPr>
          <w:rFonts w:ascii="Arial" w:hAnsi="Arial" w:eastAsia="Arial" w:cs="Arial"/>
          <w:b/>
          <w:bCs/>
          <w:color w:val="auto"/>
          <w:sz w:val="24"/>
          <w:szCs w:val="24"/>
          <w:lang w:val="es-ES"/>
        </w:rPr>
        <w:t xml:space="preserve">Anexo 3: Desarrollo de una plataforma educativa de detección y concientización antiphising </w:t>
      </w:r>
      <w:r/>
    </w:p>
    <w:p w14:paraId="071A79D9">
      <w:pPr>
        <w:pBdr/>
        <w:spacing/>
        <w:ind/>
        <w:rPr/>
      </w:pPr>
      <w:r/>
      <w:r/>
    </w:p>
    <w:p w14:paraId="1596E620">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desarr</w:t>
      </w:r>
      <w:r>
        <w:rPr>
          <w:rFonts w:ascii="Arial" w:hAnsi="Arial" w:eastAsia="Arial" w:cs="Arial"/>
          <w:color w:val="000000" w:themeColor="text1"/>
          <w:sz w:val="24"/>
          <w:szCs w:val="24"/>
        </w:rPr>
        <w:t xml:space="preserve">ollo de una plataforma educativa orientada a la detección y concientización frente a ataques de phishing, enfocada en la reducción del riesgo asociado al factor humano dentro de la organización Hackick. Esta propuesta se fundamenta en estudios y reportes d</w:t>
      </w:r>
      <w:r>
        <w:rPr>
          <w:rFonts w:ascii="Arial" w:hAnsi="Arial" w:eastAsia="Arial" w:cs="Arial"/>
          <w:color w:val="000000" w:themeColor="text1"/>
          <w:sz w:val="24"/>
          <w:szCs w:val="24"/>
        </w:rPr>
        <w:t xml:space="preserve">e seguridad que evidencian que una proporción significativa de los incidentes de ciberseguridad se origina en la interacción del usuario con correos electrónicos maliciosos, especialmente en escenarios donde no existe una cultura sólida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6FC0F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plataforma educativa se concibe como un sistema de aprendizaje continuo, diseñado para fortalecer las capacidades cognitivas y analíticas de los usuarios al enfrentarse a correos electrónicos sospechosos. A dif</w:t>
      </w:r>
      <w:r>
        <w:rPr>
          <w:rFonts w:ascii="Arial" w:hAnsi="Arial" w:eastAsia="Arial" w:cs="Arial"/>
          <w:color w:val="000000" w:themeColor="text1"/>
          <w:sz w:val="24"/>
          <w:szCs w:val="24"/>
        </w:rPr>
        <w:t xml:space="preserve">erencia de los enfoques tradicionales de capacitación puntual, esta alternativa busca generar un proceso sostenido en el tiempo, en el cual los usuarios desarrollen habilidades prácticas mediante la exposición controlada a escenarios realistas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103600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funcional, la plataforma se estructura</w:t>
      </w:r>
      <w:r>
        <w:rPr>
          <w:rFonts w:ascii="Arial" w:hAnsi="Arial" w:eastAsia="Arial" w:cs="Arial"/>
          <w:color w:val="000000" w:themeColor="text1"/>
          <w:sz w:val="24"/>
          <w:szCs w:val="24"/>
        </w:rPr>
        <w:t xml:space="preserve"> en módulos formativos progresivos, organizados de acuerdo con el nivel de complejidad de los contenidos. Los módulos iniciales abordan conceptos fundamentales, tales como definición de phishing, tipologías de ataques y mecanismos comunes de engaño. Los mó</w:t>
      </w:r>
      <w:r>
        <w:rPr>
          <w:rFonts w:ascii="Arial" w:hAnsi="Arial" w:eastAsia="Arial" w:cs="Arial"/>
          <w:color w:val="000000" w:themeColor="text1"/>
          <w:sz w:val="24"/>
          <w:szCs w:val="24"/>
        </w:rPr>
        <w:t xml:space="preserve">dulos intermedios profundizan en el análisis de correos fraudulentos, identificación de URLs maliciosas y reconocimiento de indicadores técnicos y psicológicos. Finalmente, los módulos avanzados incluyen ejercicios prácticos basados en simulaciones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3D923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Uno de los pilare</w:t>
      </w:r>
      <w:r>
        <w:rPr>
          <w:rFonts w:ascii="Arial" w:hAnsi="Arial" w:eastAsia="Arial" w:cs="Arial"/>
          <w:color w:val="000000" w:themeColor="text1"/>
          <w:sz w:val="24"/>
          <w:szCs w:val="24"/>
        </w:rPr>
        <w:t xml:space="preserve">s tecnológicos de esta alternativa es la utilización de herramientas de simulación de phishing, destacando GoPhish como la principal tecnología de apoyo. GoPhish es una plataforma de código abierto diseñada para ejecutar campañas de phishing controladas co</w:t>
      </w:r>
      <w:r>
        <w:rPr>
          <w:rFonts w:ascii="Arial" w:hAnsi="Arial" w:eastAsia="Arial" w:cs="Arial"/>
          <w:color w:val="000000" w:themeColor="text1"/>
          <w:sz w:val="24"/>
          <w:szCs w:val="24"/>
        </w:rPr>
        <w:t xml:space="preserve">n fines de evaluación y concientización. En el contexto de la plataforma educativa, GoPhish permite crear campañas personalizadas, definir perfiles de usuarios, diseñar correos simulados y analizar el comportamiento de los participantes de forma detallada.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FBA92C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uso de GoPhish posibilita la re</w:t>
      </w:r>
      <w:r>
        <w:rPr>
          <w:rFonts w:ascii="Arial" w:hAnsi="Arial" w:eastAsia="Arial" w:cs="Arial"/>
          <w:color w:val="000000" w:themeColor="text1"/>
          <w:sz w:val="24"/>
          <w:szCs w:val="24"/>
        </w:rPr>
        <w:t xml:space="preserve">producción de técnicas reales empleadas por atacantes, tales como suplantación de identidad, mensajes de urgencia, enlaces engañosos y formularios falsos. Esta funcionalidad resulta clave para el proceso de aprendizaje, ya que permite a los usuarios enfren</w:t>
      </w:r>
      <w:r>
        <w:rPr>
          <w:rFonts w:ascii="Arial" w:hAnsi="Arial" w:eastAsia="Arial" w:cs="Arial"/>
          <w:color w:val="000000" w:themeColor="text1"/>
          <w:sz w:val="24"/>
          <w:szCs w:val="24"/>
        </w:rPr>
        <w:t xml:space="preserve">tarse a escenarios muy similares a los ataques reales, pero dentro de un entorno seguro y autorizado. Los resultados obtenidos de estas simulaciones se utilizan como insumo para reforzar los contenidos educativos y ajustar la estrategia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78C5E4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Adicionalmente, la plataforma puede integrar un sistema de gestión de aprendizaje (LMS) de código abierto, el cual cumple la función de centralizar los contenidos educativos, administrar usuarios y gestionar evaluaciones teóricas. El LM</w:t>
      </w:r>
      <w:r>
        <w:rPr>
          <w:rFonts w:ascii="Arial" w:hAnsi="Arial" w:eastAsia="Arial" w:cs="Arial"/>
          <w:color w:val="000000" w:themeColor="text1"/>
          <w:sz w:val="24"/>
          <w:szCs w:val="24"/>
        </w:rPr>
        <w:t xml:space="preserve">S permite estructurar cursos, asignar contenidos según el perfil del usuario y generar reportes de avance, facilitando la trazabilidad del proceso de capacitación. Esta integración convierte la plataforma en un entorno integral de aprendizaje y evaluación.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C913BA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de las métricas, la plataforma educativa se apoya en indicadores cuantitativos para evaluar su efectividad. Métricas como la tasa de apertura de correos simulados, el porcentaje de clics en enlaces fraudu</w:t>
      </w:r>
      <w:r>
        <w:rPr>
          <w:rFonts w:ascii="Arial" w:hAnsi="Arial" w:eastAsia="Arial" w:cs="Arial"/>
          <w:color w:val="000000" w:themeColor="text1"/>
          <w:sz w:val="24"/>
          <w:szCs w:val="24"/>
        </w:rPr>
        <w:t xml:space="preserve">lentos, el envío de credenciales falsas y los resultados de evaluaciones teóricas permiten medir el nivel de concientización de los usuarios. Estos indicadores facilitan la toma de decisiones y justifican la continuidad o mejora de las campañas educativas.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4080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infraestructura, la implementación de esta alternativa no requiere integración directa con los sistemas productivos de correo electrónico. Las herramientas pueden desplegarse en servidores virtuales o entornos de laboratorio</w:t>
      </w:r>
      <w:r>
        <w:rPr>
          <w:rFonts w:ascii="Arial" w:hAnsi="Arial" w:eastAsia="Arial" w:cs="Arial"/>
          <w:color w:val="000000" w:themeColor="text1"/>
          <w:sz w:val="24"/>
          <w:szCs w:val="24"/>
        </w:rPr>
        <w:t xml:space="preserve">, reduciendo riesgos operativos y costos de implementación. No obstante, su uso debe regirse por políticas internas claras, autorizaciones formales y procesos de comunicación adecuados, con el fin de evitar confusiones o impactos negativos en los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3216D5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 pesar de sus ventajas, esta alternativa presenta limitaciones inherentes a su enfoque. La detección de correos maliciosos depende del criterio humano, lo que introduce un grado de variabilidad en los resultados. Factores como la</w:t>
      </w:r>
      <w:r>
        <w:rPr>
          <w:rFonts w:ascii="Arial" w:hAnsi="Arial" w:eastAsia="Arial" w:cs="Arial"/>
          <w:color w:val="000000" w:themeColor="text1"/>
          <w:sz w:val="24"/>
          <w:szCs w:val="24"/>
        </w:rPr>
        <w:t xml:space="preserve"> carga laboral, el estrés y la sofisticación del ataque pueden afectar la capacidad de respuesta del usuario, incluso cuando ha recibido capacitación previa. Por esta razón, la plataforma educativa no puede considerarse una solución principal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9F0939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estratégica, la plataforma educativa aporta un valor significativo al fortalecer la cultura de ciberseguridad dentro de la organización Hackick. Su implementación contribuye a reducir incidentes causado</w:t>
      </w:r>
      <w:r>
        <w:rPr>
          <w:rFonts w:ascii="Arial" w:hAnsi="Arial" w:eastAsia="Arial" w:cs="Arial"/>
          <w:color w:val="000000" w:themeColor="text1"/>
          <w:sz w:val="24"/>
          <w:szCs w:val="24"/>
        </w:rPr>
        <w:t xml:space="preserve">s por errores humanos y mejora la conciencia general sobre amenazas digitales. Sin embargo, su mayor efectividad se alcanza cuando se integra como complemento de soluciones técnicas automatizadas, formando parte de una estrategia de defensa en profundidad.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0BE9014">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académicos y profesionales, esta alternativa permite analizar el impacto del factor humano en la ciberseguridad y resalta la importancia de la capacitación continua como componente esencial de la gestión de riesgos. </w:t>
      </w:r>
      <w:r>
        <w:rPr>
          <w:rFonts w:ascii="Arial" w:hAnsi="Arial" w:eastAsia="Arial" w:cs="Arial"/>
          <w:color w:val="000000" w:themeColor="text1"/>
          <w:sz w:val="24"/>
          <w:szCs w:val="24"/>
        </w:rPr>
        <w:t xml:space="preserve">Aunque su complejidad técnica es menor en comparación con soluciones basadas en machine learning, su aporte organizacional y preventivo resulta relevante.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B1DEA0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44FAD3C">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5</w:t>
      </w:r>
      <w:r>
        <w:rPr>
          <w:rFonts w:ascii="Arial" w:hAnsi="Arial" w:eastAsia="Arial" w:cs="Arial"/>
          <w:b/>
          <w:bCs/>
          <w:i w:val="0"/>
          <w:iCs w:val="0"/>
          <w:color w:val="auto"/>
          <w:sz w:val="24"/>
          <w:szCs w:val="24"/>
        </w:rPr>
        <w:fldChar w:fldCharType="end"/>
      </w:r>
      <w:r>
        <w:rPr>
          <w:rFonts w:ascii="Arial" w:hAnsi="Arial" w:eastAsia="Arial" w:cs="Arial"/>
          <w:b/>
          <w:bCs/>
          <w:i w:val="0"/>
          <w:iCs w:val="0"/>
          <w:color w:val="auto"/>
          <w:sz w:val="24"/>
          <w:szCs w:val="24"/>
        </w:rPr>
        <w:br/>
        <w:t xml:space="preserve">Tabla de ventajas y desventajas de herramientas </w:t>
      </w:r>
      <w:r>
        <w:rPr>
          <w:rFonts w:ascii="Arial" w:hAnsi="Arial" w:eastAsia="Arial" w:cs="Arial"/>
          <w:b/>
          <w:bCs/>
          <w:i w:val="0"/>
          <w:iCs w:val="0"/>
          <w:color w:val="auto"/>
          <w:sz w:val="24"/>
          <w:szCs w:val="24"/>
          <w:lang w:val="es-ES"/>
        </w:rPr>
        <w:t xml:space="preserve">externas</w:t>
      </w:r>
      <w:r>
        <w:rPr>
          <w:rFonts w:ascii="Arial" w:hAnsi="Arial" w:eastAsia="Arial" w:cs="Arial"/>
          <w:b/>
          <w:bCs/>
          <w:i w:val="0"/>
          <w:iCs w:val="0"/>
          <w:color w:val="auto"/>
          <w:sz w:val="24"/>
          <w:szCs w:val="24"/>
        </w:rPr>
        <w:t xml:space="preserve"> </w:t>
      </w:r>
      <w:r>
        <w:rPr>
          <w:rFonts w:ascii="Arial" w:hAnsi="Arial" w:eastAsia="Arial" w:cs="Arial"/>
          <w:b/>
          <w:bCs/>
          <w:i w:val="0"/>
          <w:iCs w:val="0"/>
          <w:color w:val="auto"/>
          <w:sz w:val="24"/>
          <w:szCs w:val="24"/>
          <w:lang w:val="es-ES"/>
        </w:rPr>
        <w:t xml:space="preserve">para la solución 3</w:t>
      </w:r>
      <w:r/>
    </w:p>
    <w:tbl>
      <w:tblPr>
        <w:tblW w:w="0" w:type="dxa"/>
        <w:tblCellMar>
          <w:left w:w="0" w:type="dxa"/>
          <w:right w:w="0" w:type="dxa"/>
        </w:tblCellMar>
        <w:tblBorders/>
        <w:tblLook w:val="04A0" w:firstRow="1" w:lastRow="0" w:firstColumn="1" w:lastColumn="0" w:noHBand="0" w:noVBand="1"/>
      </w:tblPr>
      <w:tblGrid>
        <w:gridCol w:w="1660"/>
        <w:gridCol w:w="1582"/>
        <w:gridCol w:w="1929"/>
        <w:gridCol w:w="1710"/>
        <w:gridCol w:w="1593"/>
      </w:tblGrid>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732C637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896413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Descripción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1F25F6D1">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Uso dentro de la plataforma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28AED5E">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Ventajas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D611CE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Limitaciones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5287C9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GoPhish</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09301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Plataforma de simulación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DA2964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Campañas controladas y métricas de comportamiento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667A1C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Realismo, métricas detalladas, código abierto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59B4489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detecta ataques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AABA093">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LMS (código abierto)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0B41B7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Sistema de gestión de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2C6ED72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Gestión de cursos y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74BA93F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Centralización, seguimiento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71DF46D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Enfoque educativo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8ABABC5">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Correos simulados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B5591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Escenarios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0B3361C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Entrenamiento práctico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9E34CC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Aprendizaje experiencial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FAB8B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Requiere autorización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A74BC26">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Cuestionarios interactivos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8BFD0D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Evaluación del conocimiento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37DC6C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Medición del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037C67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Métricas claras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04419F1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previene ataques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047A168">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Reportes de métricas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F8F055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Análisis de resultados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57925C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Mejora continua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0896670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Toma de decisiones basada en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54417A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Dependencia del usuario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3F98A9C9">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t xml:space="preserve">En conclusión, el desarrollo de una plataforma educativa de detección y concientización antiphishing, apoyada en herramientas reales como GoPhish y sistemas LMS, constituye una alternativa viable y efectiva para redu</w:t>
      </w:r>
      <w:r>
        <w:rPr>
          <w:rFonts w:ascii="Arial" w:hAnsi="Arial" w:eastAsia="Arial" w:cs="Arial"/>
          <w:color w:val="000000" w:themeColor="text1"/>
          <w:sz w:val="24"/>
          <w:szCs w:val="24"/>
        </w:rPr>
        <w:t xml:space="preserve">cir el riesgo asociado al comportamiento del usuario. No obstante, debido a sus limitaciones técnicas, esta solución debe considerarse como un complemento a mecanismos automatizados de detección y no como una solución integral frente a ataques de phishing.</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4"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23"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22"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21"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20"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19"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18"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7"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6"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5"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14"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13"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12"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11"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10"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9"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8" w:author="Alejandro Redín" w:date="2026-01-12T16:09:00Z" w:initials="AR">
    <w:p w14:paraId="00000011" w14:textId="00000011">
      <w:pPr>
        <w:spacing w:line="240" w:after="0" w:lineRule="auto" w:before="0"/>
        <w:ind w:firstLine="0" w:left="0" w:right="0"/>
        <w:jc w:val="left"/>
      </w:pPr>
      <w:r>
        <w:rPr>
          <w:rFonts w:eastAsia="Arial" w:ascii="Arial" w:hAnsi="Arial" w:cs="Arial"/>
          <w:sz w:val="22"/>
        </w:rPr>
        <w:t xml:space="preserve">Crear los índices de imágenes y tablas </w:t>
      </w:r>
    </w:p>
  </w:comment>
  <w:comment w:id="7"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6" w:author="Alejandro Redín" w:date="2026-01-12T16:08:00Z" w:initials="AR">
    <w:p w14:paraId="00000013" w14:textId="0000001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5" w:author="Alejandro Redín" w:date="2026-01-12T16:02:00Z" w:initials="AR">
    <w:p w14:paraId="00000014" w14:textId="00000014">
      <w:pPr>
        <w:spacing w:line="240" w:after="0" w:lineRule="auto" w:before="0"/>
        <w:ind w:firstLine="0" w:left="0" w:right="0"/>
        <w:jc w:val="left"/>
      </w:pPr>
      <w:r>
        <w:rPr>
          <w:rFonts w:eastAsia="Arial" w:ascii="Arial" w:hAnsi="Arial" w:cs="Arial"/>
          <w:sz w:val="22"/>
        </w:rPr>
        <w:t xml:space="preserve">Referencias?? Revisar todas las del documento.</w:t>
      </w:r>
    </w:p>
  </w:comment>
  <w:comment w:id="4" w:author="Alejandro Redín" w:date="2026-01-12T12:56:00Z" w:initials="AR">
    <w:p w14:paraId="00000015" w14:textId="00000015">
      <w:pPr>
        <w:spacing w:line="240" w:after="0" w:lineRule="auto" w:before="0"/>
        <w:ind w:firstLine="0" w:left="0" w:right="0"/>
        <w:jc w:val="left"/>
      </w:pPr>
      <w:r>
        <w:rPr>
          <w:rFonts w:eastAsia="Arial" w:ascii="Arial" w:hAnsi="Arial" w:cs="Arial"/>
          <w:sz w:val="22"/>
        </w:rPr>
        <w:t xml:space="preserve">Cuales normas??</w:t>
      </w:r>
    </w:p>
  </w:comment>
  <w:comment w:id="3" w:author="Alejandro Redín" w:date="2026-01-12T12:56:00Z" w:initials="AR">
    <w:p w14:paraId="00000016" w14:textId="00000016">
      <w:pPr>
        <w:spacing w:line="240" w:after="0" w:lineRule="auto" w:before="0"/>
        <w:ind w:firstLine="0" w:left="0" w:right="0"/>
        <w:jc w:val="left"/>
      </w:pPr>
      <w:r>
        <w:rPr>
          <w:rFonts w:eastAsia="Arial" w:ascii="Arial" w:hAnsi="Arial" w:cs="Arial"/>
          <w:sz w:val="22"/>
        </w:rPr>
        <w:t xml:space="preserve">Quien limpia esos datos?? Quien los carga?? Quien los actualiza??</w:t>
      </w:r>
    </w:p>
  </w:comment>
  <w:comment w:id="2" w:author="Alejandro Redín" w:date="2026-01-12T12:53:00Z" w:initials="AR">
    <w:p w14:paraId="00000017" w14:textId="00000017">
      <w:pPr>
        <w:spacing w:line="240" w:after="0" w:lineRule="auto" w:before="0"/>
        <w:ind w:firstLine="0" w:left="0" w:right="0"/>
        <w:jc w:val="left"/>
      </w:pPr>
      <w:r>
        <w:rPr>
          <w:rFonts w:eastAsia="Arial" w:ascii="Arial" w:hAnsi="Arial" w:cs="Arial"/>
          <w:sz w:val="22"/>
        </w:rPr>
        <w:t xml:space="preserve">Cuales??</w:t>
      </w:r>
    </w:p>
  </w:comment>
  <w:comment w:id="1" w:author="Alejandro Redín" w:date="2026-01-12T12:48:00Z" w:initials="AR">
    <w:p w14:paraId="00000018" w14:textId="00000018">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19" w14:textId="00000019">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1"/>
  <w15:commentEx w15:paraId="00000013" w15:done="1"/>
  <w15:commentEx w15:paraId="00000014" w15:done="0"/>
  <w15:commentEx w15:paraId="00000015" w15:done="0"/>
  <w15:commentEx w15:paraId="00000016" w15:done="0"/>
  <w15:commentEx w15:paraId="00000017" w15:done="1"/>
  <w15:commentEx w15:paraId="00000018" w15:done="1"/>
  <w15:commentEx w15:paraId="00000019"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D3B96FC" w16cex:dateUtc="2026-01-12T21:02:00Z"/>
  <w16cex:commentExtensible w16cex:durableId="1AFA30B4" w16cex:dateUtc="2026-01-12T17:56:00Z"/>
  <w16cex:commentExtensible w16cex:durableId="77F6F4CD" w16cex:dateUtc="2026-01-12T17:56:00Z"/>
  <w16cex:commentExtensible w16cex:durableId="2BA3260E" w16cex:dateUtc="2026-01-12T17:53: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6F20AC05"/>
  <w16cid:commentId w16cid:paraId="00000012" w16cid:durableId="3356F142"/>
  <w16cid:commentId w16cid:paraId="00000013" w16cid:durableId="7B502B08"/>
  <w16cid:commentId w16cid:paraId="00000014" w16cid:durableId="7D3B96FC"/>
  <w16cid:commentId w16cid:paraId="00000015" w16cid:durableId="1AFA30B4"/>
  <w16cid:commentId w16cid:paraId="00000016" w16cid:durableId="77F6F4CD"/>
  <w16cid:commentId w16cid:paraId="00000017" w16cid:durableId="2BA3260E"/>
  <w16cid:commentId w16cid:paraId="00000018" w16cid:durableId="782D1269"/>
  <w16cid:commentId w16cid:paraId="00000019"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ascii="Arial" w:hAnsi="Arial" w:eastAsia="Arial" w:cs="Arial"/>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56"/>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56"/>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56"/>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56"/>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56"/>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56"/>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56"/>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56"/>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56"/>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comments" Target="comments.xml" /><Relationship Id="rId84" Type="http://schemas.microsoft.com/office/2011/relationships/commentsExtended" Target="commentsExtended.xml" /><Relationship Id="rId85" Type="http://schemas.microsoft.com/office/2018/08/relationships/commentsExtensible" Target="commentsExtensible.xml" /><Relationship Id="rId86" Type="http://schemas.microsoft.com/office/2016/09/relationships/commentsIds" Target="commentsIds.xml" /><Relationship Id="rId87" Type="http://schemas.microsoft.com/office/2011/relationships/people" Target="people.xml" /><Relationship Id="rId88" Type="http://schemas.onlyoffice.com/commentsDocument" Target="commentsDocument.xml" /><Relationship Id="rId89" Type="http://schemas.onlyoffice.com/commentsExtendedDocument" Target="commentsExtendedDocument.xml" /><Relationship Id="rId90" Type="http://schemas.onlyoffice.com/commentsExtensibleDocument" Target="commentsExtensibleDocument.xml" /><Relationship Id="rId91" Type="http://schemas.onlyoffice.com/commentsIdsDocument" Target="commentsIdsDocument.xml" /><Relationship Id="rId92"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12</cp:revision>
  <dcterms:created xsi:type="dcterms:W3CDTF">2026-01-06T01:09:00Z</dcterms:created>
  <dcterms:modified xsi:type="dcterms:W3CDTF">2026-01-22T04:51:44Z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