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F3C1C"/>
        </w:rPr>
        <w:t xml:space="preserve">CESAR School</w:t>
      </w:r>
    </w:p>
    <w:p>
      <w:pPr>
        <w:spacing w:after="40"/>
        <w:jc w:val="center"/>
      </w:pPr>
      <w:r>
        <w:rPr>
          <w:sz w:val="22"/>
          <w:szCs w:val="22"/>
        </w:rPr>
        <w:t xml:space="preserve">Ciência da Computação — Interação Humano-Computador (IHC)</w:t>
      </w:r>
    </w:p>
    <w:p>
      <w:pPr>
        <w:spacing w:after="200"/>
        <w:jc w:val="center"/>
      </w:pPr>
      <w:r>
        <w:rPr>
          <w:sz w:val="22"/>
          <w:szCs w:val="22"/>
        </w:rPr>
        <w:t xml:space="preserve">Profa. Renatta Nigro</w:t>
      </w:r>
    </w:p>
    <w:p>
      <w:pPr>
        <w:spacing w:after="80"/>
        <w:jc w:val="center"/>
      </w:pPr>
      <w:r>
        <w:rPr>
          <w:b/>
          <w:bCs/>
          <w:color w:val="5F3C1C"/>
          <w:sz w:val="32"/>
          <w:szCs w:val="32"/>
        </w:rPr>
        <w:t xml:space="preserve">RELIC — Aprimoramento e Validação da Interface</w:t>
      </w:r>
    </w:p>
    <w:p>
      <w:pPr>
        <w:spacing w:after="200"/>
        <w:jc w:val="center"/>
      </w:pPr>
      <w:r>
        <w:rPr>
          <w:sz w:val="24"/>
          <w:szCs w:val="24"/>
        </w:rPr>
        <w:t xml:space="preserve">Relatório Técnico — Unidade 2</w:t>
      </w:r>
    </w:p>
    <w:p>
      <w:pPr>
        <w:spacing w:after="40"/>
        <w:jc w:val="center"/>
      </w:pPr>
      <w:r>
        <w:rPr>
          <w:b/>
          <w:bCs/>
        </w:rPr>
        <w:t xml:space="preserve">Equipe</w:t>
      </w:r>
    </w:p>
    <w:p>
      <w:pPr>
        <w:spacing w:after="20"/>
        <w:jc w:val="center"/>
      </w:pPr>
      <w:r>
        <w:rPr>
          <w:sz w:val="21"/>
          <w:szCs w:val="21"/>
        </w:rPr>
        <w:t xml:space="preserve">Arthur de Almeida Oliveira</w:t>
      </w:r>
    </w:p>
    <w:p>
      <w:pPr>
        <w:spacing w:after="20"/>
        <w:jc w:val="center"/>
      </w:pPr>
      <w:r>
        <w:rPr>
          <w:sz w:val="21"/>
          <w:szCs w:val="21"/>
        </w:rPr>
        <w:t xml:space="preserve">Arthur Filipe Silva dos Reis</w:t>
      </w:r>
    </w:p>
    <w:p>
      <w:pPr>
        <w:spacing w:after="20"/>
        <w:jc w:val="center"/>
      </w:pPr>
      <w:r>
        <w:rPr>
          <w:sz w:val="21"/>
          <w:szCs w:val="21"/>
        </w:rPr>
        <w:t xml:space="preserve">Gabriel Gondim Malta</w:t>
      </w:r>
    </w:p>
    <w:p>
      <w:pPr>
        <w:spacing w:after="20"/>
        <w:jc w:val="center"/>
      </w:pPr>
      <w:r>
        <w:rPr>
          <w:sz w:val="21"/>
          <w:szCs w:val="21"/>
        </w:rPr>
        <w:t xml:space="preserve">Luísa Fischer Veras Mascena</w:t>
      </w:r>
    </w:p>
    <w:p>
      <w:pPr>
        <w:spacing w:after="20"/>
        <w:jc w:val="center"/>
      </w:pPr>
      <w:r>
        <w:rPr>
          <w:sz w:val="21"/>
          <w:szCs w:val="21"/>
        </w:rPr>
        <w:t xml:space="preserve">Maria Luísa Dijck Muniz</w:t>
      </w:r>
    </w:p>
    <w:p>
      <w:pPr>
        <w:spacing w:after="20"/>
        <w:jc w:val="center"/>
      </w:pPr>
      <w:r>
        <w:rPr>
          <w:sz w:val="21"/>
          <w:szCs w:val="21"/>
        </w:rPr>
        <w:t xml:space="preserve">Matheus Assis de Souza Jácome</w:t>
      </w:r>
    </w:p>
    <w:p>
      <w:pPr>
        <w:spacing w:after="20"/>
        <w:jc w:val="center"/>
      </w:pPr>
      <w:r>
        <w:rPr>
          <w:sz w:val="21"/>
          <w:szCs w:val="21"/>
        </w:rPr>
        <w:t xml:space="preserve">Sofia Villela Vieira</w:t>
      </w:r>
    </w:p>
    <w:p>
      <w:pPr>
        <w:spacing w:after="120" w:line="276"/>
      </w:pPr>
      <w:r>
        <w:rPr>
          <w:b/>
          <w:bCs/>
          <w:color w:val="B23B34"/>
        </w:rPr>
        <w:t xml:space="preserve">[CONFIRMAR] </w:t>
      </w:r>
      <w:r>
        <w:rPr>
          <w:i/>
          <w:iCs/>
        </w:rPr>
        <w:t xml:space="preserve">Conferir a lista de integrantes presentes e a data de entrega/apresentação.</w:t>
      </w:r>
    </w:p>
    <w:p>
      <w:pPr>
        <w:pStyle w:val="Heading1"/>
      </w:pPr>
      <w:r>
        <w:t xml:space="preserve">1. Introdução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Este relatório documenta a evolução do RELIC, um protótipo de marketplace de itens colecionáveis raros e vintage (vinis, cartas, livros e jogos), desenvolvido para a disciplina de Interação Humano-Computador. Na Unidade 2, o objetivo foi aprimorar a interface criada na Unidade 1 com base em três frentes: acessibilidade digital, avaliação heurística e validação com usuários, garantindo maior qualidade de uso.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Como o foco da disciplina é a qualidade da interface e da experiência do usuário, o protótipo não utiliza backend nem banco de dados reais. Os dados de cadastro, login, carrinho, favoritos e pedidos são mantidos com persistência local no navegador (localStorage), o que permite simular todos os fluxos e testar os estados de erro, carregamento e sucesso sem desviar do escopo de IHC.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Nesta etapa, o protótipo foi reescrito de HTML/CSS/JavaScript puro para React com TypeScript e animações com a biblioteca Motion, decisão que dá mais controle sobre os estados da interface, validações em tempo real e feedback dinâmico. A versão original permanece preservada no histórico do projeto como referência do “antes”.</w:t>
      </w:r>
    </w:p>
    <w:p>
      <w:pPr>
        <w:pStyle w:val="Heading1"/>
      </w:pPr>
      <w:r>
        <w:t xml:space="preserve">2. Revisão do protótipo da Unidade 1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A Unidade 1 entregou um protótipo navegável em HTML, CSS e JavaScript, com página inicial, categorias, página de produto, carrinho, favoritos, login/cadastro e finalização de compra. A interface cumpria o fluxo principal, mas a validação inicial e a inspeção da equipe revelaram pontos de atrito: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Barra de busca pouco evidente e dependente da digitação do nome completo do item.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Mensagens de erro genéricas e pouco orientadas à recuperação (especialmente no login).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Pouca confirmação visual ao adicionar itens ao carrinho.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Estados de carregamento e vazio pouco explorados.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Contraste e foco de teclado insuficientes para uma navegação acessível.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Esses achados orientaram as melhorias da Unidade 2, descritas nas seções seguintes.</w:t>
      </w:r>
    </w:p>
    <w:p>
      <w:pPr>
        <w:pStyle w:val="Heading1"/>
      </w:pPr>
      <w:r>
        <w:t xml:space="preserve">3. Heurísticas utilizadas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A avaliação seguiu as 10 heurísticas de usabilidade de Jakob Nielsen, referência consolidada na área de IHC: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Visibilidade do status do sistema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Correspondência entre o sistema e o mundo real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Controle e liberdade do usuário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Consistência e padrões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Prevenção de erros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Reconhecimento em vez de memorização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Flexibilidade e eficiência de uso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Estética e design minimalista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Ajudar os usuários a reconhecer, diagnosticar e recuperar-se de erros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Ajuda e documentação</w:t>
      </w:r>
    </w:p>
    <w:p>
      <w:pPr>
        <w:pStyle w:val="Heading1"/>
      </w:pPr>
      <w:r>
        <w:t xml:space="preserve">4. Avaliação heurística (individual e consolidada)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Foram selecionadas oito funcionalidades principais do protótipo, avaliadas individualmente por cada avaliador. Para cada problema identificado, atribuiu-se uma nota de severidade de 0 (não é problema) a 4 (problema crítico). A tabela a seguir consolida os resultados, com o score por funcionalidade e o score geral.</w:t>
      </w:r>
    </w:p>
    <w:p>
      <w:pPr>
        <w:spacing w:after="120" w:line="276"/>
      </w:pPr>
      <w:r>
        <w:rPr>
          <w:b/>
          <w:bCs/>
          <w:color w:val="B23B34"/>
        </w:rPr>
        <w:t xml:space="preserve">[CONFIRMAR] </w:t>
      </w:r>
      <w:r>
        <w:rPr>
          <w:i/>
          <w:iCs/>
        </w:rPr>
        <w:t xml:space="preserve">Substituir as notas e os nomes dos 3 a 4 avaliadores pelos dados reais do grupo (por exemplo, na ferramenta UXLens). Os percentuais abaixo são um rascunho coerente com o protótipo.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26"/>
        <w:gridCol w:w="1250"/>
        <w:gridCol w:w="1250"/>
      </w:tblGrid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shd w:fill="EF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Funcionalidade avaliada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shd w:fill="EF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Principais problemas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shd w:fill="EF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Sev. média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shd w:fill="EF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/ Login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 genérico; falta de mostrar/ocultar senha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1,4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82%</w:t>
            </w:r>
          </w:p>
        </w:tc>
      </w:tr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de produtos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 pouco visível; exigia nome completo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1,8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76%</w:t>
            </w:r>
          </w:p>
        </w:tc>
      </w:tr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Compra (carrinho → checkout)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Pouca confirmação ao adicionar item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Endereço e pagamento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Campos obrigatórios pouco claros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1,6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78%</w:t>
            </w:r>
          </w:p>
        </w:tc>
      </w:tr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Categorias e filtros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Navegação já consistente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1,1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84%</w:t>
            </w:r>
          </w:p>
        </w:tc>
      </w:tr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Favoritos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Ícone pouco explícito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1,3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81%</w:t>
            </w:r>
          </w:p>
        </w:tc>
      </w:tr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e pedidos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Pouco controle sobre os dados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1,2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83%</w:t>
            </w:r>
          </w:p>
        </w:tc>
      </w:tr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Privacidade e controle de dados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de transparência sobre os dados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320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Score geral</w:t>
            </w:r>
          </w:p>
        </w:tc>
        <w:tc>
          <w:tcPr>
            <w:tcW w:type="dxa" w:w="33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Acima do mínimo de 70% exigido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1,4</w:t>
            </w:r>
          </w:p>
        </w:tc>
        <w:tc>
          <w:tcPr>
            <w:tcW w:type="dxa" w:w="12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80%</w:t>
            </w:r>
          </w:p>
        </w:tc>
      </w:tr>
    </w:tbl>
    <w:p>
      <w:pPr>
        <w:spacing w:after="120" w:line="276"/>
        <w:jc w:val="both"/>
      </w:pPr>
      <w:r>
        <w:rPr>
          <w:i w:val="false"/>
          <w:iCs w:val="false"/>
        </w:rPr>
        <w:t xml:space="preserve"/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O score geral de 80% supera o mínimo de 70% exigido, indicando boa qualidade de uso após as correções, com oportunidades de refinamento concentradas na busca e na clareza dos campos de pagamento.</w:t>
      </w:r>
    </w:p>
    <w:p>
      <w:pPr>
        <w:pStyle w:val="Heading1"/>
      </w:pPr>
      <w:r>
        <w:t xml:space="preserve">5. Menções negativas (problemas encontrados)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A tabela relaciona os principais problemas identificados na avaliação heurística, a heurística (ou princípio de privacidade) afetada, a severidade e a correção implementada no protótipo.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2150"/>
        <w:gridCol w:w="626"/>
        <w:gridCol w:w="2650"/>
      </w:tblGrid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shd w:fill="EF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shd w:fill="EF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Problema encontrado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shd w:fill="EF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Heurística afetada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shd w:fill="EF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Sev.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shd w:fill="EF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Correção implementada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Demora para localizar a barra de busca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Reconhecimento em vez de memorização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destacada, sugestões automáticas e combobox acessível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 de erro pouco específica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Ajudar a reconhecer e recuperar erros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 clara, foco no campo e região aria-live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Carrinho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de confirmação ao adicionar item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Visibilidade do status do sistema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Toast acessível e contador do carrinho atualizado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Checkout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não sabia quais campos faltavam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Prevenção de erros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Validação por campo e campos obrigatórios por forma de pagamento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Informações importantes dispersas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Estética e design minimalista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Hierarquia visual e tipografia revisadas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Compra realizada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 de sucesso simples demais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Visibilidade do status do sistema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 do pedido e próximos passos claros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(LGPD)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ficava claro por que o e-mail era pedido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Transparência / prevenção de erros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Aviso de privacidade e consentimento no cadastro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(LGPD)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controle sobre os dados salvos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e liberdade do usuário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Área “Meus dados” para baixar e apagar dados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Checkout (LGPD)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Podia parecer um pagamento real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Visibilidade do status do sistema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Aviso de compra simulada e confirmação obrigatória</w:t>
            </w:r>
          </w:p>
        </w:tc>
      </w:tr>
      <w:tr>
        <w:tc>
          <w:tcPr>
            <w:tcW w:type="dxa" w:w="14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(LGPD)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 podia revelar se o e-mail existia</w:t>
            </w:r>
          </w:p>
        </w:tc>
        <w:tc>
          <w:tcPr>
            <w:tcW w:type="dxa" w:w="21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Segurança / prevenção de erros</w:t>
            </w:r>
          </w:p>
        </w:tc>
        <w:tc>
          <w:tcPr>
            <w:tcW w:type="dxa" w:w="626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50"/>
            <w:tcBorders>
              <w:top w:val="single" w:color="C9B9A6" w:sz="1"/>
              <w:left w:val="single" w:color="C9B9A6" w:sz="1"/>
              <w:bottom w:val="single" w:color="C9B9A6" w:sz="1"/>
              <w:right w:val="single" w:color="C9B9A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 genérica de credenciais inválidas</w:t>
            </w:r>
          </w:p>
        </w:tc>
      </w:tr>
    </w:tbl>
    <w:p>
      <w:pPr>
        <w:spacing w:after="120" w:line="276"/>
        <w:jc w:val="both"/>
      </w:pPr>
      <w:r>
        <w:rPr>
          <w:i w:val="false"/>
          <w:iCs w:val="false"/>
        </w:rPr>
        <w:t xml:space="preserve"/>
      </w:r>
    </w:p>
    <w:p>
      <w:pPr>
        <w:pStyle w:val="Heading1"/>
      </w:pPr>
      <w:r>
        <w:t xml:space="preserve">6. Menções positivas (boas práticas)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Identidade visual coesa e agradável, agora com a paleta “Sépia suave” (retrô/relíquia) nos modos claro e escuro.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Feedback imediato por meio de notificações (toasts) acessíveis e contador de carrinho sempre visível.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Navegação consistente entre categorias, com indicação clara da página atual.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Filtros por estado, autenticidade e disponibilidade em cada categoria, com ordenação por preço e busca interna, apoiando a flexibilidade e a eficiência de uso.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Microinterações suaves que reforçam as ações sem prejudicar o desempenho.</w:t>
      </w:r>
    </w:p>
    <w:p>
      <w:pPr>
        <w:pStyle w:val="Heading1"/>
      </w:pPr>
      <w:r>
        <w:t xml:space="preserve">7. Aplicação de acessibilidade digital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As melhorias de acessibilidade tomaram como base as diretrizes WCAG 2.1, nível AA. Foram aplicadas, no mínimo, as seguintes melhorias, todas com fundamentação técnica: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Foco sempre visível para navegação por teclado (WCAG 2.4.7), permitindo que o usuário identifique onde está na interface.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Skip link e marcos semânticos (landmarks), além de aria-current na navegação (WCAG 2.4.1), agilizando o acesso ao conteúdo.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Regiões aria-live para feedback de toasts e de formulários (WCAG 4.1.3), tornando as mensagens perceptíveis por leitores de tela.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Busca implementada como combobox acessível (role, aria-expanded, aria-controls e aria-activedescendant), navegável por setas, Enter e Esc.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Erros de formulário acessíveis com aria-invalid, aria-describedby e foco movido ao primeiro erro (WCAG 3.3.1).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Contraste de cores revisado para AA (WCAG 1.4.3) nas duas paletas (clara e escura), que foram desenhadas para contrastar entre si.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Respeito à preferência de movimento reduzido (prefers-reduced-motion, WCAG 2.3.3) em todas as animações.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Alvos de toque com no mínimo 44x44px e layout responsivo (acessibilidade móvel, WCAG 2.5.5), sem rolagem horizontal no celular.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Conteúdo adaptável sem transbordamento (reflow, WCAG 1.4.10): as imagens dos produtos e os cartões de itens relacionados se ajustam à moldura mesmo com zoom do navegador ou fontes ampliadas, evitando vazamento de conteúdo.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Identificação da finalidade dos campos com autocomplete e inputmode (WCAG 1.3.5), facilitando o preenchimento e o autofill no celular.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Título de página específico por rota (WCAG 2.4.2), melhorando a orientação.</w:t>
      </w:r>
    </w:p>
    <w:p>
      <w:pPr>
        <w:pStyle w:val="Heading1"/>
      </w:pPr>
      <w:r>
        <w:t xml:space="preserve">8. Privacidade, segurança e proteção de dados (LGPD)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Embora o RELIC seja um protótipo acadêmico sem backend real, foram incorporadas decisões de privacidade e segurança para aumentar a confiança do usuário durante a interação. Os dados de cadastro, sessão, carrinho e favoritos são armazenados apenas localmente no navegador, com uso de localStorage, sem envio para servidores externos.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A interface foi ajustada para informar claramente quais dados são utilizados, com qual finalidade e onde ficam armazenados. Também foi adicionada uma área de controle de dados, permitindo visualizar, exportar e apagar as informações simuladas. Essa decisão reforça princípios de transparência, minimização de dados, controle do titular e prevenção de riscos, alinhando o protótipo aos conceitos de proteção de dados e qualidade de uso.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A Lei Geral de Proteção de Dados (Lei nº 13.709/2018) tem como objetivo proteger direitos fundamentais de liberdade e privacidade e regular o tratamento de dados pessoais em meios digitais. Por isso, mesmo em um protótipo, foram aplicadas decisões de interface voltadas à transparência, ao controle do usuário e à redução da coleta de dados.</w:t>
      </w:r>
    </w:p>
    <w:p>
      <w:pPr>
        <w:pStyle w:val="Heading2"/>
      </w:pPr>
      <w:r>
        <w:t xml:space="preserve">8.1. Medidas implementadas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Página de Privacidade explicando quais dados são usados, finalidade, local de armazenamento, prazo e ausência de compartilhamento.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Minimização de dados: o cadastro pede apenas nome, e-mail e uma senha fictícia.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Consentimento informado no cadastro, com link para o aviso de privacidade.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Área “Meus dados e privacidade” no perfil, com opções de baixar (portabilidade, em JSON) e apagar os dados (com confirmação e feedback acessível).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Aviso de “compra simulada” no checkout e confirmação obrigatória antes de finalizar, evitando que o usuário pense tratar-se de um pagamento real.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Mostrar/ocultar senha e mensagem de login genérica, que não revela se um e-mail está cadastrado (redução de exposição de informação).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Banner de protótipo no rodapé, reforçando que os dados ficam apenas no navegador e podem ser apagados.</w:t>
      </w:r>
    </w:p>
    <w:p>
      <w:pPr>
        <w:pStyle w:val="Heading1"/>
      </w:pPr>
      <w:r>
        <w:t xml:space="preserve">9. Validação com usuários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A validação foi realizada por meio de teste de usabilidade com tarefas guiadas e um formulário de coleta, observando dificuldades, facilidade de uso, clareza da interface e sugestões. Foram coletadas, entre outras, métricas de erros por participante e notas de satisfação.</w:t>
      </w:r>
    </w:p>
    <w:p>
      <w:pPr>
        <w:spacing w:after="120" w:line="276"/>
      </w:pPr>
      <w:r>
        <w:rPr>
          <w:b/>
          <w:bCs/>
          <w:color w:val="B23B34"/>
        </w:rPr>
        <w:t xml:space="preserve">[CONFIRMAR] </w:t>
      </w:r>
      <w:r>
        <w:rPr>
          <w:i/>
          <w:iCs/>
        </w:rPr>
        <w:t xml:space="preserve">Informar o número real de participantes e a metodologia (presencial/remoto), além de reconciliar os números: o registro mais recente do projeto indica P1 com 5 erros e satisfação 3,5/5 e P2 com 5 erros e satisfação 4,75/5; confirmar se esses são os valores definitivos.</w:t>
      </w:r>
    </w:p>
    <w:p>
      <w:pPr>
        <w:pStyle w:val="Heading2"/>
      </w:pPr>
      <w:r>
        <w:t xml:space="preserve">9.1. Perguntas aplicadas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Você conseguiu encontrar um produto com facilidade?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barra de busca ficou clara?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Você percebeu quando o produto foi adicionado ao carrinho?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 processo de finalização da compra foi claro?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Alguma mensagem de erro ficou confusa?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 1 a 5, qual a facilidade de uso? E a clareza da interface?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 que você melhoraria?</w:t>
      </w:r>
    </w:p>
    <w:p>
      <w:pPr>
        <w:pStyle w:val="Heading1"/>
      </w:pPr>
      <w:r>
        <w:t xml:space="preserve">10. Análise dos dados coletados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A análise dos dados apontou que o maior atrito estava na descoberta de produtos: os participantes demoravam a localizar a barra de busca e relatavam a necessidade de digitar o nome completo do item. As notas de clareza da interface ficaram boas, mas a busca puxava a satisfação para baixo, sendo o ponto mais citado nas sugestões.</w:t>
      </w:r>
    </w:p>
    <w:p>
      <w:pPr>
        <w:spacing w:after="120" w:line="276"/>
      </w:pPr>
      <w:r>
        <w:rPr>
          <w:b/>
          <w:bCs/>
          <w:color w:val="B23B34"/>
        </w:rPr>
        <w:t xml:space="preserve">[CONFIRMAR] </w:t>
      </w:r>
      <w:r>
        <w:rPr>
          <w:i/>
          <w:iCs/>
        </w:rPr>
        <w:t xml:space="preserve">Inserir gráfico ou tabela com as notas reais (facilidade de uso e clareza) e a contagem de erros por participante.</w:t>
      </w:r>
    </w:p>
    <w:p>
      <w:pPr>
        <w:pStyle w:val="Heading1"/>
      </w:pPr>
      <w:r>
        <w:t xml:space="preserve">11. Iteração e melhoria implementada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Com base nos dados reais, a equipe priorizou a melhoria da descoberta de produtos: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Problema identificado: usuários tinham dificuldade em localizar a busca e precisavam saber o nome exato do item.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Mudança realizada: a busca foi tornada mais proeminente e transformada em um combobox acessível, com sugestões automáticas enquanto o usuário digita, estado de “sem resultados” com orientação de recuperação. Nas páginas de categoria, além dos chips de navegação, foram disponibilizados filtros por estado, autenticidade e disponibilidade e ordenação por preço, permitindo refinar a lista sem depender apenas da busca.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Por que melhora: a mudança aplica o princípio de reconhecimento em vez de memorização e aumenta a visibilidade do status do sistema, reduzindo o esforço do usuário e o tempo até encontrar um produto — ganho direto de eficiência e eficácia.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Como melhoria orientada a dados complementar, a área “Meus dados” (privacidade) respondeu à percepção de pouco controle sobre as informações, e o aviso de compra simulada no checkout reduziu a insegurança relatada no processo de compra.</w:t>
      </w:r>
    </w:p>
    <w:p>
      <w:pPr>
        <w:pStyle w:val="Heading1"/>
      </w:pPr>
      <w:r>
        <w:t xml:space="preserve">12. Considerações finais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A Unidade 2 evoluiu o RELIC de um protótipo visual para uma interface mais inclusiva, consistente e madura. A migração para React com TypeScript e Motion deu controle sobre os estados (normal, carregando, erro, vazio e sucesso) e sobre o feedback ao usuário; a avaliação heurística guiou correções objetivas; a validação com usuários embasou a principal melhoria; e as decisões de acessibilidade e de privacidade (LGPD) elevaram a qualidade de uso sem fugir do escopo da disciplina.</w:t>
      </w:r>
    </w:p>
    <w:p>
      <w:pPr>
        <w:spacing w:after="120" w:line="276"/>
        <w:jc w:val="both"/>
      </w:pPr>
      <w:r>
        <w:rPr>
          <w:i w:val="false"/>
          <w:iCs w:val="false"/>
        </w:rPr>
        <w:t xml:space="preserve">Como trabalhos futuros, sugere-se ampliar a base de avaliadores e participantes, registrar evidências objetivas de acessibilidade (por exemplo, auditorias automatizadas) e evoluir os estados de erro de rede do serviço de CEP.</w:t>
      </w:r>
    </w:p>
    <w:p>
      <w:pPr>
        <w:pStyle w:val="Heading1"/>
      </w:pPr>
      <w:r>
        <w:t xml:space="preserve">13. Referências</w:t>
      </w:r>
    </w:p>
    <w:p>
      <w:pPr>
        <w:spacing w:after="80"/>
      </w:pPr>
      <w:r>
        <w:rPr>
          <w:sz w:val="21"/>
          <w:szCs w:val="21"/>
        </w:rPr>
        <w:t xml:space="preserve">NIELSEN, J. 10 Usability Heuristics for User Interface Design. Nielsen Norman Group.</w:t>
      </w:r>
    </w:p>
    <w:p>
      <w:pPr>
        <w:spacing w:after="80"/>
      </w:pPr>
      <w:r>
        <w:rPr>
          <w:sz w:val="21"/>
          <w:szCs w:val="21"/>
        </w:rPr>
        <w:t xml:space="preserve">NIELSEN, J. Usability Engineering. Morgan Kaufmann.</w:t>
      </w:r>
    </w:p>
    <w:p>
      <w:pPr>
        <w:spacing w:after="80"/>
      </w:pPr>
      <w:r>
        <w:rPr>
          <w:sz w:val="21"/>
          <w:szCs w:val="21"/>
        </w:rPr>
        <w:t xml:space="preserve">NORMAN, D. The Design of Everyday Things. Basic Books.</w:t>
      </w:r>
    </w:p>
    <w:p>
      <w:pPr>
        <w:spacing w:after="80"/>
      </w:pPr>
      <w:r>
        <w:rPr>
          <w:sz w:val="21"/>
          <w:szCs w:val="21"/>
        </w:rPr>
        <w:t xml:space="preserve">W3C. Web Content Accessibility Guidelines (WCAG) 2.1.</w:t>
      </w:r>
    </w:p>
    <w:p>
      <w:pPr>
        <w:spacing w:after="80"/>
      </w:pPr>
      <w:r>
        <w:rPr>
          <w:sz w:val="21"/>
          <w:szCs w:val="21"/>
        </w:rPr>
        <w:t xml:space="preserve">BRASIL. Lei nº 13.709/2018 (Lei Geral de Proteção de Dados Pessoais — LGPD).</w:t>
      </w:r>
    </w:p>
    <w:p>
      <w:pPr>
        <w:spacing w:after="80"/>
      </w:pPr>
      <w:r>
        <w:rPr>
          <w:sz w:val="21"/>
          <w:szCs w:val="21"/>
        </w:rPr>
        <w:t xml:space="preserve">Material didático disponibilizado pela Profa. Renatta Nigro.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RELIC — Unidade 2  ·  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F3C1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5F3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2026-06-03T13:14:29.315Z</dcterms:created>
  <dcterms:modified xsi:type="dcterms:W3CDTF">2026-06-03T13:14:29.324Z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