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5B3420"/>
          <w:sz w:val="36"/>
          <w:szCs w:val="36"/>
        </w:rPr>
        <w:t xml:space="preserve">Relatório RELIC — Unidade 2</w:t>
      </w:r>
    </w:p>
    <w:p>
      <w:pPr>
        <w:spacing w:after="200"/>
        <w:jc w:val="center"/>
      </w:pPr>
      <w:r>
        <w:rPr>
          <w:i/>
          <w:iCs/>
          <w:color w:val="7A4A2B"/>
          <w:sz w:val="24"/>
          <w:szCs w:val="24"/>
        </w:rPr>
        <w:t xml:space="preserve">Aprimoramento e Validação da Interface</w:t>
      </w:r>
    </w:p>
    <w:p>
      <w:pPr>
        <w:spacing w:after="60"/>
      </w:pPr>
      <w:r>
        <w:rPr>
          <w:b/>
          <w:bCs/>
        </w:rPr>
        <w:t xml:space="preserve">Disciplina: </w:t>
      </w:r>
      <w:r>
        <w:t xml:space="preserve">Interação Humano-Computador (IHC)</w:t>
      </w:r>
    </w:p>
    <w:p>
      <w:pPr>
        <w:spacing w:after="60"/>
      </w:pPr>
      <w:r>
        <w:rPr>
          <w:b/>
          <w:bCs/>
        </w:rPr>
        <w:t xml:space="preserve">Professora: </w:t>
      </w:r>
      <w:r>
        <w:t xml:space="preserve">Renatta Nigro</w:t>
      </w:r>
    </w:p>
    <w:p>
      <w:pPr>
        <w:spacing w:after="60"/>
      </w:pPr>
      <w:r>
        <w:rPr>
          <w:b/>
          <w:bCs/>
        </w:rPr>
        <w:t xml:space="preserve">Curso: </w:t>
      </w:r>
      <w:r>
        <w:t xml:space="preserve">Ciência da Computação</w:t>
      </w:r>
    </w:p>
    <w:p>
      <w:pPr>
        <w:spacing w:after="60"/>
      </w:pPr>
      <w:r>
        <w:rPr>
          <w:b/>
          <w:bCs/>
        </w:rPr>
        <w:t xml:space="preserve">Projeto: </w:t>
      </w:r>
      <w:r>
        <w:t xml:space="preserve">Protótipo de marketplace para colecionadores — RELIC (Rare Editions &amp; Legendary Items Collection)</w:t>
      </w:r>
    </w:p>
    <w:p>
      <w:pPr>
        <w:spacing w:after="200"/>
      </w:pPr>
      <w:r>
        <w:rPr>
          <w:b/>
          <w:bCs/>
        </w:rPr>
        <w:t xml:space="preserve">Integrantes: </w:t>
      </w:r>
      <w:r>
        <w:t xml:space="preserve">Arthur de Almeida Oliveira, Arthur Filipe Silva dos Reis, Gabriel Gondim Malta, Luísa Fischer Veras Mascena, Maria Luísa Dijck Muniz, Matheus Assis de Souza Jácome, Sofia Villela Vieira.</w:t>
      </w:r>
    </w:p>
    <w:p>
      <w:pPr>
        <w:pStyle w:val="Heading1"/>
        <w:spacing w:after="140" w:before="260"/>
      </w:pPr>
      <w:r>
        <w:t xml:space="preserve">1. Introdução</w:t>
      </w:r>
    </w:p>
    <w:p>
      <w:pPr>
        <w:spacing w:after="120" w:line="276"/>
        <w:jc w:val="both"/>
      </w:pPr>
      <w:r>
        <w:t xml:space="preserve">Este relatório apresenta a evolução do protótipo interativo do RELIC, um marketplace de itens colecionáveis (vinis, cartas, livros e jogos), desenvolvido na disciplina de Interação Humano-Computador. Na Unidade 1, o foco foi construir os fluxos principais e os estados do sistema com base em princípios de usabilidade, eficiência, eficácia e feedback. Nesta Unidade 2, o objetivo é aprimorar a interface a partir de três frentes complementares: a aplicação de acessibilidade digital, a realização de uma avaliação heurística e a validação com usuários, garantindo maior qualidade de uso.</w:t>
      </w:r>
    </w:p>
    <w:p>
      <w:pPr>
        <w:spacing w:after="120" w:line="276"/>
        <w:jc w:val="both"/>
      </w:pPr>
      <w:r>
        <w:t xml:space="preserve">Como parte do aprimoramento, o protótipo foi reescrito de HTML, CSS e JavaScript puro para uma aplicação em React com TypeScript e animações com a biblioteca Motion (Framer Motion). Essa reescrita permitiu componentizar a interface, padronizar o comportamento das telas e implementar, de forma consistente, as melhorias de acessibilidade e as correções identificadas na avaliação heurística e nos testes com usuários.</w:t>
      </w:r>
    </w:p>
    <w:p>
      <w:pPr>
        <w:pStyle w:val="Heading1"/>
        <w:spacing w:after="140" w:before="260"/>
      </w:pPr>
      <w:r>
        <w:t xml:space="preserve">2. Revisão do protótipo da Unidade 1</w:t>
      </w:r>
    </w:p>
    <w:p>
      <w:pPr>
        <w:spacing w:after="120" w:line="276"/>
        <w:jc w:val="both"/>
      </w:pPr>
      <w:r>
        <w:t xml:space="preserve">O protótipo da Unidade 1 contemplava as telas de início, categorias (vinil, cartas, livros e jogos), produto, login e cadastro, carrinho, finalização de compra, sucesso, favoritos, perfil e histórico de pedidos. O fluxo principal de compra — entrar, pesquisar, selecionar o produto, adicionar ao carrinho e finalizar — foi mantido funcional, assim como o fluxo alternativo de erro no login e os estados do sistema (normal, carregamento, erro e sucesso).</w:t>
      </w:r>
    </w:p>
    <w:p>
      <w:pPr>
        <w:spacing w:after="120" w:line="276"/>
        <w:jc w:val="both"/>
      </w:pPr>
      <w:r>
        <w:t xml:space="preserve">A revisão dessa versão, somada ao mini teste de usabilidade já realizado, evidenciou oportunidades claras de melhoria, sobretudo na descoberta de produtos (busca), na clareza das mensagens de erro, na visibilidade do estado do sistema e na acessibilidade — pontos que orientaram as decisões desta unidade.</w:t>
      </w:r>
    </w:p>
    <w:p>
      <w:pPr>
        <w:pStyle w:val="Heading1"/>
        <w:spacing w:after="140" w:before="260"/>
      </w:pPr>
      <w:r>
        <w:t xml:space="preserve">3. Heurísticas utilizadas</w:t>
      </w:r>
    </w:p>
    <w:p>
      <w:pPr>
        <w:spacing w:after="120" w:line="276"/>
        <w:jc w:val="both"/>
      </w:pPr>
      <w:r>
        <w:t xml:space="preserve">A avaliação foi conduzida com base nas 10 heurísticas de usabilidade de Jakob Nielsen:</w:t>
      </w:r>
    </w:p>
    <w:p>
      <w:pPr>
        <w:pStyle w:val="ListParagraph"/>
        <w:numPr>
          <w:ilvl w:val="0"/>
          <w:numId w:val="2"/>
        </w:numPr>
        <w:spacing w:after="70" w:line="270"/>
        <w:jc w:val="both"/>
      </w:pPr>
      <w:r>
        <w:t xml:space="preserve">H1 — Visibilidade do status do sistema;</w:t>
      </w:r>
    </w:p>
    <w:p>
      <w:pPr>
        <w:pStyle w:val="ListParagraph"/>
        <w:numPr>
          <w:ilvl w:val="0"/>
          <w:numId w:val="2"/>
        </w:numPr>
        <w:spacing w:after="70" w:line="270"/>
        <w:jc w:val="both"/>
      </w:pPr>
      <w:r>
        <w:t xml:space="preserve">H2 — Correspondência entre o sistema e o mundo real;</w:t>
      </w:r>
    </w:p>
    <w:p>
      <w:pPr>
        <w:pStyle w:val="ListParagraph"/>
        <w:numPr>
          <w:ilvl w:val="0"/>
          <w:numId w:val="2"/>
        </w:numPr>
        <w:spacing w:after="70" w:line="270"/>
        <w:jc w:val="both"/>
      </w:pPr>
      <w:r>
        <w:t xml:space="preserve">H3 — Controle e liberdade do usuário;</w:t>
      </w:r>
    </w:p>
    <w:p>
      <w:pPr>
        <w:pStyle w:val="ListParagraph"/>
        <w:numPr>
          <w:ilvl w:val="0"/>
          <w:numId w:val="2"/>
        </w:numPr>
        <w:spacing w:after="70" w:line="270"/>
        <w:jc w:val="both"/>
      </w:pPr>
      <w:r>
        <w:t xml:space="preserve">H4 — Consistência e padronização;</w:t>
      </w:r>
    </w:p>
    <w:p>
      <w:pPr>
        <w:pStyle w:val="ListParagraph"/>
        <w:numPr>
          <w:ilvl w:val="0"/>
          <w:numId w:val="2"/>
        </w:numPr>
        <w:spacing w:after="70" w:line="270"/>
        <w:jc w:val="both"/>
      </w:pPr>
      <w:r>
        <w:t xml:space="preserve">H5 — Prevenção de erros;</w:t>
      </w:r>
    </w:p>
    <w:p>
      <w:pPr>
        <w:pStyle w:val="ListParagraph"/>
        <w:numPr>
          <w:ilvl w:val="0"/>
          <w:numId w:val="2"/>
        </w:numPr>
        <w:spacing w:after="70" w:line="270"/>
        <w:jc w:val="both"/>
      </w:pPr>
      <w:r>
        <w:t xml:space="preserve">H6 — Reconhecer em vez de lembrar;</w:t>
      </w:r>
    </w:p>
    <w:p>
      <w:pPr>
        <w:pStyle w:val="ListParagraph"/>
        <w:numPr>
          <w:ilvl w:val="0"/>
          <w:numId w:val="2"/>
        </w:numPr>
        <w:spacing w:after="70" w:line="270"/>
        <w:jc w:val="both"/>
      </w:pPr>
      <w:r>
        <w:t xml:space="preserve">H7 — Flexibilidade e eficiência de uso;</w:t>
      </w:r>
    </w:p>
    <w:p>
      <w:pPr>
        <w:pStyle w:val="ListParagraph"/>
        <w:numPr>
          <w:ilvl w:val="0"/>
          <w:numId w:val="2"/>
        </w:numPr>
        <w:spacing w:after="70" w:line="270"/>
        <w:jc w:val="both"/>
      </w:pPr>
      <w:r>
        <w:t xml:space="preserve">H8 — Estética e design minimalista;</w:t>
      </w:r>
    </w:p>
    <w:p>
      <w:pPr>
        <w:pStyle w:val="ListParagraph"/>
        <w:numPr>
          <w:ilvl w:val="0"/>
          <w:numId w:val="2"/>
        </w:numPr>
        <w:spacing w:after="70" w:line="270"/>
        <w:jc w:val="both"/>
      </w:pPr>
      <w:r>
        <w:t xml:space="preserve">H9 — Ajudar os usuários a reconhecer, diagnosticar e recuperar-se de erros;</w:t>
      </w:r>
    </w:p>
    <w:p>
      <w:pPr>
        <w:pStyle w:val="ListParagraph"/>
        <w:numPr>
          <w:ilvl w:val="0"/>
          <w:numId w:val="2"/>
        </w:numPr>
        <w:spacing w:after="70" w:line="270"/>
        <w:jc w:val="both"/>
      </w:pPr>
      <w:r>
        <w:t xml:space="preserve">H10 — Ajuda e documentação.</w:t>
      </w:r>
    </w:p>
    <w:p>
      <w:pPr>
        <w:pStyle w:val="Heading1"/>
        <w:spacing w:after="140" w:before="260"/>
      </w:pPr>
      <w:r>
        <w:t xml:space="preserve">4. Avaliação heurística (individual e consolidada)</w:t>
      </w:r>
    </w:p>
    <w:p>
      <w:pPr>
        <w:spacing w:after="120" w:line="276"/>
        <w:jc w:val="both"/>
      </w:pPr>
      <w:r>
        <w:rPr>
          <w:b/>
          <w:bCs/>
        </w:rPr>
        <w:t xml:space="preserve">Metodologia. </w:t>
      </w:r>
      <w:r>
        <w:t xml:space="preserve">A avaliação contou com 4 avaliadores da própria equipe [CONFIRMAR nomes dos avaliadores], que analisaram individualmente 7 funcionalidades principais do protótipo. Para cada problema identificado, cada avaliador atribuiu uma nota de severidade na escala de 0 a 4 (0 = não é problema; 1 = cosmético; 2 = menor; 3 = grave; 4 = crítico). As notas individuais foram consolidadas pela média, e o score de conformidade de cada funcionalidade foi calculado como 100% × (1 − severidade média / 4).</w:t>
      </w:r>
    </w:p>
    <w:p>
      <w:pPr>
        <w:spacing w:after="120" w:line="276"/>
        <w:jc w:val="both"/>
      </w:pPr>
      <w:r>
        <w:t xml:space="preserve">A tabela a seguir resume a avaliação consolidada. As notas individuais por avaliador estão registradas no material de apoio da equipe [CONFIRMAR planilha de notas individuais].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450"/>
        <w:gridCol w:w="1450"/>
        <w:gridCol w:w="2926"/>
      </w:tblGrid>
      <w:tr>
        <w:trPr>
          <w:tblHeader/>
        </w:trPr>
        <w:tc>
          <w:tcPr>
            <w:tcW w:type="dxa" w:w="3200"/>
            <w:tcBorders>
              <w:top w:val="single" w:color="C9B6A6" w:sz="1"/>
              <w:left w:val="single" w:color="C9B6A6" w:sz="1"/>
              <w:bottom w:val="single" w:color="C9B6A6" w:sz="1"/>
              <w:right w:val="single" w:color="C9B6A6" w:sz="1"/>
            </w:tcBorders>
            <w:shd w:fill="5B3420" w:val="clear"/>
            <w:tcMar>
              <w:top w:type="dxa" w:w="80"/>
              <w:left w:type="dxa" w:w="120"/>
              <w:bottom w:type="dxa" w:w="80"/>
              <w:right w:type="dxa" w:w="120"/>
            </w:tcMar>
          </w:tcPr>
          <w:p>
            <w:r>
              <w:rPr>
                <w:b/>
                <w:bCs/>
                <w:color w:val="FFFFFF"/>
              </w:rPr>
              <w:t xml:space="preserve">Funcionalidade avaliada</w:t>
            </w:r>
          </w:p>
        </w:tc>
        <w:tc>
          <w:tcPr>
            <w:tcW w:type="dxa" w:w="1450"/>
            <w:tcBorders>
              <w:top w:val="single" w:color="C9B6A6" w:sz="1"/>
              <w:left w:val="single" w:color="C9B6A6" w:sz="1"/>
              <w:bottom w:val="single" w:color="C9B6A6" w:sz="1"/>
              <w:right w:val="single" w:color="C9B6A6" w:sz="1"/>
            </w:tcBorders>
            <w:shd w:fill="5B3420" w:val="clear"/>
            <w:tcMar>
              <w:top w:type="dxa" w:w="80"/>
              <w:left w:type="dxa" w:w="120"/>
              <w:bottom w:type="dxa" w:w="80"/>
              <w:right w:type="dxa" w:w="120"/>
            </w:tcMar>
          </w:tcPr>
          <w:p>
            <w:r>
              <w:rPr>
                <w:b/>
                <w:bCs/>
                <w:color w:val="FFFFFF"/>
              </w:rPr>
              <w:t xml:space="preserve">Nº de problemas</w:t>
            </w:r>
          </w:p>
        </w:tc>
        <w:tc>
          <w:tcPr>
            <w:tcW w:type="dxa" w:w="1450"/>
            <w:tcBorders>
              <w:top w:val="single" w:color="C9B6A6" w:sz="1"/>
              <w:left w:val="single" w:color="C9B6A6" w:sz="1"/>
              <w:bottom w:val="single" w:color="C9B6A6" w:sz="1"/>
              <w:right w:val="single" w:color="C9B6A6" w:sz="1"/>
            </w:tcBorders>
            <w:shd w:fill="5B3420" w:val="clear"/>
            <w:tcMar>
              <w:top w:type="dxa" w:w="80"/>
              <w:left w:type="dxa" w:w="120"/>
              <w:bottom w:type="dxa" w:w="80"/>
              <w:right w:type="dxa" w:w="120"/>
            </w:tcMar>
          </w:tcPr>
          <w:p>
            <w:r>
              <w:rPr>
                <w:b/>
                <w:bCs/>
                <w:color w:val="FFFFFF"/>
              </w:rPr>
              <w:t xml:space="preserve">Severidade média (0–4)</w:t>
            </w:r>
          </w:p>
        </w:tc>
        <w:tc>
          <w:tcPr>
            <w:tcW w:type="dxa" w:w="2926"/>
            <w:tcBorders>
              <w:top w:val="single" w:color="C9B6A6" w:sz="1"/>
              <w:left w:val="single" w:color="C9B6A6" w:sz="1"/>
              <w:bottom w:val="single" w:color="C9B6A6" w:sz="1"/>
              <w:right w:val="single" w:color="C9B6A6" w:sz="1"/>
            </w:tcBorders>
            <w:shd w:fill="5B3420" w:val="clear"/>
            <w:tcMar>
              <w:top w:type="dxa" w:w="80"/>
              <w:left w:type="dxa" w:w="120"/>
              <w:bottom w:type="dxa" w:w="80"/>
              <w:right w:type="dxa" w:w="120"/>
            </w:tcMar>
          </w:tcPr>
          <w:p>
            <w:r>
              <w:rPr>
                <w:b/>
                <w:bCs/>
                <w:color w:val="FFFFFF"/>
              </w:rPr>
              <w:t xml:space="preserve">Score de conformidade</w:t>
            </w:r>
          </w:p>
        </w:tc>
      </w:tr>
      <w:tr>
        <w:tc>
          <w:tcPr>
            <w:tcW w:type="dxa" w:w="320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Cadastro / Login</w:t>
            </w:r>
          </w:p>
        </w:tc>
        <w:tc>
          <w:tcPr>
            <w:tcW w:type="dxa" w:w="14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2</w:t>
            </w:r>
          </w:p>
        </w:tc>
        <w:tc>
          <w:tcPr>
            <w:tcW w:type="dxa" w:w="14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0,9</w:t>
            </w:r>
          </w:p>
        </w:tc>
        <w:tc>
          <w:tcPr>
            <w:tcW w:type="dxa" w:w="2926"/>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78%</w:t>
            </w:r>
          </w:p>
        </w:tc>
      </w:tr>
      <w:tr>
        <w:tc>
          <w:tcPr>
            <w:tcW w:type="dxa" w:w="320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Busca de produtos</w:t>
            </w:r>
          </w:p>
        </w:tc>
        <w:tc>
          <w:tcPr>
            <w:tcW w:type="dxa" w:w="14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2</w:t>
            </w:r>
          </w:p>
        </w:tc>
        <w:tc>
          <w:tcPr>
            <w:tcW w:type="dxa" w:w="14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1,0</w:t>
            </w:r>
          </w:p>
        </w:tc>
        <w:tc>
          <w:tcPr>
            <w:tcW w:type="dxa" w:w="2926"/>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75%</w:t>
            </w:r>
          </w:p>
        </w:tc>
      </w:tr>
      <w:tr>
        <w:tc>
          <w:tcPr>
            <w:tcW w:type="dxa" w:w="320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Compra (carrinho → checkout)</w:t>
            </w:r>
          </w:p>
        </w:tc>
        <w:tc>
          <w:tcPr>
            <w:tcW w:type="dxa" w:w="14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1</w:t>
            </w:r>
          </w:p>
        </w:tc>
        <w:tc>
          <w:tcPr>
            <w:tcW w:type="dxa" w:w="14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0,8</w:t>
            </w:r>
          </w:p>
        </w:tc>
        <w:tc>
          <w:tcPr>
            <w:tcW w:type="dxa" w:w="2926"/>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80%</w:t>
            </w:r>
          </w:p>
        </w:tc>
      </w:tr>
      <w:tr>
        <w:tc>
          <w:tcPr>
            <w:tcW w:type="dxa" w:w="320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Endereço e pagamento</w:t>
            </w:r>
          </w:p>
        </w:tc>
        <w:tc>
          <w:tcPr>
            <w:tcW w:type="dxa" w:w="14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2</w:t>
            </w:r>
          </w:p>
        </w:tc>
        <w:tc>
          <w:tcPr>
            <w:tcW w:type="dxa" w:w="14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1,1</w:t>
            </w:r>
          </w:p>
        </w:tc>
        <w:tc>
          <w:tcPr>
            <w:tcW w:type="dxa" w:w="2926"/>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73%</w:t>
            </w:r>
          </w:p>
        </w:tc>
      </w:tr>
      <w:tr>
        <w:tc>
          <w:tcPr>
            <w:tcW w:type="dxa" w:w="320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Navegação por categorias</w:t>
            </w:r>
          </w:p>
        </w:tc>
        <w:tc>
          <w:tcPr>
            <w:tcW w:type="dxa" w:w="14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1</w:t>
            </w:r>
          </w:p>
        </w:tc>
        <w:tc>
          <w:tcPr>
            <w:tcW w:type="dxa" w:w="14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0,7</w:t>
            </w:r>
          </w:p>
        </w:tc>
        <w:tc>
          <w:tcPr>
            <w:tcW w:type="dxa" w:w="2926"/>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83%</w:t>
            </w:r>
          </w:p>
        </w:tc>
      </w:tr>
      <w:tr>
        <w:tc>
          <w:tcPr>
            <w:tcW w:type="dxa" w:w="320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Favoritos</w:t>
            </w:r>
          </w:p>
        </w:tc>
        <w:tc>
          <w:tcPr>
            <w:tcW w:type="dxa" w:w="14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1</w:t>
            </w:r>
          </w:p>
        </w:tc>
        <w:tc>
          <w:tcPr>
            <w:tcW w:type="dxa" w:w="14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0,8</w:t>
            </w:r>
          </w:p>
        </w:tc>
        <w:tc>
          <w:tcPr>
            <w:tcW w:type="dxa" w:w="2926"/>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80%</w:t>
            </w:r>
          </w:p>
        </w:tc>
      </w:tr>
      <w:tr>
        <w:tc>
          <w:tcPr>
            <w:tcW w:type="dxa" w:w="320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Perfil e pedidos</w:t>
            </w:r>
          </w:p>
        </w:tc>
        <w:tc>
          <w:tcPr>
            <w:tcW w:type="dxa" w:w="14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1</w:t>
            </w:r>
          </w:p>
        </w:tc>
        <w:tc>
          <w:tcPr>
            <w:tcW w:type="dxa" w:w="14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0,6</w:t>
            </w:r>
          </w:p>
        </w:tc>
        <w:tc>
          <w:tcPr>
            <w:tcW w:type="dxa" w:w="2926"/>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85%</w:t>
            </w:r>
          </w:p>
        </w:tc>
      </w:tr>
      <w:tr>
        <w:tc>
          <w:tcPr>
            <w:tcW w:type="dxa" w:w="3200"/>
            <w:tcBorders>
              <w:top w:val="single" w:color="C9B6A6" w:sz="1"/>
              <w:left w:val="single" w:color="C9B6A6" w:sz="1"/>
              <w:bottom w:val="single" w:color="C9B6A6" w:sz="1"/>
              <w:right w:val="single" w:color="C9B6A6" w:sz="1"/>
            </w:tcBorders>
            <w:shd w:fill="F0E5D8" w:val="clear"/>
            <w:tcMar>
              <w:top w:type="dxa" w:w="70"/>
              <w:left w:type="dxa" w:w="120"/>
              <w:bottom w:type="dxa" w:w="70"/>
              <w:right w:type="dxa" w:w="120"/>
            </w:tcMar>
          </w:tcPr>
          <w:p>
            <w:pPr>
              <w:jc w:val="left"/>
            </w:pPr>
            <w:r>
              <w:rPr>
                <w:b/>
                <w:bCs/>
              </w:rPr>
              <w:t xml:space="preserve">Score geral consolidado</w:t>
            </w:r>
          </w:p>
        </w:tc>
        <w:tc>
          <w:tcPr>
            <w:tcW w:type="dxa" w:w="1450"/>
            <w:tcBorders>
              <w:top w:val="single" w:color="C9B6A6" w:sz="1"/>
              <w:left w:val="single" w:color="C9B6A6" w:sz="1"/>
              <w:bottom w:val="single" w:color="C9B6A6" w:sz="1"/>
              <w:right w:val="single" w:color="C9B6A6" w:sz="1"/>
            </w:tcBorders>
            <w:shd w:fill="F0E5D8" w:val="clear"/>
            <w:tcMar>
              <w:top w:type="dxa" w:w="70"/>
              <w:left w:type="dxa" w:w="120"/>
              <w:bottom w:type="dxa" w:w="70"/>
              <w:right w:type="dxa" w:w="120"/>
            </w:tcMar>
          </w:tcPr>
          <w:p>
            <w:pPr>
              <w:jc w:val="center"/>
            </w:pPr>
            <w:r>
              <w:rPr>
                <w:b/>
                <w:bCs/>
              </w:rPr>
              <w:t xml:space="preserve">11</w:t>
            </w:r>
          </w:p>
        </w:tc>
        <w:tc>
          <w:tcPr>
            <w:tcW w:type="dxa" w:w="1450"/>
            <w:tcBorders>
              <w:top w:val="single" w:color="C9B6A6" w:sz="1"/>
              <w:left w:val="single" w:color="C9B6A6" w:sz="1"/>
              <w:bottom w:val="single" w:color="C9B6A6" w:sz="1"/>
              <w:right w:val="single" w:color="C9B6A6" w:sz="1"/>
            </w:tcBorders>
            <w:shd w:fill="F0E5D8" w:val="clear"/>
            <w:tcMar>
              <w:top w:type="dxa" w:w="70"/>
              <w:left w:type="dxa" w:w="120"/>
              <w:bottom w:type="dxa" w:w="70"/>
              <w:right w:type="dxa" w:w="120"/>
            </w:tcMar>
          </w:tcPr>
          <w:p>
            <w:pPr>
              <w:jc w:val="center"/>
            </w:pPr>
            <w:r>
              <w:rPr>
                <w:b/>
                <w:bCs/>
              </w:rPr>
              <w:t xml:space="preserve">0,84</w:t>
            </w:r>
          </w:p>
        </w:tc>
        <w:tc>
          <w:tcPr>
            <w:tcW w:type="dxa" w:w="2926"/>
            <w:tcBorders>
              <w:top w:val="single" w:color="C9B6A6" w:sz="1"/>
              <w:left w:val="single" w:color="C9B6A6" w:sz="1"/>
              <w:bottom w:val="single" w:color="C9B6A6" w:sz="1"/>
              <w:right w:val="single" w:color="C9B6A6" w:sz="1"/>
            </w:tcBorders>
            <w:shd w:fill="F0E5D8" w:val="clear"/>
            <w:tcMar>
              <w:top w:type="dxa" w:w="70"/>
              <w:left w:type="dxa" w:w="120"/>
              <w:bottom w:type="dxa" w:w="70"/>
              <w:right w:type="dxa" w:w="120"/>
            </w:tcMar>
          </w:tcPr>
          <w:p>
            <w:pPr>
              <w:jc w:val="center"/>
            </w:pPr>
            <w:r>
              <w:rPr>
                <w:b/>
                <w:bCs/>
              </w:rPr>
              <w:t xml:space="preserve">79%</w:t>
            </w:r>
          </w:p>
        </w:tc>
      </w:tr>
    </w:tbl>
    <w:p>
      <w:pPr>
        <w:spacing w:after="80" w:line="276"/>
        <w:jc w:val="both"/>
      </w:pPr>
      <w:r>
        <w:t xml:space="preserve">O </w:t>
      </w:r>
      <w:r>
        <w:rPr>
          <w:b/>
          <w:bCs/>
        </w:rPr>
        <w:t xml:space="preserve">score geral consolidado foi de 79%</w:t>
      </w:r>
      <w:r>
        <w:t xml:space="preserve">, acima do mínimo de 70% exigido. As funcionalidades com maior severidade — busca, endereço/pagamento e login — concentraram as correções prioritárias descritas a seguir.</w:t>
      </w:r>
    </w:p>
    <w:p>
      <w:pPr>
        <w:pStyle w:val="Heading1"/>
        <w:spacing w:after="140" w:before="260"/>
      </w:pPr>
      <w:r>
        <w:t xml:space="preserve">5. Menções negativas (problemas encontrados)</w:t>
      </w:r>
    </w:p>
    <w:p>
      <w:pPr>
        <w:spacing w:after="120" w:line="276"/>
        <w:jc w:val="both"/>
      </w:pPr>
      <w:r>
        <w:t xml:space="preserve">Os principais problemas identificados na avaliação heurística, a heurística violada por cada um, a severidade consolidada e a correção aplicada nesta unidade estão sintetizados abaixo: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50"/>
        <w:gridCol w:w="2550"/>
        <w:gridCol w:w="1100"/>
        <w:gridCol w:w="2626"/>
      </w:tblGrid>
      <w:tr>
        <w:trPr>
          <w:tblHeader/>
        </w:trPr>
        <w:tc>
          <w:tcPr>
            <w:tcW w:type="dxa" w:w="2750"/>
            <w:tcBorders>
              <w:top w:val="single" w:color="C9B6A6" w:sz="1"/>
              <w:left w:val="single" w:color="C9B6A6" w:sz="1"/>
              <w:bottom w:val="single" w:color="C9B6A6" w:sz="1"/>
              <w:right w:val="single" w:color="C9B6A6" w:sz="1"/>
            </w:tcBorders>
            <w:shd w:fill="5B3420" w:val="clear"/>
            <w:tcMar>
              <w:top w:type="dxa" w:w="80"/>
              <w:left w:type="dxa" w:w="120"/>
              <w:bottom w:type="dxa" w:w="80"/>
              <w:right w:type="dxa" w:w="120"/>
            </w:tcMar>
          </w:tcPr>
          <w:p>
            <w:r>
              <w:rPr>
                <w:b/>
                <w:bCs/>
                <w:color w:val="FFFFFF"/>
              </w:rPr>
              <w:t xml:space="preserve">Problema encontrado</w:t>
            </w:r>
          </w:p>
        </w:tc>
        <w:tc>
          <w:tcPr>
            <w:tcW w:type="dxa" w:w="2550"/>
            <w:tcBorders>
              <w:top w:val="single" w:color="C9B6A6" w:sz="1"/>
              <w:left w:val="single" w:color="C9B6A6" w:sz="1"/>
              <w:bottom w:val="single" w:color="C9B6A6" w:sz="1"/>
              <w:right w:val="single" w:color="C9B6A6" w:sz="1"/>
            </w:tcBorders>
            <w:shd w:fill="5B3420" w:val="clear"/>
            <w:tcMar>
              <w:top w:type="dxa" w:w="80"/>
              <w:left w:type="dxa" w:w="120"/>
              <w:bottom w:type="dxa" w:w="80"/>
              <w:right w:type="dxa" w:w="120"/>
            </w:tcMar>
          </w:tcPr>
          <w:p>
            <w:r>
              <w:rPr>
                <w:b/>
                <w:bCs/>
                <w:color w:val="FFFFFF"/>
              </w:rPr>
              <w:t xml:space="preserve">Heurística violada (Nielsen)</w:t>
            </w:r>
          </w:p>
        </w:tc>
        <w:tc>
          <w:tcPr>
            <w:tcW w:type="dxa" w:w="1100"/>
            <w:tcBorders>
              <w:top w:val="single" w:color="C9B6A6" w:sz="1"/>
              <w:left w:val="single" w:color="C9B6A6" w:sz="1"/>
              <w:bottom w:val="single" w:color="C9B6A6" w:sz="1"/>
              <w:right w:val="single" w:color="C9B6A6" w:sz="1"/>
            </w:tcBorders>
            <w:shd w:fill="5B3420" w:val="clear"/>
            <w:tcMar>
              <w:top w:type="dxa" w:w="80"/>
              <w:left w:type="dxa" w:w="120"/>
              <w:bottom w:type="dxa" w:w="80"/>
              <w:right w:type="dxa" w:w="120"/>
            </w:tcMar>
          </w:tcPr>
          <w:p>
            <w:r>
              <w:rPr>
                <w:b/>
                <w:bCs/>
                <w:color w:val="FFFFFF"/>
              </w:rPr>
              <w:t xml:space="preserve">Sev.</w:t>
            </w:r>
          </w:p>
        </w:tc>
        <w:tc>
          <w:tcPr>
            <w:tcW w:type="dxa" w:w="2626"/>
            <w:tcBorders>
              <w:top w:val="single" w:color="C9B6A6" w:sz="1"/>
              <w:left w:val="single" w:color="C9B6A6" w:sz="1"/>
              <w:bottom w:val="single" w:color="C9B6A6" w:sz="1"/>
              <w:right w:val="single" w:color="C9B6A6" w:sz="1"/>
            </w:tcBorders>
            <w:shd w:fill="5B3420" w:val="clear"/>
            <w:tcMar>
              <w:top w:type="dxa" w:w="80"/>
              <w:left w:type="dxa" w:w="120"/>
              <w:bottom w:type="dxa" w:w="80"/>
              <w:right w:type="dxa" w:w="120"/>
            </w:tcMar>
          </w:tcPr>
          <w:p>
            <w:r>
              <w:rPr>
                <w:b/>
                <w:bCs/>
                <w:color w:val="FFFFFF"/>
              </w:rPr>
              <w:t xml:space="preserve">Correção aplicada na Unidade 2</w:t>
            </w:r>
          </w:p>
        </w:tc>
      </w:tr>
      <w:tr>
        <w:tc>
          <w:tcPr>
            <w:tcW w:type="dxa" w:w="27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Barra de busca pouco evidente e que exigia o nome completo do item</w:t>
            </w:r>
          </w:p>
        </w:tc>
        <w:tc>
          <w:tcPr>
            <w:tcW w:type="dxa" w:w="25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H6 — Reconhecer em vez de lembrar; H7 — Flexibilidade e eficiência</w:t>
            </w:r>
          </w:p>
        </w:tc>
        <w:tc>
          <w:tcPr>
            <w:tcW w:type="dxa" w:w="110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2</w:t>
            </w:r>
          </w:p>
        </w:tc>
        <w:tc>
          <w:tcPr>
            <w:tcW w:type="dxa" w:w="2626"/>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Busca reescrita como combobox acessível: sugestões a partir do 1º caractere, navegação por teclado, estado “sem resultados” e chips de categoria.</w:t>
            </w:r>
          </w:p>
        </w:tc>
      </w:tr>
      <w:tr>
        <w:tc>
          <w:tcPr>
            <w:tcW w:type="dxa" w:w="27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Carrinho sem indicação da quantidade de itens</w:t>
            </w:r>
          </w:p>
        </w:tc>
        <w:tc>
          <w:tcPr>
            <w:tcW w:type="dxa" w:w="25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H1 — Visibilidade do status do sistema</w:t>
            </w:r>
          </w:p>
        </w:tc>
        <w:tc>
          <w:tcPr>
            <w:tcW w:type="dxa" w:w="110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1</w:t>
            </w:r>
          </w:p>
        </w:tc>
        <w:tc>
          <w:tcPr>
            <w:tcW w:type="dxa" w:w="2626"/>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Badge numérico no link “Carrinho” e rótulo “No carrinho (n)” nos botões.</w:t>
            </w:r>
          </w:p>
        </w:tc>
      </w:tr>
      <w:tr>
        <w:tc>
          <w:tcPr>
            <w:tcW w:type="dxa" w:w="27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Remoção de item do carrinho sem como desfazer</w:t>
            </w:r>
          </w:p>
        </w:tc>
        <w:tc>
          <w:tcPr>
            <w:tcW w:type="dxa" w:w="25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H3 — Controle e liberdade do usuário</w:t>
            </w:r>
          </w:p>
        </w:tc>
        <w:tc>
          <w:tcPr>
            <w:tcW w:type="dxa" w:w="110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2</w:t>
            </w:r>
          </w:p>
        </w:tc>
        <w:tc>
          <w:tcPr>
            <w:tcW w:type="dxa" w:w="2626"/>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Banner “Desfazer” que restaura o item removido.</w:t>
            </w:r>
          </w:p>
        </w:tc>
      </w:tr>
      <w:tr>
        <w:tc>
          <w:tcPr>
            <w:tcW w:type="dxa" w:w="27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Erro de login genérico e sem direcionar o foco</w:t>
            </w:r>
          </w:p>
        </w:tc>
        <w:tc>
          <w:tcPr>
            <w:tcW w:type="dxa" w:w="25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H9 — Ajudar a reconhecer e recuperar de erros</w:t>
            </w:r>
          </w:p>
        </w:tc>
        <w:tc>
          <w:tcPr>
            <w:tcW w:type="dxa" w:w="110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2</w:t>
            </w:r>
          </w:p>
        </w:tc>
        <w:tc>
          <w:tcPr>
            <w:tcW w:type="dxa" w:w="2626"/>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Mensagem específica em região aria-live, campos com aria-invalid e foco no primeiro campo com erro.</w:t>
            </w:r>
          </w:p>
        </w:tc>
      </w:tr>
      <w:tr>
        <w:tc>
          <w:tcPr>
            <w:tcW w:type="dxa" w:w="27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Estado de carregamento pouco perceptível</w:t>
            </w:r>
          </w:p>
        </w:tc>
        <w:tc>
          <w:tcPr>
            <w:tcW w:type="dxa" w:w="25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H1 — Visibilidade do status do sistema</w:t>
            </w:r>
          </w:p>
        </w:tc>
        <w:tc>
          <w:tcPr>
            <w:tcW w:type="dxa" w:w="110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1</w:t>
            </w:r>
          </w:p>
        </w:tc>
        <w:tc>
          <w:tcPr>
            <w:tcW w:type="dxa" w:w="2626"/>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Skeleton com aria-busy ao listar e trocar de categoria.</w:t>
            </w:r>
          </w:p>
        </w:tc>
      </w:tr>
      <w:tr>
        <w:tc>
          <w:tcPr>
            <w:tcW w:type="dxa" w:w="27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Campos de pagamento exigidos fora da forma escolhida</w:t>
            </w:r>
          </w:p>
        </w:tc>
        <w:tc>
          <w:tcPr>
            <w:tcW w:type="dxa" w:w="25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H5 — Prevenção de erros</w:t>
            </w:r>
          </w:p>
        </w:tc>
        <w:tc>
          <w:tcPr>
            <w:tcW w:type="dxa" w:w="110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2</w:t>
            </w:r>
          </w:p>
        </w:tc>
        <w:tc>
          <w:tcPr>
            <w:tcW w:type="dxa" w:w="2626"/>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Obrigatoriedade condicional por forma de pagamento e validação antes de confirmar.</w:t>
            </w:r>
          </w:p>
        </w:tc>
      </w:tr>
      <w:tr>
        <w:tc>
          <w:tcPr>
            <w:tcW w:type="dxa" w:w="27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Listas vazias sem orientação (carrinho, favoritos, pedidos)</w:t>
            </w:r>
          </w:p>
        </w:tc>
        <w:tc>
          <w:tcPr>
            <w:tcW w:type="dxa" w:w="255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H10 — Ajuda e documentação</w:t>
            </w:r>
          </w:p>
        </w:tc>
        <w:tc>
          <w:tcPr>
            <w:tcW w:type="dxa" w:w="1100"/>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center"/>
            </w:pPr>
            <w:r>
              <w:rPr>
                <w:b w:val="false"/>
                <w:bCs w:val="false"/>
              </w:rPr>
              <w:t xml:space="preserve">1</w:t>
            </w:r>
          </w:p>
        </w:tc>
        <w:tc>
          <w:tcPr>
            <w:tcW w:type="dxa" w:w="2626"/>
            <w:tcBorders>
              <w:top w:val="single" w:color="C9B6A6" w:sz="1"/>
              <w:left w:val="single" w:color="C9B6A6" w:sz="1"/>
              <w:bottom w:val="single" w:color="C9B6A6" w:sz="1"/>
              <w:right w:val="single" w:color="C9B6A6" w:sz="1"/>
            </w:tcBorders>
            <w:tcMar>
              <w:top w:type="dxa" w:w="70"/>
              <w:left w:type="dxa" w:w="120"/>
              <w:bottom w:type="dxa" w:w="70"/>
              <w:right w:type="dxa" w:w="120"/>
            </w:tcMar>
          </w:tcPr>
          <w:p>
            <w:pPr>
              <w:jc w:val="left"/>
            </w:pPr>
            <w:r>
              <w:rPr>
                <w:b w:val="false"/>
                <w:bCs w:val="false"/>
              </w:rPr>
              <w:t xml:space="preserve">Estados vazios com texto explicativo e chamada para ação.</w:t>
            </w:r>
          </w:p>
        </w:tc>
      </w:tr>
    </w:tbl>
    <w:p>
      <w:pPr>
        <w:pStyle w:val="Heading1"/>
        <w:spacing w:after="140" w:before="260"/>
      </w:pPr>
      <w:r>
        <w:t xml:space="preserve">6. Menções positivas (boas práticas)</w:t>
      </w:r>
    </w:p>
    <w:p>
      <w:pPr>
        <w:spacing w:after="120" w:line="276"/>
        <w:jc w:val="both"/>
      </w:pPr>
      <w:r>
        <w:t xml:space="preserve">A avaliação também reconheceu pontos fortes mantidos e reforçados na Unidade 2:</w:t>
      </w:r>
    </w:p>
    <w:p>
      <w:pPr>
        <w:pStyle w:val="ListParagraph"/>
        <w:numPr>
          <w:ilvl w:val="0"/>
          <w:numId w:val="2"/>
        </w:numPr>
        <w:spacing w:after="70" w:line="270"/>
        <w:jc w:val="both"/>
      </w:pPr>
      <w:r>
        <w:t xml:space="preserve">Fluxo de compra curto e direto (entrar → buscar → produto → carrinho → finalizar), confirmado pelos tempos do teste de usabilidade da Unidade 1 (H7);</w:t>
      </w:r>
    </w:p>
    <w:p>
      <w:pPr>
        <w:pStyle w:val="ListParagraph"/>
        <w:numPr>
          <w:ilvl w:val="0"/>
          <w:numId w:val="2"/>
        </w:numPr>
        <w:spacing w:after="70" w:line="270"/>
        <w:jc w:val="both"/>
      </w:pPr>
      <w:r>
        <w:t xml:space="preserve">Feedback imediato e consistente das ações por meio de notificações (toasts) e do destaque dos botões (H1);</w:t>
      </w:r>
    </w:p>
    <w:p>
      <w:pPr>
        <w:pStyle w:val="ListParagraph"/>
        <w:numPr>
          <w:ilvl w:val="0"/>
          <w:numId w:val="2"/>
        </w:numPr>
        <w:spacing w:after="70" w:line="270"/>
        <w:jc w:val="both"/>
      </w:pPr>
      <w:r>
        <w:t xml:space="preserve">Consistência visual e funcional entre as telas, agora reforçada por componentes reutilizáveis como cabeçalho, cartão de produto e botões (H4);</w:t>
      </w:r>
    </w:p>
    <w:p>
      <w:pPr>
        <w:pStyle w:val="ListParagraph"/>
        <w:numPr>
          <w:ilvl w:val="0"/>
          <w:numId w:val="2"/>
        </w:numPr>
        <w:spacing w:after="70" w:line="270"/>
        <w:jc w:val="both"/>
      </w:pPr>
      <w:r>
        <w:t xml:space="preserve">Affordances claras: botões evidentes, cartões clicáveis e campos sempre rotulados (referência a Don Norman);</w:t>
      </w:r>
    </w:p>
    <w:p>
      <w:pPr>
        <w:pStyle w:val="ListParagraph"/>
        <w:numPr>
          <w:ilvl w:val="0"/>
          <w:numId w:val="2"/>
        </w:numPr>
        <w:spacing w:after="70" w:line="270"/>
        <w:jc w:val="both"/>
      </w:pPr>
      <w:r>
        <w:t xml:space="preserve">Hierarquia visual organizada e identidade enxuta, sem poluição de informação (H8).</w:t>
      </w:r>
    </w:p>
    <w:p>
      <w:pPr>
        <w:pStyle w:val="Heading1"/>
        <w:spacing w:after="140" w:before="260"/>
      </w:pPr>
      <w:r>
        <w:t xml:space="preserve">7. Aplicação de acessibilidade digital</w:t>
      </w:r>
    </w:p>
    <w:p>
      <w:pPr>
        <w:spacing w:after="120" w:line="276"/>
        <w:jc w:val="both"/>
      </w:pPr>
      <w:r>
        <w:t xml:space="preserve">Foram aplicadas mais de três melhorias de acessibilidade, fundamentadas nas diretrizes WCAG 2.1 (nível AA) do W3C:</w:t>
      </w:r>
    </w:p>
    <w:p>
      <w:pPr>
        <w:pStyle w:val="ListParagraph"/>
        <w:numPr>
          <w:ilvl w:val="0"/>
          <w:numId w:val="2"/>
        </w:numPr>
        <w:spacing w:after="70" w:line="270"/>
        <w:jc w:val="both"/>
      </w:pPr>
      <w:r>
        <w:rPr>
          <w:b/>
          <w:bCs/>
        </w:rPr>
        <w:t xml:space="preserve">Navegação completa por teclado com foco visível </w:t>
      </w:r>
      <w:r>
        <w:t xml:space="preserve">em todos os elementos interativos, incluindo a busca, navegável por setas, Enter e Esc (WCAG 2.1.1 e 2.4.7);</w:t>
      </w:r>
    </w:p>
    <w:p>
      <w:pPr>
        <w:pStyle w:val="ListParagraph"/>
        <w:numPr>
          <w:ilvl w:val="0"/>
          <w:numId w:val="2"/>
        </w:numPr>
        <w:spacing w:after="70" w:line="270"/>
        <w:jc w:val="both"/>
      </w:pPr>
      <w:r>
        <w:rPr>
          <w:b/>
          <w:bCs/>
        </w:rPr>
        <w:t xml:space="preserve">Skip link, landmarks semânticos e indicação da página atual </w:t>
      </w:r>
      <w:r>
        <w:t xml:space="preserve">(cabeçalho, main, rodapé, nav com aria-current), permitindo pular direto ao conteúdo (WCAG 2.4.1 e 1.3.1);</w:t>
      </w:r>
    </w:p>
    <w:p>
      <w:pPr>
        <w:pStyle w:val="ListParagraph"/>
        <w:numPr>
          <w:ilvl w:val="0"/>
          <w:numId w:val="2"/>
        </w:numPr>
        <w:spacing w:after="70" w:line="270"/>
        <w:jc w:val="both"/>
      </w:pPr>
      <w:r>
        <w:rPr>
          <w:b/>
          <w:bCs/>
        </w:rPr>
        <w:t xml:space="preserve">Contraste de cores ajustado para AA </w:t>
      </w:r>
      <w:r>
        <w:t xml:space="preserve">no texto secundário, tanto no tema claro quanto no escuro (WCAG 1.4.3);</w:t>
      </w:r>
    </w:p>
    <w:p>
      <w:pPr>
        <w:pStyle w:val="ListParagraph"/>
        <w:numPr>
          <w:ilvl w:val="0"/>
          <w:numId w:val="2"/>
        </w:numPr>
        <w:spacing w:after="70" w:line="270"/>
        <w:jc w:val="both"/>
      </w:pPr>
      <w:r>
        <w:rPr>
          <w:b/>
          <w:bCs/>
        </w:rPr>
        <w:t xml:space="preserve">Respeito à preferência de movimento reduzido </w:t>
      </w:r>
      <w:r>
        <w:t xml:space="preserve">(prefers-reduced-motion): as animações da biblioteca Motion são desativadas para quem configura essa opção no sistema (WCAG 2.3.3);</w:t>
      </w:r>
    </w:p>
    <w:p>
      <w:pPr>
        <w:pStyle w:val="ListParagraph"/>
        <w:numPr>
          <w:ilvl w:val="0"/>
          <w:numId w:val="2"/>
        </w:numPr>
        <w:spacing w:after="70" w:line="270"/>
        <w:jc w:val="both"/>
      </w:pPr>
      <w:r>
        <w:rPr>
          <w:b/>
          <w:bCs/>
        </w:rPr>
        <w:t xml:space="preserve">Erros de formulário acessíveis: </w:t>
      </w:r>
      <w:r>
        <w:t xml:space="preserve">campos marcados com aria-invalid, mensagens associadas via aria-describedby, foco movido ao primeiro campo com erro e feedback anunciado em região aria-live (WCAG 3.3.1 e 3.3.3);</w:t>
      </w:r>
    </w:p>
    <w:p>
      <w:pPr>
        <w:pStyle w:val="ListParagraph"/>
        <w:numPr>
          <w:ilvl w:val="0"/>
          <w:numId w:val="2"/>
        </w:numPr>
        <w:spacing w:after="70" w:line="270"/>
        <w:jc w:val="both"/>
      </w:pPr>
      <w:r>
        <w:rPr>
          <w:b/>
          <w:bCs/>
        </w:rPr>
        <w:t xml:space="preserve">Busca como combobox ARIA e feedback em regiões aria-live </w:t>
      </w:r>
      <w:r>
        <w:t xml:space="preserve">(aria-expanded, aria-controls e aria-activedescendant), além de alvos de toque de no mínimo 44 × 44 px e títulos de página por rota (WCAG 4.1.2, 4.1.3, 2.5.5 e 2.4.2).</w:t>
      </w:r>
    </w:p>
    <w:p>
      <w:pPr>
        <w:spacing w:after="120" w:line="276"/>
        <w:jc w:val="both"/>
      </w:pPr>
      <w:r>
        <w:t xml:space="preserve">Essas decisões não são estéticas: elas ampliam o alcance da interface para pessoas que navegam por teclado, usam leitores de tela ou têm sensibilidade a movimento, melhorando a qualidade de uso de forma mensurável.</w:t>
      </w:r>
    </w:p>
    <w:p>
      <w:pPr>
        <w:pStyle w:val="Heading1"/>
        <w:spacing w:after="140" w:before="260"/>
      </w:pPr>
      <w:r>
        <w:t xml:space="preserve">8. Validação com usuários</w:t>
      </w:r>
    </w:p>
    <w:p>
      <w:pPr>
        <w:spacing w:after="120" w:line="276"/>
        <w:jc w:val="both"/>
      </w:pPr>
      <w:r>
        <w:rPr>
          <w:b/>
          <w:bCs/>
        </w:rPr>
        <w:t xml:space="preserve">Método. </w:t>
      </w:r>
      <w:r>
        <w:t xml:space="preserve">A validação utilizou teste de usabilidade por tarefa, com observação do tempo de execução, do número de erros e da conclusão, seguido de um formulário de satisfação (escala de 0 a 5). A tarefa proposta foi: “encontrar um item colecionável e adicioná-lo ao carrinho”. Participaram 2 usuários do público-alvo na rodada da Unidade 1 [CONFIRMAR se a amostra foi ampliada na Unidade 2].</w:t>
      </w:r>
    </w:p>
    <w:p>
      <w:pPr>
        <w:spacing w:after="120" w:line="276"/>
        <w:jc w:val="both"/>
      </w:pPr>
      <w:r>
        <w:t xml:space="preserve">Resultados coletados (Unidade 1) [CONFIRMAR números finais com o registro da equipe]:</w:t>
      </w:r>
    </w:p>
    <w:p>
      <w:pPr>
        <w:pStyle w:val="ListParagraph"/>
        <w:numPr>
          <w:ilvl w:val="0"/>
          <w:numId w:val="2"/>
        </w:numPr>
        <w:spacing w:after="70" w:line="270"/>
        <w:jc w:val="both"/>
      </w:pPr>
      <w:r>
        <w:t xml:space="preserve">Participante 1 — tempo 03:04; erros: 5; concluiu a tarefa: sim; satisfação: 3,5/5;</w:t>
      </w:r>
    </w:p>
    <w:p>
      <w:pPr>
        <w:pStyle w:val="ListParagraph"/>
        <w:numPr>
          <w:ilvl w:val="0"/>
          <w:numId w:val="2"/>
        </w:numPr>
        <w:spacing w:after="70" w:line="270"/>
        <w:jc w:val="both"/>
      </w:pPr>
      <w:r>
        <w:t xml:space="preserve">Participante 2 — tempo 01:52; erros: 5; concluiu a tarefa: sim; satisfação: 4,75/5.</w:t>
      </w:r>
    </w:p>
    <w:p>
      <w:pPr>
        <w:spacing w:after="120" w:line="276"/>
        <w:jc w:val="both"/>
      </w:pPr>
      <w:r>
        <w:t xml:space="preserve">Os relatos qualitativos apontaram, de forma consistente: dificuldade inicial em localizar produtos específicos, necessidade de digitar o nome completo do item para obter resultados e leve demora em identificar a barra de pesquisa. Como pontos positivos, os participantes citaram a simplicidade da interface, o fluxo de compra direto e a clareza do feedback ao adicionar itens ao carrinho.</w:t>
      </w:r>
    </w:p>
    <w:p>
      <w:pPr>
        <w:pStyle w:val="Heading1"/>
        <w:spacing w:after="140" w:before="260"/>
      </w:pPr>
      <w:r>
        <w:t xml:space="preserve">9. Análise dos dados coletados</w:t>
      </w:r>
    </w:p>
    <w:p>
      <w:pPr>
        <w:spacing w:after="120" w:line="276"/>
        <w:jc w:val="both"/>
      </w:pPr>
      <w:r>
        <w:t xml:space="preserve">Cruzando os dados de validação com a avaliação heurística, fica evidente que o principal ponto de atrito não estava na conclusão da tarefa (ambos os participantes concluíram), mas na etapa de descoberta do produto. Os erros e a maior parte do tempo concentraram-se na busca, o que é coerente com os problemas de severidade 2 mapeados nas heurísticas H6 (reconhecer em vez de lembrar) e H7 (flexibilidade e eficiência).</w:t>
      </w:r>
    </w:p>
    <w:p>
      <w:pPr>
        <w:spacing w:after="120" w:line="276"/>
        <w:jc w:val="both"/>
      </w:pPr>
      <w:r>
        <w:t xml:space="preserve">A diferença de satisfação entre os participantes (3,5 contra 4,75) reforça que pequenas fricções na busca e na orientação impactam diretamente a percepção de qualidade. Por isso, a iteração desta unidade priorizou tornar a descoberta mais rápida, evidente e acessível, além de melhorar o feedback dos estados do sistema.</w:t>
      </w:r>
    </w:p>
    <w:p>
      <w:pPr>
        <w:pStyle w:val="Heading1"/>
        <w:spacing w:after="140" w:before="260"/>
      </w:pPr>
      <w:r>
        <w:t xml:space="preserve">10. Iteração e melhoria implementada</w:t>
      </w:r>
    </w:p>
    <w:p>
      <w:pPr>
        <w:spacing w:after="120" w:line="276"/>
        <w:jc w:val="both"/>
      </w:pPr>
      <w:r>
        <w:rPr>
          <w:b/>
          <w:bCs/>
        </w:rPr>
        <w:t xml:space="preserve">Qual problema foi identificado. </w:t>
      </w:r>
      <w:r>
        <w:t xml:space="preserve">A busca era pouco evidente e exigia que o usuário digitasse o nome completo do item, aumentando o esforço e o tempo de descoberta (dados da validação e severidade 2 na avaliação heurística).</w:t>
      </w:r>
    </w:p>
    <w:p>
      <w:pPr>
        <w:spacing w:after="120" w:line="276"/>
        <w:jc w:val="both"/>
      </w:pPr>
      <w:r>
        <w:rPr>
          <w:b/>
          <w:bCs/>
        </w:rPr>
        <w:t xml:space="preserve">Qual mudança foi realizada. </w:t>
      </w:r>
      <w:r>
        <w:t xml:space="preserve">A busca foi transformada em um combobox acessível, que exibe sugestões já a partir do primeiro caractere, é totalmente navegável por teclado (setas, Enter e Esc) e apresenta um estado claro de “nenhum resultado encontrado”. Nas páginas de categoria foram adicionados chips de navegação e um filtro local, e a descoberta passou a contar com migalhas de pão (breadcrumb).</w:t>
      </w:r>
    </w:p>
    <w:p>
      <w:pPr>
        <w:spacing w:after="120" w:line="276"/>
        <w:jc w:val="both"/>
      </w:pPr>
      <w:r>
        <w:rPr>
          <w:b/>
          <w:bCs/>
        </w:rPr>
        <w:t xml:space="preserve">Por que a mudança melhora a interface. </w:t>
      </w:r>
      <w:r>
        <w:t xml:space="preserve">A solução reduz o esforço cognitivo ao favorecer o reconhecimento em vez da memorização (Nielsen, H6), aumenta a eficiência da tarefa (H7) e torna a descoberta acessível por teclado e leitores de tela (WCAG 4.1.2). Como melhorias adicionais orientadas pelos dados, foram implementados o “Desfazer” na remoção de itens do carrinho (H3) e estados de carregamento, erro e sucesso mais perceptíveis e acessíveis (H1 e H9).</w:t>
      </w:r>
    </w:p>
    <w:p>
      <w:pPr>
        <w:pStyle w:val="Heading1"/>
        <w:spacing w:after="140" w:before="260"/>
      </w:pPr>
      <w:r>
        <w:t xml:space="preserve">11. Considerações finais</w:t>
      </w:r>
    </w:p>
    <w:p>
      <w:pPr>
        <w:spacing w:after="120" w:line="276"/>
        <w:jc w:val="both"/>
      </w:pPr>
      <w:r>
        <w:t xml:space="preserve">A Unidade 2 evoluiu o RELIC de um protótipo funcional para uma interface mais inclusiva, robusta e fundamentada em dados. A combinação entre avaliação heurística (score geral de 79%, acima do mínimo exigido), aplicação de acessibilidade digital com base na WCAG 2.1 AA e validação com usuários permitiu transformar achados em melhorias concretas e justificadas tecnicamente.</w:t>
      </w:r>
    </w:p>
    <w:p>
      <w:pPr>
        <w:spacing w:after="120" w:line="276"/>
        <w:jc w:val="both"/>
      </w:pPr>
      <w:r>
        <w:t xml:space="preserve">Como limitações, destacam-se o número reduzido de participantes na validação e o fato de ainda se tratar de um protótipo. Como trabalhos futuros, sugere-se ampliar a amostra de usuários, executar uma auditoria automatizada de acessibilidade (por exemplo, axe ou Lighthouse) e realizar uma nova rodada de testes para medir a redução de tempo e de erros na etapa de busca após as mudanças.</w:t>
      </w:r>
    </w:p>
    <w:p>
      <w:pPr>
        <w:pStyle w:val="Heading1"/>
        <w:spacing w:after="140" w:before="260"/>
      </w:pPr>
      <w:r>
        <w:t xml:space="preserve">12. Referências</w:t>
      </w:r>
    </w:p>
    <w:p>
      <w:pPr>
        <w:spacing w:after="60" w:line="276"/>
        <w:jc w:val="both"/>
      </w:pPr>
      <w:r>
        <w:t xml:space="preserve">NIELSEN, Jakob. Usability Engineering. San Francisco: Morgan Kaufmann, 1993.</w:t>
      </w:r>
    </w:p>
    <w:p>
      <w:pPr>
        <w:spacing w:after="60" w:line="276"/>
        <w:jc w:val="both"/>
      </w:pPr>
      <w:r>
        <w:t xml:space="preserve">NIELSEN, Jakob. 10 Usability Heuristics for User Interface Design. Nielsen Norman Group, 1994 (atualizado em 2020).</w:t>
      </w:r>
    </w:p>
    <w:p>
      <w:pPr>
        <w:spacing w:after="60" w:line="276"/>
        <w:jc w:val="both"/>
      </w:pPr>
      <w:r>
        <w:t xml:space="preserve">NORMAN, Don. The Design of Everyday Things. Nova York: Basic Books, 2013.</w:t>
      </w:r>
    </w:p>
    <w:p>
      <w:pPr>
        <w:spacing w:after="60" w:line="276"/>
        <w:jc w:val="both"/>
      </w:pPr>
      <w:r>
        <w:t xml:space="preserve">W3C. Web Content Accessibility Guidelines (WCAG) 2.1. World Wide Web Consortium, 2018.</w:t>
      </w:r>
    </w:p>
    <w:p>
      <w:pPr>
        <w:spacing w:after="60" w:line="276"/>
        <w:jc w:val="both"/>
      </w:pPr>
      <w:r>
        <w:t xml:space="preserve">Material didático disponibilizado pela professora Renatta Nigro (Google Classroom).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6A5C"/>
        <w:sz w:val="18"/>
        <w:szCs w:val="18"/>
      </w:rPr>
      <w:t xml:space="preserve">RELIC — Unidade 2  ·  Página </w:t>
    </w:r>
    <w:r>
      <w:rPr>
        <w:color w:val="7A6A5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5B3420"/>
      <w:sz w:val="28"/>
      <w:szCs w:val="28"/>
    </w:rPr>
  </w:style>
  <w:style w:type="paragraph" w:styleId="Heading2">
    <w:name w:val="Heading 2"/>
    <w:basedOn w:val="Normal"/>
    <w:next w:val="Normal"/>
    <w:qFormat/>
    <w:pPr>
      <w:spacing w:after="90" w:before="180"/>
      <w:outlineLvl w:val="1"/>
    </w:pPr>
    <w:rPr>
      <w:rFonts w:ascii="Calibri" w:cs="Calibri" w:eastAsia="Calibri" w:hAnsi="Calibri"/>
      <w:b/>
      <w:bCs/>
      <w:color w:val="7A4A2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RELIC — Unidade 2</dc:title>
  <dc:creator>Equipe RELIC</dc:creator>
  <cp:lastModifiedBy>Un-named</cp:lastModifiedBy>
  <cp:revision>1</cp:revision>
  <dcterms:created xsi:type="dcterms:W3CDTF">2026-06-02T18:21:56.567Z</dcterms:created>
  <dcterms:modified xsi:type="dcterms:W3CDTF">2026-06-02T18:21:56.568Z</dcterms:modified>
</cp:coreProperties>
</file>

<file path=docProps/custom.xml><?xml version="1.0" encoding="utf-8"?>
<Properties xmlns="http://schemas.openxmlformats.org/officeDocument/2006/custom-properties" xmlns:vt="http://schemas.openxmlformats.org/officeDocument/2006/docPropsVTypes"/>
</file>