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mmmmmmmmmmmmmmm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