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7e0380"/>
          <w:sz w:val="40"/>
          <w:szCs w:val="40"/>
        </w:rPr>
        <w:t xml:space="preserve">DIKI-DIKI</w:t>
      </w:r>
    </w:p>
    <w:p>
      <w:pPr>
        <w:spacing w:after="200"/>
        <w:jc w:val="center"/>
      </w:pPr>
      <w:r>
        <w:rPr>
          <w:i/>
          <w:iCs/>
          <w:color w:val="555555"/>
          <w:sz w:val="22"/>
          <w:szCs w:val="22"/>
        </w:rPr>
        <w:t xml:space="preserve">L'Arène Culturelle Panafricaine</w:t>
      </w:r>
    </w:p>
    <w:p>
      <w:pPr>
        <w:spacing w:after="60"/>
        <w:jc w:val="center"/>
      </w:pPr>
      <w:r>
        <w:rPr>
          <w:b/>
          <w:bCs/>
          <w:sz w:val="32"/>
          <w:szCs w:val="32"/>
        </w:rPr>
        <w:t xml:space="preserve">RÈGLEMENT DU CONCOURS</w:t>
      </w:r>
    </w:p>
    <w:p>
      <w:pPr>
        <w:spacing w:after="200"/>
        <w:jc w:val="center"/>
      </w:pPr>
      <w:r>
        <w:rPr>
          <w:b/>
          <w:bCs/>
          <w:sz w:val="28"/>
          <w:szCs w:val="28"/>
        </w:rPr>
        <w:t xml:space="preserve">&amp; CONDITIONS GÉNÉRALES D'UTILISATION</w:t>
      </w:r>
    </w:p>
    <w:p>
      <w:pPr>
        <w:pBdr>
          <w:top w:val="single" w:color="7e0380" w:sz="6"/>
          <w:bottom w:val="single" w:color="7e0380" w:sz="6"/>
          <w:left w:val="single" w:color="7e0380" w:sz="6"/>
          <w:right w:val="single" w:color="7e0380" w:sz="6"/>
        </w:pBdr>
        <w:shd w:fill="FBF3FB" w:color="auto" w:val="clear"/>
        <w:spacing w:after="40" w:before="120"/>
      </w:pPr>
      <w:r>
        <w:rPr>
          <w:b/>
          <w:bCs/>
          <w:color w:val="7e0380"/>
        </w:rPr>
        <w:t xml:space="preserve">BROUILLON DE TRAVAIL — À FAIRE RELIRE PAR UN CONSEIL JURIDIQUE.</w:t>
      </w:r>
    </w:p>
    <w:p>
      <w:pPr>
        <w:spacing w:after="200" w:line="276"/>
        <w:jc w:val="both"/>
      </w:pPr>
      <w:r>
        <w:rPr>
          <w:b w:val="false"/>
          <w:bCs w:val="false"/>
          <w:i/>
          <w:iCs/>
          <w:color w:val="555555"/>
        </w:rPr>
        <w:t xml:space="preserve">Ce document est une base de rédaction, non un texte juridiquement validé. Il doit être relu et adapté par un conseil juridique (notamment sur la qualification de l'activité, le régime des jeux-concours, la protection des données et le droit de la consommation applicables au Bénin) avant toute publication. Les mentions entre crochets [ ] sont à compléter.</w:t>
      </w:r>
    </w:p>
    <w:p>
      <w:pPr>
        <w:pStyle w:val="Heading1"/>
        <w:spacing w:after="120" w:before="260"/>
      </w:pPr>
      <w:r>
        <w:rPr>
          <w:b/>
          <w:bCs/>
          <w:color w:val="7e0380"/>
        </w:rPr>
        <w:t xml:space="preserve">Article 1 — Objet et éditeur</w:t>
      </w:r>
    </w:p>
    <w:p>
      <w:pPr>
        <w:spacing w:after="120" w:line="276"/>
        <w:jc w:val="both"/>
      </w:pPr>
      <w:r>
        <w:rPr>
          <w:b w:val="false"/>
          <w:bCs w:val="false"/>
          <w:i w:val="false"/>
          <w:iCs w:val="false"/>
        </w:rPr>
        <w:t xml:space="preserve">Le présent règlement (ci-après le « Règlement ») a pour objet de définir les conditions d'accès, de participation et d'utilisation de la plateforme Diki-Diki (ci-après la « Plateforme »), accessible notamment à l'adresse www.diki-diki.com, ainsi que les règles des concours de talents qui y sont organisés (ci-après les « Challenges »).</w:t>
      </w:r>
    </w:p>
    <w:p>
      <w:pPr>
        <w:spacing w:after="120" w:line="276"/>
        <w:jc w:val="both"/>
      </w:pPr>
      <w:r>
        <w:rPr>
          <w:b w:val="false"/>
          <w:bCs w:val="false"/>
          <w:i w:val="false"/>
          <w:iCs w:val="false"/>
        </w:rPr>
        <w:t xml:space="preserve">La Plateforme est éditée et exploitée par l'entreprise </w:t>
      </w:r>
      <w:r>
        <w:rPr>
          <w:b/>
          <w:bCs/>
          <w:i w:val="false"/>
          <w:iCs w:val="false"/>
        </w:rPr>
        <w:t xml:space="preserve">IGEJPS</w:t>
      </w:r>
      <w:r>
        <w:rPr>
          <w:b w:val="false"/>
          <w:bCs w:val="false"/>
          <w:i w:val="false"/>
          <w:iCs w:val="false"/>
        </w:rPr>
        <w:t xml:space="preserve">, immatriculée au Registre du Commerce et du Crédit Mobilier sous le numéro </w:t>
      </w:r>
      <w:r>
        <w:rPr>
          <w:b/>
          <w:bCs/>
          <w:i w:val="false"/>
          <w:iCs w:val="false"/>
        </w:rPr>
        <w:t xml:space="preserve">RB/COT/25 A 109871</w:t>
      </w:r>
      <w:r>
        <w:rPr>
          <w:b w:val="false"/>
          <w:bCs w:val="false"/>
          <w:i w:val="false"/>
          <w:iCs w:val="false"/>
        </w:rPr>
        <w:t xml:space="preserve"> (Greffe du Tribunal de Commerce de Cotonou), IFU n° [à compléter], dont le représentant est M. GNONLONFOUN Ifèdé Jean-Pierre Erick, sise à [adresse du siège], Cotonou, République du Bénin (ci-après l'« Éditeur »).</w:t>
      </w:r>
    </w:p>
    <w:p>
      <w:pPr>
        <w:spacing w:after="120" w:line="276"/>
        <w:jc w:val="both"/>
      </w:pPr>
      <w:r>
        <w:rPr>
          <w:b w:val="false"/>
          <w:bCs w:val="false"/>
          <w:i w:val="false"/>
          <w:iCs w:val="false"/>
        </w:rPr>
        <w:t xml:space="preserve">Toute utilisation de la Plateforme et toute participation à un Challenge impliquent l'acceptation pleine et entière du présent Règlement.</w:t>
      </w:r>
    </w:p>
    <w:p>
      <w:pPr>
        <w:pStyle w:val="Heading1"/>
        <w:spacing w:after="120" w:before="260"/>
      </w:pPr>
      <w:r>
        <w:rPr>
          <w:b/>
          <w:bCs/>
          <w:color w:val="7e0380"/>
        </w:rPr>
        <w:t xml:space="preserve">Article 2 — Définitions</w:t>
      </w:r>
    </w:p>
    <w:p>
      <w:pPr>
        <w:pStyle w:val="ListParagraph"/>
        <w:numPr>
          <w:ilvl w:val="0"/>
          <w:numId w:val="2"/>
        </w:numPr>
        <w:spacing w:after="80" w:line="276"/>
        <w:jc w:val="both"/>
      </w:pPr>
      <w:r>
        <w:rPr>
          <w:b/>
          <w:bCs/>
        </w:rPr>
        <w:t xml:space="preserve">Visiteur : </w:t>
      </w:r>
      <w:r>
        <w:t xml:space="preserve">toute personne qui consulte la Plateforme sans nécessairement s'inscrire.</w:t>
      </w:r>
    </w:p>
    <w:p>
      <w:pPr>
        <w:pStyle w:val="ListParagraph"/>
        <w:numPr>
          <w:ilvl w:val="0"/>
          <w:numId w:val="2"/>
        </w:numPr>
        <w:spacing w:after="80" w:line="276"/>
        <w:jc w:val="both"/>
      </w:pPr>
      <w:r>
        <w:rPr>
          <w:b/>
          <w:bCs/>
        </w:rPr>
        <w:t xml:space="preserve">Candidat : </w:t>
      </w:r>
      <w:r>
        <w:t xml:space="preserve">utilisateur inscrit qui soumet une ou plusieurs vidéos de prestation pour concourir dans un Challenge.</w:t>
      </w:r>
    </w:p>
    <w:p>
      <w:pPr>
        <w:pStyle w:val="ListParagraph"/>
        <w:numPr>
          <w:ilvl w:val="0"/>
          <w:numId w:val="2"/>
        </w:numPr>
        <w:spacing w:after="80" w:line="276"/>
        <w:jc w:val="both"/>
      </w:pPr>
      <w:r>
        <w:rPr>
          <w:b/>
          <w:bCs/>
        </w:rPr>
        <w:t xml:space="preserve">Votant : </w:t>
      </w:r>
      <w:r>
        <w:t xml:space="preserve">utilisateur qui soutient un Candidat au moyen de votes payants.</w:t>
      </w:r>
    </w:p>
    <w:p>
      <w:pPr>
        <w:pStyle w:val="ListParagraph"/>
        <w:numPr>
          <w:ilvl w:val="0"/>
          <w:numId w:val="2"/>
        </w:numPr>
        <w:spacing w:after="80" w:line="276"/>
        <w:jc w:val="both"/>
      </w:pPr>
      <w:r>
        <w:rPr>
          <w:b/>
          <w:bCs/>
        </w:rPr>
        <w:t xml:space="preserve">Administrateur / Modérateur : </w:t>
      </w:r>
      <w:r>
        <w:t xml:space="preserve">personne habilitée par l'Éditeur à administrer et modérer la Plateforme.</w:t>
      </w:r>
    </w:p>
    <w:p>
      <w:pPr>
        <w:pStyle w:val="ListParagraph"/>
        <w:numPr>
          <w:ilvl w:val="0"/>
          <w:numId w:val="2"/>
        </w:numPr>
        <w:spacing w:after="80" w:line="276"/>
        <w:jc w:val="both"/>
      </w:pPr>
      <w:r>
        <w:rPr>
          <w:b/>
          <w:bCs/>
        </w:rPr>
        <w:t xml:space="preserve">Challenge : </w:t>
      </w:r>
      <w:r>
        <w:t xml:space="preserve">une compétition entre plusieurs Candidats, organisée selon un format et un modèle définis.</w:t>
      </w:r>
    </w:p>
    <w:p>
      <w:pPr>
        <w:pStyle w:val="ListParagraph"/>
        <w:numPr>
          <w:ilvl w:val="0"/>
          <w:numId w:val="2"/>
        </w:numPr>
        <w:spacing w:after="80" w:line="276"/>
        <w:jc w:val="both"/>
      </w:pPr>
      <w:r>
        <w:rPr>
          <w:b/>
          <w:bCs/>
        </w:rPr>
        <w:t xml:space="preserve">Étape : </w:t>
      </w:r>
      <w:r>
        <w:t xml:space="preserve">une phase d'un Challenge, à l'issue de laquelle les Candidats les moins soutenus peuvent être éliminés.</w:t>
      </w:r>
    </w:p>
    <w:p>
      <w:pPr>
        <w:pStyle w:val="ListParagraph"/>
        <w:numPr>
          <w:ilvl w:val="0"/>
          <w:numId w:val="2"/>
        </w:numPr>
        <w:spacing w:after="80" w:line="276"/>
        <w:jc w:val="both"/>
      </w:pPr>
      <w:r>
        <w:rPr>
          <w:b/>
          <w:bCs/>
        </w:rPr>
        <w:t xml:space="preserve">Étoile : </w:t>
      </w:r>
      <w:r>
        <w:t xml:space="preserve">un soutien payant valant une (1) unité de score (prix unitaire actuel : 100 F CFA).</w:t>
      </w:r>
    </w:p>
    <w:p>
      <w:pPr>
        <w:pStyle w:val="ListParagraph"/>
        <w:numPr>
          <w:ilvl w:val="0"/>
          <w:numId w:val="2"/>
        </w:numPr>
        <w:spacing w:after="80" w:line="276"/>
        <w:jc w:val="both"/>
      </w:pPr>
      <w:r>
        <w:rPr>
          <w:b/>
          <w:bCs/>
        </w:rPr>
        <w:t xml:space="preserve">Cœur : </w:t>
      </w:r>
      <w:r>
        <w:t xml:space="preserve">un soutien payant valant deux (2) unités de score (prix unitaire actuel : 200 F CFA).</w:t>
      </w:r>
    </w:p>
    <w:p>
      <w:pPr>
        <w:pStyle w:val="ListParagraph"/>
        <w:numPr>
          <w:ilvl w:val="0"/>
          <w:numId w:val="2"/>
        </w:numPr>
        <w:spacing w:after="80" w:line="276"/>
        <w:jc w:val="both"/>
      </w:pPr>
      <w:r>
        <w:rPr>
          <w:b/>
          <w:bCs/>
        </w:rPr>
        <w:t xml:space="preserve">Score : </w:t>
      </w:r>
      <w:r>
        <w:t xml:space="preserve">le total des unités (étoiles et cœurs) reçues par un Candidat au titre d'une Étape.</w:t>
      </w:r>
    </w:p>
    <w:p>
      <w:pPr>
        <w:pStyle w:val="ListParagraph"/>
        <w:numPr>
          <w:ilvl w:val="0"/>
          <w:numId w:val="2"/>
        </w:numPr>
        <w:spacing w:after="80" w:line="276"/>
        <w:jc w:val="both"/>
      </w:pPr>
      <w:r>
        <w:rPr>
          <w:b/>
          <w:bCs/>
        </w:rPr>
        <w:t xml:space="preserve">Cagnotte : </w:t>
      </w:r>
      <w:r>
        <w:t xml:space="preserve">la somme des votes payants collectés au titre d'un Challenge.</w:t>
      </w:r>
    </w:p>
    <w:p>
      <w:pPr>
        <w:pStyle w:val="ListParagraph"/>
        <w:numPr>
          <w:ilvl w:val="0"/>
          <w:numId w:val="2"/>
        </w:numPr>
        <w:spacing w:after="80" w:line="276"/>
        <w:jc w:val="both"/>
      </w:pPr>
      <w:r>
        <w:rPr>
          <w:b/>
          <w:bCs/>
        </w:rPr>
        <w:t xml:space="preserve">Commission : </w:t>
      </w:r>
      <w:r>
        <w:t xml:space="preserve">la part de la Cagnotte prélevée par l'Éditeur (taux actuel : 50 %).</w:t>
      </w:r>
    </w:p>
    <w:p>
      <w:pPr>
        <w:pStyle w:val="ListParagraph"/>
        <w:numPr>
          <w:ilvl w:val="0"/>
          <w:numId w:val="2"/>
        </w:numPr>
        <w:spacing w:after="80" w:line="276"/>
        <w:jc w:val="both"/>
      </w:pPr>
      <w:r>
        <w:rPr>
          <w:b/>
          <w:bCs/>
        </w:rPr>
        <w:t xml:space="preserve">Podium : </w:t>
      </w:r>
      <w:r>
        <w:t xml:space="preserve">le classement des Candidats gagnants d'un Challenge (1er, 2e, 3e).</w:t>
      </w:r>
    </w:p>
    <w:p>
      <w:pPr>
        <w:pStyle w:val="ListParagraph"/>
        <w:numPr>
          <w:ilvl w:val="0"/>
          <w:numId w:val="2"/>
        </w:numPr>
        <w:spacing w:after="80" w:line="276"/>
        <w:jc w:val="both"/>
      </w:pPr>
      <w:r>
        <w:rPr>
          <w:b/>
          <w:bCs/>
        </w:rPr>
        <w:t xml:space="preserve">Prime de participation : </w:t>
      </w:r>
      <w:r>
        <w:t xml:space="preserve">somme versée aux Candidats éliminés, financée par la Commission.</w:t>
      </w:r>
    </w:p>
    <w:p>
      <w:pPr>
        <w:pStyle w:val="ListParagraph"/>
        <w:numPr>
          <w:ilvl w:val="0"/>
          <w:numId w:val="2"/>
        </w:numPr>
        <w:spacing w:after="80" w:line="276"/>
        <w:jc w:val="both"/>
      </w:pPr>
      <w:r>
        <w:rPr>
          <w:b/>
          <w:bCs/>
        </w:rPr>
        <w:t xml:space="preserve">Compte de votes : </w:t>
      </w:r>
      <w:r>
        <w:t xml:space="preserve">solde alimenté par les recharges, servant exclusivement à voter ; non retirable.</w:t>
      </w:r>
    </w:p>
    <w:p>
      <w:pPr>
        <w:pStyle w:val="ListParagraph"/>
        <w:numPr>
          <w:ilvl w:val="0"/>
          <w:numId w:val="2"/>
        </w:numPr>
        <w:spacing w:after="80" w:line="276"/>
        <w:jc w:val="both"/>
      </w:pPr>
      <w:r>
        <w:rPr>
          <w:b/>
          <w:bCs/>
        </w:rPr>
        <w:t xml:space="preserve">Compte de retrait : </w:t>
      </w:r>
      <w:r>
        <w:t xml:space="preserve">solde constitué des gains (part de Cagnotte et primes) ; seul solde pouvant faire l'objet d'un retrait.</w:t>
      </w:r>
    </w:p>
    <w:p>
      <w:pPr>
        <w:pStyle w:val="Heading1"/>
        <w:spacing w:after="120" w:before="260"/>
      </w:pPr>
      <w:r>
        <w:rPr>
          <w:b/>
          <w:bCs/>
          <w:color w:val="7e0380"/>
        </w:rPr>
        <w:t xml:space="preserve">Article 3 — Nature du concours</w:t>
      </w:r>
    </w:p>
    <w:p>
      <w:pPr>
        <w:spacing w:after="120" w:line="276"/>
        <w:jc w:val="both"/>
      </w:pPr>
      <w:r>
        <w:rPr>
          <w:b w:val="false"/>
          <w:bCs w:val="false"/>
          <w:i w:val="false"/>
          <w:iCs w:val="false"/>
        </w:rPr>
        <w:t xml:space="preserve">Diki-Diki organise des concours de talents (danse, chant, musique, disciplines sportives, etc.). Le classement et le départage des Candidats reposent exclusivement sur le soutien du public exprimé par des votes payants ; il ne repose sur aucune note technique d'un jury désigné ni sur le hasard. Le vote payant du public constitue à la fois le mode de départage (le « jury ») et le moteur économique du Challenge.</w:t>
      </w:r>
    </w:p>
    <w:p>
      <w:pPr>
        <w:spacing w:after="120" w:line="276"/>
        <w:jc w:val="both"/>
      </w:pPr>
      <w:r>
        <w:rPr>
          <w:b w:val="false"/>
          <w:bCs w:val="false"/>
          <w:i w:val="false"/>
          <w:iCs w:val="false"/>
        </w:rPr>
        <w:t xml:space="preserve">Les Challenges sont fondés sur le </w:t>
      </w:r>
      <w:r>
        <w:rPr>
          <w:b/>
          <w:bCs/>
          <w:i w:val="false"/>
          <w:iCs w:val="false"/>
        </w:rPr>
        <w:t xml:space="preserve">mérite et la compétence</w:t>
      </w:r>
      <w:r>
        <w:rPr>
          <w:b w:val="false"/>
          <w:bCs w:val="false"/>
          <w:i w:val="false"/>
          <w:iCs w:val="false"/>
        </w:rPr>
        <w:t xml:space="preserve"> (la qualité perçue des prestations soumises), et non sur un aléa. </w:t>
      </w:r>
      <w:r>
        <w:rPr>
          <w:b w:val="false"/>
          <w:bCs w:val="false"/>
          <w:i/>
          <w:iCs/>
          <w:color w:val="555555"/>
        </w:rPr>
        <w:t xml:space="preserve">[À faire confirmer par un conseil juridique : qualification de l'activité au regard de la réglementation applicable aux jeux-concours et aux jeux d'argent.]</w:t>
      </w:r>
    </w:p>
    <w:p>
      <w:pPr>
        <w:pStyle w:val="Heading1"/>
        <w:spacing w:after="120" w:before="260"/>
      </w:pPr>
      <w:r>
        <w:rPr>
          <w:b/>
          <w:bCs/>
          <w:color w:val="7e0380"/>
        </w:rPr>
        <w:t xml:space="preserve">Article 4 — Accès, inscription et éligibilité</w:t>
      </w:r>
    </w:p>
    <w:p>
      <w:pPr>
        <w:spacing w:after="120" w:line="276"/>
        <w:jc w:val="both"/>
      </w:pPr>
      <w:r>
        <w:rPr>
          <w:b w:val="false"/>
          <w:bCs w:val="false"/>
          <w:i w:val="false"/>
          <w:iCs w:val="false"/>
        </w:rPr>
        <w:t xml:space="preserve">L'accès à la Plateforme en tant que Visiteur est libre. La participation en tant que Candidat ou Votant nécessite la création d'un compte et l'acceptation du présent Règlement.</w:t>
      </w:r>
    </w:p>
    <w:p>
      <w:pPr>
        <w:pStyle w:val="ListParagraph"/>
        <w:numPr>
          <w:ilvl w:val="0"/>
          <w:numId w:val="2"/>
        </w:numPr>
        <w:spacing w:after="80" w:line="276"/>
        <w:jc w:val="both"/>
      </w:pPr>
      <w:r>
        <w:rPr>
          <w:b w:val="false"/>
          <w:bCs w:val="false"/>
          <w:i w:val="false"/>
          <w:iCs w:val="false"/>
        </w:rPr>
        <w:t xml:space="preserve">Le Votant et le Candidat doivent être majeurs (18 ans révolus). Un mineur ne peut participer que par l'intermédiaire et sous la responsabilité de son représentant légal. [À confirmer selon le droit applicable.]</w:t>
      </w:r>
    </w:p>
    <w:p>
      <w:pPr>
        <w:pStyle w:val="ListParagraph"/>
        <w:numPr>
          <w:ilvl w:val="0"/>
          <w:numId w:val="2"/>
        </w:numPr>
        <w:spacing w:after="80" w:line="276"/>
        <w:jc w:val="both"/>
      </w:pPr>
      <w:r>
        <w:rPr>
          <w:b w:val="false"/>
          <w:bCs w:val="false"/>
          <w:i w:val="false"/>
          <w:iCs w:val="false"/>
        </w:rPr>
        <w:t xml:space="preserve">L'utilisateur garantit l'exactitude des informations fournies lors de l'inscription et lors des paiements et retraits (notamment le numéro Mobile Money et le titulaire du compte).</w:t>
      </w:r>
    </w:p>
    <w:p>
      <w:pPr>
        <w:pStyle w:val="ListParagraph"/>
        <w:numPr>
          <w:ilvl w:val="0"/>
          <w:numId w:val="2"/>
        </w:numPr>
        <w:spacing w:after="80" w:line="276"/>
        <w:jc w:val="both"/>
      </w:pPr>
      <w:r>
        <w:rPr>
          <w:b w:val="false"/>
          <w:bCs w:val="false"/>
          <w:i w:val="false"/>
          <w:iCs w:val="false"/>
        </w:rPr>
        <w:t xml:space="preserve">L'Éditeur peut demander une vérification d'identité (KYC), en particulier préalablement à tout retrait.</w:t>
      </w:r>
    </w:p>
    <w:p>
      <w:pPr>
        <w:pStyle w:val="Heading1"/>
        <w:spacing w:after="120" w:before="260"/>
      </w:pPr>
      <w:r>
        <w:rPr>
          <w:b/>
          <w:bCs/>
          <w:color w:val="7e0380"/>
        </w:rPr>
        <w:t xml:space="preserve">Article 5 — Déroulement d’un Challenge</w:t>
      </w:r>
    </w:p>
    <w:p>
      <w:pPr>
        <w:spacing w:after="120" w:line="276"/>
        <w:jc w:val="both"/>
      </w:pPr>
      <w:r>
        <w:rPr>
          <w:b w:val="false"/>
          <w:bCs w:val="false"/>
          <w:i w:val="false"/>
          <w:iCs w:val="false"/>
        </w:rPr>
        <w:t xml:space="preserve">Chaque Challenge est défini par un format (nombre de Candidats) et un modèle de déroulement :</w:t>
      </w:r>
    </w:p>
    <w:p>
      <w:pPr>
        <w:pStyle w:val="ListParagraph"/>
        <w:numPr>
          <w:ilvl w:val="0"/>
          <w:numId w:val="2"/>
        </w:numPr>
        <w:spacing w:after="80" w:line="276"/>
        <w:jc w:val="both"/>
      </w:pPr>
      <w:r>
        <w:rPr>
          <w:b/>
          <w:bCs/>
          <w:i w:val="false"/>
          <w:iCs w:val="false"/>
        </w:rPr>
        <w:t xml:space="preserve">Parcours</w:t>
      </w:r>
      <w:r>
        <w:rPr>
          <w:b w:val="false"/>
          <w:bCs w:val="false"/>
          <w:i w:val="false"/>
          <w:iCs w:val="false"/>
        </w:rPr>
        <w:t xml:space="preserve"> : élimination progressive, étape par étape ; à chaque Étape, une vidéo est proposée, puis les Candidats les moins soutenus sont éliminés.</w:t>
      </w:r>
    </w:p>
    <w:p>
      <w:pPr>
        <w:pStyle w:val="ListParagraph"/>
        <w:numPr>
          <w:ilvl w:val="0"/>
          <w:numId w:val="2"/>
        </w:numPr>
        <w:spacing w:after="80" w:line="276"/>
        <w:jc w:val="both"/>
      </w:pPr>
      <w:r>
        <w:rPr>
          <w:b/>
          <w:bCs/>
          <w:i w:val="false"/>
          <w:iCs w:val="false"/>
        </w:rPr>
        <w:t xml:space="preserve">Bloc groupé</w:t>
      </w:r>
      <w:r>
        <w:rPr>
          <w:b w:val="false"/>
          <w:bCs w:val="false"/>
          <w:i w:val="false"/>
          <w:iCs w:val="false"/>
        </w:rPr>
        <w:t xml:space="preserve"> : le Candidat fournit l'ensemble de ses vidéos d'emblée ; un seul classement final est établi.</w:t>
      </w:r>
    </w:p>
    <w:p>
      <w:pPr>
        <w:spacing w:after="120" w:line="276"/>
        <w:jc w:val="both"/>
      </w:pPr>
      <w:r>
        <w:rPr>
          <w:b w:val="false"/>
          <w:bCs w:val="false"/>
          <w:i w:val="false"/>
          <w:iCs w:val="false"/>
        </w:rPr>
        <w:t xml:space="preserve">Une Étape se clôture lorsque son objectif de collecte est atteint. Le tableau ci-dessous récapitule les formats et l'objectif de collecte par Étape (seuil déclenchant la fermeture de l'Étape). Ces montants sont indicatifs, peuvent évoluer, et l'objectif applicable est affiché sur chaque Challenge :</w:t>
      </w:r>
    </w:p>
    <w:tbl>
      <w:tblPr>
        <w:tblW w:type="dxa" w:w="9500"/>
        <w:tblBorders>
          <w:top w:val="single" w:color="CCCCCC" w:sz="4"/>
          <w:left w:val="single" w:color="CCCCCC" w:sz="4"/>
          <w:bottom w:val="single" w:color="CCCCCC" w:sz="4"/>
          <w:right w:val="single" w:color="CCCCCC" w:sz="4"/>
          <w:insideH w:val="single" w:color="DDDDDD" w:sz="2"/>
          <w:insideV w:val="single" w:color="DDDDDD" w:sz="2"/>
        </w:tblBorders>
      </w:tblPr>
      <w:tblGrid>
        <w:gridCol w:w="1300"/>
        <w:gridCol w:w="1200"/>
        <w:gridCol w:w="1000"/>
        <w:gridCol w:w="1000"/>
        <w:gridCol w:w="2600"/>
        <w:gridCol w:w="1200"/>
        <w:gridCol w:w="1200"/>
      </w:tblGrid>
      <w:tr>
        <w:trPr>
          <w:tblHeader/>
        </w:trPr>
        <w:tc>
          <w:tcPr>
            <w:tcW w:type="dxa" w:w="1300"/>
            <w:shd w:fill="7e0380" w:color="auto" w:val="clear"/>
            <w:tcMar>
              <w:top w:type="dxa" w:w="40"/>
              <w:left w:type="dxa" w:w="80"/>
              <w:bottom w:type="dxa" w:w="40"/>
              <w:right w:type="dxa" w:w="80"/>
            </w:tcMar>
          </w:tcPr>
          <w:p>
            <w:pPr>
              <w:jc w:val="left"/>
            </w:pPr>
            <w:r>
              <w:rPr>
                <w:b/>
                <w:bCs/>
                <w:color w:val="FFFFFF"/>
                <w:sz w:val="18"/>
                <w:szCs w:val="18"/>
              </w:rPr>
              <w:t xml:space="preserve">Format</w:t>
            </w:r>
          </w:p>
        </w:tc>
        <w:tc>
          <w:tcPr>
            <w:tcW w:type="dxa" w:w="1200"/>
            <w:shd w:fill="7e0380" w:color="auto" w:val="clear"/>
            <w:tcMar>
              <w:top w:type="dxa" w:w="40"/>
              <w:left w:type="dxa" w:w="80"/>
              <w:bottom w:type="dxa" w:w="40"/>
              <w:right w:type="dxa" w:w="80"/>
            </w:tcMar>
          </w:tcPr>
          <w:p>
            <w:pPr>
              <w:jc w:val="center"/>
            </w:pPr>
            <w:r>
              <w:rPr>
                <w:b/>
                <w:bCs/>
                <w:color w:val="FFFFFF"/>
                <w:sz w:val="18"/>
                <w:szCs w:val="18"/>
              </w:rPr>
              <w:t xml:space="preserve">Candidats</w:t>
            </w:r>
          </w:p>
        </w:tc>
        <w:tc>
          <w:tcPr>
            <w:tcW w:type="dxa" w:w="1000"/>
            <w:shd w:fill="7e0380" w:color="auto" w:val="clear"/>
            <w:tcMar>
              <w:top w:type="dxa" w:w="40"/>
              <w:left w:type="dxa" w:w="80"/>
              <w:bottom w:type="dxa" w:w="40"/>
              <w:right w:type="dxa" w:w="80"/>
            </w:tcMar>
          </w:tcPr>
          <w:p>
            <w:pPr>
              <w:jc w:val="center"/>
            </w:pPr>
            <w:r>
              <w:rPr>
                <w:b/>
                <w:bCs/>
                <w:color w:val="FFFFFF"/>
                <w:sz w:val="18"/>
                <w:szCs w:val="18"/>
              </w:rPr>
              <w:t xml:space="preserve">Étapes</w:t>
            </w:r>
          </w:p>
        </w:tc>
        <w:tc>
          <w:tcPr>
            <w:tcW w:type="dxa" w:w="1000"/>
            <w:shd w:fill="7e0380" w:color="auto" w:val="clear"/>
            <w:tcMar>
              <w:top w:type="dxa" w:w="40"/>
              <w:left w:type="dxa" w:w="80"/>
              <w:bottom w:type="dxa" w:w="40"/>
              <w:right w:type="dxa" w:w="80"/>
            </w:tcMar>
          </w:tcPr>
          <w:p>
            <w:pPr>
              <w:jc w:val="center"/>
            </w:pPr>
            <w:r>
              <w:rPr>
                <w:b/>
                <w:bCs/>
                <w:color w:val="FFFFFF"/>
                <w:sz w:val="18"/>
                <w:szCs w:val="18"/>
              </w:rPr>
              <w:t xml:space="preserve">Vidéos</w:t>
            </w:r>
          </w:p>
        </w:tc>
        <w:tc>
          <w:tcPr>
            <w:tcW w:type="dxa" w:w="2600"/>
            <w:shd w:fill="7e0380" w:color="auto" w:val="clear"/>
            <w:tcMar>
              <w:top w:type="dxa" w:w="40"/>
              <w:left w:type="dxa" w:w="80"/>
              <w:bottom w:type="dxa" w:w="40"/>
              <w:right w:type="dxa" w:w="80"/>
            </w:tcMar>
          </w:tcPr>
          <w:p>
            <w:pPr>
              <w:jc w:val="center"/>
            </w:pPr>
            <w:r>
              <w:rPr>
                <w:b/>
                <w:bCs/>
                <w:color w:val="FFFFFF"/>
                <w:sz w:val="18"/>
                <w:szCs w:val="18"/>
              </w:rPr>
              <w:t xml:space="preserve">Objectif de collecte / Étape</w:t>
            </w:r>
          </w:p>
        </w:tc>
        <w:tc>
          <w:tcPr>
            <w:tcW w:type="dxa" w:w="1200"/>
            <w:shd w:fill="7e0380" w:color="auto" w:val="clear"/>
            <w:tcMar>
              <w:top w:type="dxa" w:w="40"/>
              <w:left w:type="dxa" w:w="80"/>
              <w:bottom w:type="dxa" w:w="40"/>
              <w:right w:type="dxa" w:w="80"/>
            </w:tcMar>
          </w:tcPr>
          <w:p>
            <w:pPr>
              <w:jc w:val="center"/>
            </w:pPr>
            <w:r>
              <w:rPr>
                <w:b/>
                <w:bCs/>
                <w:color w:val="FFFFFF"/>
                <w:sz w:val="18"/>
                <w:szCs w:val="18"/>
              </w:rPr>
              <w:t xml:space="preserve">Gagnants</w:t>
            </w:r>
          </w:p>
        </w:tc>
        <w:tc>
          <w:tcPr>
            <w:tcW w:type="dxa" w:w="1200"/>
            <w:shd w:fill="7e0380" w:color="auto" w:val="clear"/>
            <w:tcMar>
              <w:top w:type="dxa" w:w="40"/>
              <w:left w:type="dxa" w:w="80"/>
              <w:bottom w:type="dxa" w:w="40"/>
              <w:right w:type="dxa" w:w="80"/>
            </w:tcMar>
          </w:tcPr>
          <w:p>
            <w:pPr>
              <w:jc w:val="center"/>
            </w:pPr>
            <w:r>
              <w:rPr>
                <w:b/>
                <w:bCs/>
                <w:color w:val="FFFFFF"/>
                <w:sz w:val="18"/>
                <w:szCs w:val="18"/>
              </w:rPr>
              <w:t xml:space="preserve">Éliminés</w:t>
            </w:r>
          </w:p>
        </w:tc>
      </w:tr>
      <w:tr>
        <w:tc>
          <w:tcPr>
            <w:tcW w:type="dxa" w:w="1300"/>
            <w:tcMar>
              <w:top w:type="dxa" w:w="40"/>
              <w:left w:type="dxa" w:w="80"/>
              <w:bottom w:type="dxa" w:w="40"/>
              <w:right w:type="dxa" w:w="80"/>
            </w:tcMar>
          </w:tcPr>
          <w:p>
            <w:pPr>
              <w:jc w:val="left"/>
            </w:pPr>
            <w:r>
              <w:rPr>
                <w:b w:val="false"/>
                <w:bCs w:val="false"/>
                <w:sz w:val="18"/>
                <w:szCs w:val="18"/>
              </w:rPr>
              <w:t xml:space="preserve">C2</w:t>
            </w:r>
          </w:p>
        </w:tc>
        <w:tc>
          <w:tcPr>
            <w:tcW w:type="dxa" w:w="1200"/>
            <w:tcMar>
              <w:top w:type="dxa" w:w="40"/>
              <w:left w:type="dxa" w:w="80"/>
              <w:bottom w:type="dxa" w:w="40"/>
              <w:right w:type="dxa" w:w="80"/>
            </w:tcMar>
          </w:tcPr>
          <w:p>
            <w:pPr>
              <w:jc w:val="center"/>
            </w:pPr>
            <w:r>
              <w:rPr>
                <w:b w:val="false"/>
                <w:bCs w:val="false"/>
                <w:sz w:val="18"/>
                <w:szCs w:val="18"/>
              </w:rPr>
              <w:t xml:space="preserve">2</w:t>
            </w:r>
          </w:p>
        </w:tc>
        <w:tc>
          <w:tcPr>
            <w:tcW w:type="dxa" w:w="1000"/>
            <w:tcMar>
              <w:top w:type="dxa" w:w="40"/>
              <w:left w:type="dxa" w:w="80"/>
              <w:bottom w:type="dxa" w:w="40"/>
              <w:right w:type="dxa" w:w="80"/>
            </w:tcMar>
          </w:tcPr>
          <w:p>
            <w:pPr>
              <w:jc w:val="center"/>
            </w:pPr>
            <w:r>
              <w:rPr>
                <w:b w:val="false"/>
                <w:bCs w:val="false"/>
                <w:sz w:val="18"/>
                <w:szCs w:val="18"/>
              </w:rPr>
              <w:t xml:space="preserve">1</w:t>
            </w:r>
          </w:p>
        </w:tc>
        <w:tc>
          <w:tcPr>
            <w:tcW w:type="dxa" w:w="1000"/>
            <w:tcMar>
              <w:top w:type="dxa" w:w="40"/>
              <w:left w:type="dxa" w:w="80"/>
              <w:bottom w:type="dxa" w:w="40"/>
              <w:right w:type="dxa" w:w="80"/>
            </w:tcMar>
          </w:tcPr>
          <w:p>
            <w:pPr>
              <w:jc w:val="center"/>
            </w:pPr>
            <w:r>
              <w:rPr>
                <w:b w:val="false"/>
                <w:bCs w:val="false"/>
                <w:sz w:val="18"/>
                <w:szCs w:val="18"/>
              </w:rPr>
              <w:t xml:space="preserve">1</w:t>
            </w:r>
          </w:p>
        </w:tc>
        <w:tc>
          <w:tcPr>
            <w:tcW w:type="dxa" w:w="2600"/>
            <w:tcMar>
              <w:top w:type="dxa" w:w="40"/>
              <w:left w:type="dxa" w:w="80"/>
              <w:bottom w:type="dxa" w:w="40"/>
              <w:right w:type="dxa" w:w="80"/>
            </w:tcMar>
          </w:tcPr>
          <w:p>
            <w:pPr>
              <w:jc w:val="center"/>
            </w:pPr>
            <w:r>
              <w:rPr>
                <w:b w:val="false"/>
                <w:bCs w:val="false"/>
                <w:sz w:val="18"/>
                <w:szCs w:val="18"/>
              </w:rPr>
              <w:t xml:space="preserve">2 500 000 F</w:t>
            </w:r>
          </w:p>
        </w:tc>
        <w:tc>
          <w:tcPr>
            <w:tcW w:type="dxa" w:w="1200"/>
            <w:tcMar>
              <w:top w:type="dxa" w:w="40"/>
              <w:left w:type="dxa" w:w="80"/>
              <w:bottom w:type="dxa" w:w="40"/>
              <w:right w:type="dxa" w:w="80"/>
            </w:tcMar>
          </w:tcPr>
          <w:p>
            <w:pPr>
              <w:jc w:val="center"/>
            </w:pPr>
            <w:r>
              <w:rPr>
                <w:b w:val="false"/>
                <w:bCs w:val="false"/>
                <w:sz w:val="18"/>
                <w:szCs w:val="18"/>
              </w:rPr>
              <w:t xml:space="preserve">1</w:t>
            </w:r>
          </w:p>
        </w:tc>
        <w:tc>
          <w:tcPr>
            <w:tcW w:type="dxa" w:w="1200"/>
            <w:tcMar>
              <w:top w:type="dxa" w:w="40"/>
              <w:left w:type="dxa" w:w="80"/>
              <w:bottom w:type="dxa" w:w="40"/>
              <w:right w:type="dxa" w:w="80"/>
            </w:tcMar>
          </w:tcPr>
          <w:p>
            <w:pPr>
              <w:jc w:val="center"/>
            </w:pPr>
            <w:r>
              <w:rPr>
                <w:b w:val="false"/>
                <w:bCs w:val="false"/>
                <w:sz w:val="18"/>
                <w:szCs w:val="18"/>
              </w:rPr>
              <w:t xml:space="preserve">1</w:t>
            </w:r>
          </w:p>
        </w:tc>
      </w:tr>
      <w:tr>
        <w:tc>
          <w:tcPr>
            <w:tcW w:type="dxa" w:w="1300"/>
            <w:shd w:fill="F3EEF3" w:color="auto" w:val="clear"/>
            <w:tcMar>
              <w:top w:type="dxa" w:w="40"/>
              <w:left w:type="dxa" w:w="80"/>
              <w:bottom w:type="dxa" w:w="40"/>
              <w:right w:type="dxa" w:w="80"/>
            </w:tcMar>
          </w:tcPr>
          <w:p>
            <w:pPr>
              <w:jc w:val="left"/>
            </w:pPr>
            <w:r>
              <w:rPr>
                <w:b w:val="false"/>
                <w:bCs w:val="false"/>
                <w:sz w:val="18"/>
                <w:szCs w:val="18"/>
              </w:rPr>
              <w:t xml:space="preserve">C4</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4</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2</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2</w:t>
            </w:r>
          </w:p>
        </w:tc>
        <w:tc>
          <w:tcPr>
            <w:tcW w:type="dxa" w:w="2600"/>
            <w:shd w:fill="F3EEF3" w:color="auto" w:val="clear"/>
            <w:tcMar>
              <w:top w:type="dxa" w:w="40"/>
              <w:left w:type="dxa" w:w="80"/>
              <w:bottom w:type="dxa" w:w="40"/>
              <w:right w:type="dxa" w:w="80"/>
            </w:tcMar>
          </w:tcPr>
          <w:p>
            <w:pPr>
              <w:jc w:val="center"/>
            </w:pPr>
            <w:r>
              <w:rPr>
                <w:b w:val="false"/>
                <w:bCs w:val="false"/>
                <w:sz w:val="18"/>
                <w:szCs w:val="18"/>
              </w:rPr>
              <w:t xml:space="preserve">4 000 000 F</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2</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2</w:t>
            </w:r>
          </w:p>
        </w:tc>
      </w:tr>
      <w:tr>
        <w:tc>
          <w:tcPr>
            <w:tcW w:type="dxa" w:w="1300"/>
            <w:tcMar>
              <w:top w:type="dxa" w:w="40"/>
              <w:left w:type="dxa" w:w="80"/>
              <w:bottom w:type="dxa" w:w="40"/>
              <w:right w:type="dxa" w:w="80"/>
            </w:tcMar>
          </w:tcPr>
          <w:p>
            <w:pPr>
              <w:jc w:val="left"/>
            </w:pPr>
            <w:r>
              <w:rPr>
                <w:b w:val="false"/>
                <w:bCs w:val="false"/>
                <w:sz w:val="18"/>
                <w:szCs w:val="18"/>
              </w:rPr>
              <w:t xml:space="preserve">C6</w:t>
            </w:r>
          </w:p>
        </w:tc>
        <w:tc>
          <w:tcPr>
            <w:tcW w:type="dxa" w:w="1200"/>
            <w:tcMar>
              <w:top w:type="dxa" w:w="40"/>
              <w:left w:type="dxa" w:w="80"/>
              <w:bottom w:type="dxa" w:w="40"/>
              <w:right w:type="dxa" w:w="80"/>
            </w:tcMar>
          </w:tcPr>
          <w:p>
            <w:pPr>
              <w:jc w:val="center"/>
            </w:pPr>
            <w:r>
              <w:rPr>
                <w:b w:val="false"/>
                <w:bCs w:val="false"/>
                <w:sz w:val="18"/>
                <w:szCs w:val="18"/>
              </w:rPr>
              <w:t xml:space="preserve">6</w:t>
            </w:r>
          </w:p>
        </w:tc>
        <w:tc>
          <w:tcPr>
            <w:tcW w:type="dxa" w:w="1000"/>
            <w:tcMar>
              <w:top w:type="dxa" w:w="40"/>
              <w:left w:type="dxa" w:w="80"/>
              <w:bottom w:type="dxa" w:w="40"/>
              <w:right w:type="dxa" w:w="80"/>
            </w:tcMar>
          </w:tcPr>
          <w:p>
            <w:pPr>
              <w:jc w:val="center"/>
            </w:pPr>
            <w:r>
              <w:rPr>
                <w:b w:val="false"/>
                <w:bCs w:val="false"/>
                <w:sz w:val="18"/>
                <w:szCs w:val="18"/>
              </w:rPr>
              <w:t xml:space="preserve">3</w:t>
            </w:r>
          </w:p>
        </w:tc>
        <w:tc>
          <w:tcPr>
            <w:tcW w:type="dxa" w:w="1000"/>
            <w:tcMar>
              <w:top w:type="dxa" w:w="40"/>
              <w:left w:type="dxa" w:w="80"/>
              <w:bottom w:type="dxa" w:w="40"/>
              <w:right w:type="dxa" w:w="80"/>
            </w:tcMar>
          </w:tcPr>
          <w:p>
            <w:pPr>
              <w:jc w:val="center"/>
            </w:pPr>
            <w:r>
              <w:rPr>
                <w:b w:val="false"/>
                <w:bCs w:val="false"/>
                <w:sz w:val="18"/>
                <w:szCs w:val="18"/>
              </w:rPr>
              <w:t xml:space="preserve">3</w:t>
            </w:r>
          </w:p>
        </w:tc>
        <w:tc>
          <w:tcPr>
            <w:tcW w:type="dxa" w:w="2600"/>
            <w:tcMar>
              <w:top w:type="dxa" w:w="40"/>
              <w:left w:type="dxa" w:w="80"/>
              <w:bottom w:type="dxa" w:w="40"/>
              <w:right w:type="dxa" w:w="80"/>
            </w:tcMar>
          </w:tcPr>
          <w:p>
            <w:pPr>
              <w:jc w:val="center"/>
            </w:pPr>
            <w:r>
              <w:rPr>
                <w:b w:val="false"/>
                <w:bCs w:val="false"/>
                <w:sz w:val="18"/>
                <w:szCs w:val="18"/>
              </w:rPr>
              <w:t xml:space="preserve">5 000 000 F</w:t>
            </w:r>
          </w:p>
        </w:tc>
        <w:tc>
          <w:tcPr>
            <w:tcW w:type="dxa" w:w="1200"/>
            <w:tcMar>
              <w:top w:type="dxa" w:w="40"/>
              <w:left w:type="dxa" w:w="80"/>
              <w:bottom w:type="dxa" w:w="40"/>
              <w:right w:type="dxa" w:w="80"/>
            </w:tcMar>
          </w:tcPr>
          <w:p>
            <w:pPr>
              <w:jc w:val="center"/>
            </w:pPr>
            <w:r>
              <w:rPr>
                <w:b w:val="false"/>
                <w:bCs w:val="false"/>
                <w:sz w:val="18"/>
                <w:szCs w:val="18"/>
              </w:rPr>
              <w:t xml:space="preserve">3</w:t>
            </w:r>
          </w:p>
        </w:tc>
        <w:tc>
          <w:tcPr>
            <w:tcW w:type="dxa" w:w="1200"/>
            <w:tcMar>
              <w:top w:type="dxa" w:w="40"/>
              <w:left w:type="dxa" w:w="80"/>
              <w:bottom w:type="dxa" w:w="40"/>
              <w:right w:type="dxa" w:w="80"/>
            </w:tcMar>
          </w:tcPr>
          <w:p>
            <w:pPr>
              <w:jc w:val="center"/>
            </w:pPr>
            <w:r>
              <w:rPr>
                <w:b w:val="false"/>
                <w:bCs w:val="false"/>
                <w:sz w:val="18"/>
                <w:szCs w:val="18"/>
              </w:rPr>
              <w:t xml:space="preserve">3</w:t>
            </w:r>
          </w:p>
        </w:tc>
      </w:tr>
      <w:tr>
        <w:tc>
          <w:tcPr>
            <w:tcW w:type="dxa" w:w="1300"/>
            <w:shd w:fill="F3EEF3" w:color="auto" w:val="clear"/>
            <w:tcMar>
              <w:top w:type="dxa" w:w="40"/>
              <w:left w:type="dxa" w:w="80"/>
              <w:bottom w:type="dxa" w:w="40"/>
              <w:right w:type="dxa" w:w="80"/>
            </w:tcMar>
          </w:tcPr>
          <w:p>
            <w:pPr>
              <w:jc w:val="left"/>
            </w:pPr>
            <w:r>
              <w:rPr>
                <w:b w:val="false"/>
                <w:bCs w:val="false"/>
                <w:sz w:val="18"/>
                <w:szCs w:val="18"/>
              </w:rPr>
              <w:t xml:space="preserve">C8</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8</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4</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4</w:t>
            </w:r>
          </w:p>
        </w:tc>
        <w:tc>
          <w:tcPr>
            <w:tcW w:type="dxa" w:w="2600"/>
            <w:shd w:fill="F3EEF3" w:color="auto" w:val="clear"/>
            <w:tcMar>
              <w:top w:type="dxa" w:w="40"/>
              <w:left w:type="dxa" w:w="80"/>
              <w:bottom w:type="dxa" w:w="40"/>
              <w:right w:type="dxa" w:w="80"/>
            </w:tcMar>
          </w:tcPr>
          <w:p>
            <w:pPr>
              <w:jc w:val="center"/>
            </w:pPr>
            <w:r>
              <w:rPr>
                <w:b w:val="false"/>
                <w:bCs w:val="false"/>
                <w:sz w:val="18"/>
                <w:szCs w:val="18"/>
              </w:rPr>
              <w:t xml:space="preserve">7 000 000 F</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3</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5</w:t>
            </w:r>
          </w:p>
        </w:tc>
      </w:tr>
      <w:tr>
        <w:tc>
          <w:tcPr>
            <w:tcW w:type="dxa" w:w="1300"/>
            <w:tcMar>
              <w:top w:type="dxa" w:w="40"/>
              <w:left w:type="dxa" w:w="80"/>
              <w:bottom w:type="dxa" w:w="40"/>
              <w:right w:type="dxa" w:w="80"/>
            </w:tcMar>
          </w:tcPr>
          <w:p>
            <w:pPr>
              <w:jc w:val="left"/>
            </w:pPr>
            <w:r>
              <w:rPr>
                <w:b w:val="false"/>
                <w:bCs w:val="false"/>
                <w:sz w:val="18"/>
                <w:szCs w:val="18"/>
              </w:rPr>
              <w:t xml:space="preserve">C12</w:t>
            </w:r>
          </w:p>
        </w:tc>
        <w:tc>
          <w:tcPr>
            <w:tcW w:type="dxa" w:w="1200"/>
            <w:tcMar>
              <w:top w:type="dxa" w:w="40"/>
              <w:left w:type="dxa" w:w="80"/>
              <w:bottom w:type="dxa" w:w="40"/>
              <w:right w:type="dxa" w:w="80"/>
            </w:tcMar>
          </w:tcPr>
          <w:p>
            <w:pPr>
              <w:jc w:val="center"/>
            </w:pPr>
            <w:r>
              <w:rPr>
                <w:b w:val="false"/>
                <w:bCs w:val="false"/>
                <w:sz w:val="18"/>
                <w:szCs w:val="18"/>
              </w:rPr>
              <w:t xml:space="preserve">12</w:t>
            </w:r>
          </w:p>
        </w:tc>
        <w:tc>
          <w:tcPr>
            <w:tcW w:type="dxa" w:w="1000"/>
            <w:tcMar>
              <w:top w:type="dxa" w:w="40"/>
              <w:left w:type="dxa" w:w="80"/>
              <w:bottom w:type="dxa" w:w="40"/>
              <w:right w:type="dxa" w:w="80"/>
            </w:tcMar>
          </w:tcPr>
          <w:p>
            <w:pPr>
              <w:jc w:val="center"/>
            </w:pPr>
            <w:r>
              <w:rPr>
                <w:b w:val="false"/>
                <w:bCs w:val="false"/>
                <w:sz w:val="18"/>
                <w:szCs w:val="18"/>
              </w:rPr>
              <w:t xml:space="preserve">4</w:t>
            </w:r>
          </w:p>
        </w:tc>
        <w:tc>
          <w:tcPr>
            <w:tcW w:type="dxa" w:w="1000"/>
            <w:tcMar>
              <w:top w:type="dxa" w:w="40"/>
              <w:left w:type="dxa" w:w="80"/>
              <w:bottom w:type="dxa" w:w="40"/>
              <w:right w:type="dxa" w:w="80"/>
            </w:tcMar>
          </w:tcPr>
          <w:p>
            <w:pPr>
              <w:jc w:val="center"/>
            </w:pPr>
            <w:r>
              <w:rPr>
                <w:b w:val="false"/>
                <w:bCs w:val="false"/>
                <w:sz w:val="18"/>
                <w:szCs w:val="18"/>
              </w:rPr>
              <w:t xml:space="preserve">4</w:t>
            </w:r>
          </w:p>
        </w:tc>
        <w:tc>
          <w:tcPr>
            <w:tcW w:type="dxa" w:w="2600"/>
            <w:tcMar>
              <w:top w:type="dxa" w:w="40"/>
              <w:left w:type="dxa" w:w="80"/>
              <w:bottom w:type="dxa" w:w="40"/>
              <w:right w:type="dxa" w:w="80"/>
            </w:tcMar>
          </w:tcPr>
          <w:p>
            <w:pPr>
              <w:jc w:val="center"/>
            </w:pPr>
            <w:r>
              <w:rPr>
                <w:b w:val="false"/>
                <w:bCs w:val="false"/>
                <w:sz w:val="18"/>
                <w:szCs w:val="18"/>
              </w:rPr>
              <w:t xml:space="preserve">9 000 000 F</w:t>
            </w:r>
          </w:p>
        </w:tc>
        <w:tc>
          <w:tcPr>
            <w:tcW w:type="dxa" w:w="1200"/>
            <w:tcMar>
              <w:top w:type="dxa" w:w="40"/>
              <w:left w:type="dxa" w:w="80"/>
              <w:bottom w:type="dxa" w:w="40"/>
              <w:right w:type="dxa" w:w="80"/>
            </w:tcMar>
          </w:tcPr>
          <w:p>
            <w:pPr>
              <w:jc w:val="center"/>
            </w:pPr>
            <w:r>
              <w:rPr>
                <w:b w:val="false"/>
                <w:bCs w:val="false"/>
                <w:sz w:val="18"/>
                <w:szCs w:val="18"/>
              </w:rPr>
              <w:t xml:space="preserve">3</w:t>
            </w:r>
          </w:p>
        </w:tc>
        <w:tc>
          <w:tcPr>
            <w:tcW w:type="dxa" w:w="1200"/>
            <w:tcMar>
              <w:top w:type="dxa" w:w="40"/>
              <w:left w:type="dxa" w:w="80"/>
              <w:bottom w:type="dxa" w:w="40"/>
              <w:right w:type="dxa" w:w="80"/>
            </w:tcMar>
          </w:tcPr>
          <w:p>
            <w:pPr>
              <w:jc w:val="center"/>
            </w:pPr>
            <w:r>
              <w:rPr>
                <w:b w:val="false"/>
                <w:bCs w:val="false"/>
                <w:sz w:val="18"/>
                <w:szCs w:val="18"/>
              </w:rPr>
              <w:t xml:space="preserve">9</w:t>
            </w:r>
          </w:p>
        </w:tc>
      </w:tr>
      <w:tr>
        <w:tc>
          <w:tcPr>
            <w:tcW w:type="dxa" w:w="1300"/>
            <w:shd w:fill="F3EEF3" w:color="auto" w:val="clear"/>
            <w:tcMar>
              <w:top w:type="dxa" w:w="40"/>
              <w:left w:type="dxa" w:w="80"/>
              <w:bottom w:type="dxa" w:w="40"/>
              <w:right w:type="dxa" w:w="80"/>
            </w:tcMar>
          </w:tcPr>
          <w:p>
            <w:pPr>
              <w:jc w:val="left"/>
            </w:pPr>
            <w:r>
              <w:rPr>
                <w:b w:val="false"/>
                <w:bCs w:val="false"/>
                <w:sz w:val="18"/>
                <w:szCs w:val="18"/>
              </w:rPr>
              <w:t xml:space="preserve">C16</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16</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4</w:t>
            </w:r>
          </w:p>
        </w:tc>
        <w:tc>
          <w:tcPr>
            <w:tcW w:type="dxa" w:w="1000"/>
            <w:shd w:fill="F3EEF3" w:color="auto" w:val="clear"/>
            <w:tcMar>
              <w:top w:type="dxa" w:w="40"/>
              <w:left w:type="dxa" w:w="80"/>
              <w:bottom w:type="dxa" w:w="40"/>
              <w:right w:type="dxa" w:w="80"/>
            </w:tcMar>
          </w:tcPr>
          <w:p>
            <w:pPr>
              <w:jc w:val="center"/>
            </w:pPr>
            <w:r>
              <w:rPr>
                <w:b w:val="false"/>
                <w:bCs w:val="false"/>
                <w:sz w:val="18"/>
                <w:szCs w:val="18"/>
              </w:rPr>
              <w:t xml:space="preserve">4</w:t>
            </w:r>
          </w:p>
        </w:tc>
        <w:tc>
          <w:tcPr>
            <w:tcW w:type="dxa" w:w="2600"/>
            <w:shd w:fill="F3EEF3" w:color="auto" w:val="clear"/>
            <w:tcMar>
              <w:top w:type="dxa" w:w="40"/>
              <w:left w:type="dxa" w:w="80"/>
              <w:bottom w:type="dxa" w:w="40"/>
              <w:right w:type="dxa" w:w="80"/>
            </w:tcMar>
          </w:tcPr>
          <w:p>
            <w:pPr>
              <w:jc w:val="center"/>
            </w:pPr>
            <w:r>
              <w:rPr>
                <w:b w:val="false"/>
                <w:bCs w:val="false"/>
                <w:sz w:val="18"/>
                <w:szCs w:val="18"/>
              </w:rPr>
              <w:t xml:space="preserve">15 000 000 F</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3</w:t>
            </w:r>
          </w:p>
        </w:tc>
        <w:tc>
          <w:tcPr>
            <w:tcW w:type="dxa" w:w="1200"/>
            <w:shd w:fill="F3EEF3" w:color="auto" w:val="clear"/>
            <w:tcMar>
              <w:top w:type="dxa" w:w="40"/>
              <w:left w:type="dxa" w:w="80"/>
              <w:bottom w:type="dxa" w:w="40"/>
              <w:right w:type="dxa" w:w="80"/>
            </w:tcMar>
          </w:tcPr>
          <w:p>
            <w:pPr>
              <w:jc w:val="center"/>
            </w:pPr>
            <w:r>
              <w:rPr>
                <w:b w:val="false"/>
                <w:bCs w:val="false"/>
                <w:sz w:val="18"/>
                <w:szCs w:val="18"/>
              </w:rPr>
              <w:t xml:space="preserve">13</w:t>
            </w:r>
          </w:p>
        </w:tc>
      </w:tr>
    </w:tbl>
    <w:p>
      <w:pPr>
        <w:spacing w:after="60" w:line="276"/>
        <w:jc w:val="both"/>
      </w:pPr>
      <w:r>
        <w:rPr>
          <w:b/>
          <w:bCs/>
          <w:i w:val="false"/>
          <w:iCs w:val="false"/>
        </w:rPr>
        <w:t xml:space="preserve">Important : </w:t>
      </w:r>
      <w:r>
        <w:rPr>
          <w:b w:val="false"/>
          <w:bCs w:val="false"/>
          <w:i w:val="false"/>
          <w:iCs w:val="false"/>
        </w:rPr>
        <w:t xml:space="preserve">l'objectif de collecte d'une Étape est un seuil de fonctionnement, et non un gain promis à un Candidat. Le gain réel d'un Candidat dépend du soutien effectif du public et se calcule selon l'Article 7.</w:t>
      </w:r>
    </w:p>
    <w:p>
      <w:pPr>
        <w:spacing w:after="120" w:line="276"/>
        <w:jc w:val="both"/>
      </w:pPr>
      <w:r>
        <w:rPr>
          <w:b/>
          <w:bCs/>
          <w:i w:val="false"/>
          <w:iCs w:val="false"/>
        </w:rPr>
        <w:t xml:space="preserve">Départage en cas d'égalité : </w:t>
      </w:r>
      <w:r>
        <w:rPr>
          <w:b w:val="false"/>
          <w:bCs w:val="false"/>
          <w:i w:val="false"/>
          <w:iCs w:val="false"/>
        </w:rPr>
        <w:t xml:space="preserve">lorsque, à une place qui donne droit à un gain, deux Candidats sont à égalité de Score, un délai de départage est ouvert pour laisser le public trancher. Si l'égalité persiste à l'issue de ce délai, les Candidats sont départagés au classement de repli : d'abord le plus grand nombre d'étoiles, puis le plus grand nombre de cœurs, puis l'ancienneté d'inscription.</w:t>
      </w:r>
    </w:p>
    <w:p>
      <w:pPr>
        <w:pStyle w:val="Heading1"/>
        <w:spacing w:after="120" w:before="260"/>
      </w:pPr>
      <w:r>
        <w:rPr>
          <w:b/>
          <w:bCs/>
          <w:color w:val="7e0380"/>
        </w:rPr>
        <w:t xml:space="preserve">Article 6 — Les votes payants</w:t>
      </w:r>
    </w:p>
    <w:p>
      <w:pPr>
        <w:pStyle w:val="ListParagraph"/>
        <w:numPr>
          <w:ilvl w:val="0"/>
          <w:numId w:val="2"/>
        </w:numPr>
        <w:spacing w:after="80" w:line="276"/>
        <w:jc w:val="both"/>
      </w:pPr>
      <w:r>
        <w:rPr>
          <w:b w:val="false"/>
          <w:bCs w:val="false"/>
          <w:i w:val="false"/>
          <w:iCs w:val="false"/>
        </w:rPr>
        <w:t xml:space="preserve">Deux soutiens sont proposés : l'</w:t>
      </w:r>
      <w:r>
        <w:rPr>
          <w:b/>
          <w:bCs/>
          <w:i w:val="false"/>
          <w:iCs w:val="false"/>
        </w:rPr>
        <w:t xml:space="preserve">étoile</w:t>
      </w:r>
      <w:r>
        <w:rPr>
          <w:b w:val="false"/>
          <w:bCs w:val="false"/>
          <w:i w:val="false"/>
          <w:iCs w:val="false"/>
        </w:rPr>
        <w:t xml:space="preserve"> (100 F CFA = 1 unité de score) et le </w:t>
      </w:r>
      <w:r>
        <w:rPr>
          <w:b/>
          <w:bCs/>
          <w:i w:val="false"/>
          <w:iCs w:val="false"/>
        </w:rPr>
        <w:t xml:space="preserve">cœur</w:t>
      </w:r>
      <w:r>
        <w:rPr>
          <w:b w:val="false"/>
          <w:bCs w:val="false"/>
          <w:i w:val="false"/>
          <w:iCs w:val="false"/>
        </w:rPr>
        <w:t xml:space="preserve"> (200 F CFA = 2 unités de score). Les prix en vigueur sont affichés sur la Plateforme et peuvent évoluer.</w:t>
      </w:r>
    </w:p>
    <w:p>
      <w:pPr>
        <w:pStyle w:val="ListParagraph"/>
        <w:numPr>
          <w:ilvl w:val="0"/>
          <w:numId w:val="2"/>
        </w:numPr>
        <w:spacing w:after="80" w:line="276"/>
        <w:jc w:val="both"/>
      </w:pPr>
      <w:r>
        <w:rPr>
          <w:b w:val="false"/>
          <w:bCs w:val="false"/>
          <w:i w:val="false"/>
          <w:iCs w:val="false"/>
        </w:rPr>
        <w:t xml:space="preserve">Le vote est un soutien volontaire et payant apporté à un Candidat. Une fois émis, le vote est définitif et n'est pas remboursable, sauf disposition légale impérative contraire.</w:t>
      </w:r>
    </w:p>
    <w:p>
      <w:pPr>
        <w:pStyle w:val="ListParagraph"/>
        <w:numPr>
          <w:ilvl w:val="0"/>
          <w:numId w:val="2"/>
        </w:numPr>
        <w:spacing w:after="80" w:line="276"/>
        <w:jc w:val="both"/>
      </w:pPr>
      <w:r>
        <w:rPr>
          <w:b w:val="false"/>
          <w:bCs w:val="false"/>
          <w:i w:val="false"/>
          <w:iCs w:val="false"/>
        </w:rPr>
        <w:t xml:space="preserve">Les votes payants alimentent la Cagnotte du Challenge et déterminent le classement des Candidats.</w:t>
      </w:r>
    </w:p>
    <w:p>
      <w:pPr>
        <w:pStyle w:val="ListParagraph"/>
        <w:numPr>
          <w:ilvl w:val="0"/>
          <w:numId w:val="2"/>
        </w:numPr>
        <w:spacing w:after="80" w:line="276"/>
        <w:jc w:val="both"/>
      </w:pPr>
      <w:r>
        <w:rPr>
          <w:b w:val="false"/>
          <w:bCs w:val="false"/>
          <w:i w:val="false"/>
          <w:iCs w:val="false"/>
        </w:rPr>
        <w:t xml:space="preserve">Toute manipulation, automatisation ou fraude visant à fausser les votes est interdite et peut entraîner l'annulation des votes concernés et des sanctions (Article 11).</w:t>
      </w:r>
    </w:p>
    <w:p>
      <w:pPr>
        <w:pStyle w:val="Heading1"/>
        <w:spacing w:after="120" w:before="260"/>
      </w:pPr>
      <w:r>
        <w:rPr>
          <w:b/>
          <w:bCs/>
          <w:color w:val="7e0380"/>
        </w:rPr>
        <w:t xml:space="preserve">Article 7 — Mécanique financière et répartition des gains</w:t>
      </w:r>
    </w:p>
    <w:p>
      <w:pPr>
        <w:spacing w:after="120" w:line="276"/>
        <w:jc w:val="both"/>
      </w:pPr>
      <w:r>
        <w:rPr>
          <w:b w:val="false"/>
          <w:bCs w:val="false"/>
          <w:i w:val="false"/>
          <w:iCs w:val="false"/>
        </w:rPr>
        <w:t xml:space="preserve">Le calcul des gains d'un Challenge s'effectue comme suit :</w:t>
      </w:r>
    </w:p>
    <w:p>
      <w:pPr>
        <w:pStyle w:val="ListParagraph"/>
        <w:numPr>
          <w:ilvl w:val="0"/>
          <w:numId w:val="2"/>
        </w:numPr>
        <w:spacing w:after="80" w:line="276"/>
        <w:jc w:val="both"/>
      </w:pPr>
      <w:r>
        <w:rPr>
          <w:b/>
          <w:bCs/>
          <w:i w:val="false"/>
          <w:iCs w:val="false"/>
        </w:rPr>
        <w:t xml:space="preserve">Cagnotte</w:t>
      </w:r>
      <w:r>
        <w:rPr>
          <w:b w:val="false"/>
          <w:bCs w:val="false"/>
          <w:i w:val="false"/>
          <w:iCs w:val="false"/>
        </w:rPr>
        <w:t xml:space="preserve"> : somme de tous les votes payants collectés au titre du Challenge.</w:t>
      </w:r>
    </w:p>
    <w:p>
      <w:pPr>
        <w:pStyle w:val="ListParagraph"/>
        <w:numPr>
          <w:ilvl w:val="0"/>
          <w:numId w:val="2"/>
        </w:numPr>
        <w:spacing w:after="80" w:line="276"/>
        <w:jc w:val="both"/>
      </w:pPr>
      <w:r>
        <w:rPr>
          <w:b/>
          <w:bCs/>
          <w:i w:val="false"/>
          <w:iCs w:val="false"/>
        </w:rPr>
        <w:t xml:space="preserve">Commission</w:t>
      </w:r>
      <w:r>
        <w:rPr>
          <w:b w:val="false"/>
          <w:bCs w:val="false"/>
          <w:i w:val="false"/>
          <w:iCs w:val="false"/>
        </w:rPr>
        <w:t xml:space="preserve"> : l'Éditeur prélève une commission sur la Cagnotte (taux actuel : 50 %). Le solde constitue le montant net à partager.</w:t>
      </w:r>
    </w:p>
    <w:p>
      <w:pPr>
        <w:pStyle w:val="ListParagraph"/>
        <w:numPr>
          <w:ilvl w:val="0"/>
          <w:numId w:val="2"/>
        </w:numPr>
        <w:spacing w:after="80" w:line="276"/>
        <w:jc w:val="both"/>
      </w:pPr>
      <w:r>
        <w:rPr>
          <w:b/>
          <w:bCs/>
          <w:i w:val="false"/>
          <w:iCs w:val="false"/>
        </w:rPr>
        <w:t xml:space="preserve">Net à partager</w:t>
      </w:r>
      <w:r>
        <w:rPr>
          <w:b w:val="false"/>
          <w:bCs w:val="false"/>
          <w:i w:val="false"/>
          <w:iCs w:val="false"/>
        </w:rPr>
        <w:t xml:space="preserve"> = Cagnotte − Commission.</w:t>
      </w:r>
    </w:p>
    <w:p>
      <w:pPr>
        <w:spacing w:after="120" w:line="276"/>
        <w:jc w:val="both"/>
      </w:pPr>
      <w:r>
        <w:rPr>
          <w:b w:val="false"/>
          <w:bCs w:val="false"/>
          <w:i w:val="false"/>
          <w:iCs w:val="false"/>
        </w:rPr>
        <w:t xml:space="preserve">Le montant net est réparti entre les Candidats gagnants selon le Podium, en fonction du nombre de gagnants du format :</w:t>
      </w:r>
    </w:p>
    <w:tbl>
      <w:tblPr>
        <w:tblW w:type="dxa" w:w="7700"/>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1500"/>
        <w:gridCol w:w="1500"/>
        <w:gridCol w:w="1500"/>
      </w:tblGrid>
      <w:tr>
        <w:trPr>
          <w:tblHeader/>
        </w:trPr>
        <w:tc>
          <w:tcPr>
            <w:tcW w:type="dxa" w:w="3200"/>
            <w:shd w:fill="7e0380" w:color="auto" w:val="clear"/>
            <w:tcMar>
              <w:top w:type="dxa" w:w="40"/>
              <w:left w:type="dxa" w:w="80"/>
              <w:bottom w:type="dxa" w:w="40"/>
              <w:right w:type="dxa" w:w="80"/>
            </w:tcMar>
          </w:tcPr>
          <w:p>
            <w:pPr>
              <w:jc w:val="left"/>
            </w:pPr>
            <w:r>
              <w:rPr>
                <w:b/>
                <w:bCs/>
                <w:color w:val="FFFFFF"/>
                <w:sz w:val="18"/>
                <w:szCs w:val="18"/>
              </w:rPr>
              <w:t xml:space="preserve">Nombre de gagnants</w:t>
            </w:r>
          </w:p>
        </w:tc>
        <w:tc>
          <w:tcPr>
            <w:tcW w:type="dxa" w:w="1500"/>
            <w:shd w:fill="7e0380" w:color="auto" w:val="clear"/>
            <w:tcMar>
              <w:top w:type="dxa" w:w="40"/>
              <w:left w:type="dxa" w:w="80"/>
              <w:bottom w:type="dxa" w:w="40"/>
              <w:right w:type="dxa" w:w="80"/>
            </w:tcMar>
          </w:tcPr>
          <w:p>
            <w:pPr>
              <w:jc w:val="center"/>
            </w:pPr>
            <w:r>
              <w:rPr>
                <w:b/>
                <w:bCs/>
                <w:color w:val="FFFFFF"/>
                <w:sz w:val="18"/>
                <w:szCs w:val="18"/>
              </w:rPr>
              <w:t xml:space="preserve">1er</w:t>
            </w:r>
          </w:p>
        </w:tc>
        <w:tc>
          <w:tcPr>
            <w:tcW w:type="dxa" w:w="1500"/>
            <w:shd w:fill="7e0380" w:color="auto" w:val="clear"/>
            <w:tcMar>
              <w:top w:type="dxa" w:w="40"/>
              <w:left w:type="dxa" w:w="80"/>
              <w:bottom w:type="dxa" w:w="40"/>
              <w:right w:type="dxa" w:w="80"/>
            </w:tcMar>
          </w:tcPr>
          <w:p>
            <w:pPr>
              <w:jc w:val="center"/>
            </w:pPr>
            <w:r>
              <w:rPr>
                <w:b/>
                <w:bCs/>
                <w:color w:val="FFFFFF"/>
                <w:sz w:val="18"/>
                <w:szCs w:val="18"/>
              </w:rPr>
              <w:t xml:space="preserve">2e</w:t>
            </w:r>
          </w:p>
        </w:tc>
        <w:tc>
          <w:tcPr>
            <w:tcW w:type="dxa" w:w="1500"/>
            <w:shd w:fill="7e0380" w:color="auto" w:val="clear"/>
            <w:tcMar>
              <w:top w:type="dxa" w:w="40"/>
              <w:left w:type="dxa" w:w="80"/>
              <w:bottom w:type="dxa" w:w="40"/>
              <w:right w:type="dxa" w:w="80"/>
            </w:tcMar>
          </w:tcPr>
          <w:p>
            <w:pPr>
              <w:jc w:val="center"/>
            </w:pPr>
            <w:r>
              <w:rPr>
                <w:b/>
                <w:bCs/>
                <w:color w:val="FFFFFF"/>
                <w:sz w:val="18"/>
                <w:szCs w:val="18"/>
              </w:rPr>
              <w:t xml:space="preserve">3e</w:t>
            </w:r>
          </w:p>
        </w:tc>
      </w:tr>
      <w:tr>
        <w:tc>
          <w:tcPr>
            <w:tcW w:type="dxa" w:w="3200"/>
            <w:tcMar>
              <w:top w:type="dxa" w:w="40"/>
              <w:left w:type="dxa" w:w="80"/>
              <w:bottom w:type="dxa" w:w="40"/>
              <w:right w:type="dxa" w:w="80"/>
            </w:tcMar>
          </w:tcPr>
          <w:p>
            <w:pPr>
              <w:jc w:val="left"/>
            </w:pPr>
            <w:r>
              <w:rPr>
                <w:b w:val="false"/>
                <w:bCs w:val="false"/>
                <w:sz w:val="18"/>
                <w:szCs w:val="18"/>
              </w:rPr>
              <w:t xml:space="preserve">1 gagnant (C2)</w:t>
            </w:r>
          </w:p>
        </w:tc>
        <w:tc>
          <w:tcPr>
            <w:tcW w:type="dxa" w:w="1500"/>
            <w:tcMar>
              <w:top w:type="dxa" w:w="40"/>
              <w:left w:type="dxa" w:w="80"/>
              <w:bottom w:type="dxa" w:w="40"/>
              <w:right w:type="dxa" w:w="80"/>
            </w:tcMar>
          </w:tcPr>
          <w:p>
            <w:pPr>
              <w:jc w:val="center"/>
            </w:pPr>
            <w:r>
              <w:rPr>
                <w:b w:val="false"/>
                <w:bCs w:val="false"/>
                <w:sz w:val="18"/>
                <w:szCs w:val="18"/>
              </w:rPr>
              <w:t xml:space="preserve">100 %</w:t>
            </w:r>
          </w:p>
        </w:tc>
        <w:tc>
          <w:tcPr>
            <w:tcW w:type="dxa" w:w="1500"/>
            <w:tcMar>
              <w:top w:type="dxa" w:w="40"/>
              <w:left w:type="dxa" w:w="80"/>
              <w:bottom w:type="dxa" w:w="40"/>
              <w:right w:type="dxa" w:w="80"/>
            </w:tcMar>
          </w:tcPr>
          <w:p>
            <w:pPr>
              <w:jc w:val="center"/>
            </w:pPr>
            <w:r>
              <w:rPr>
                <w:b w:val="false"/>
                <w:bCs w:val="false"/>
                <w:sz w:val="18"/>
                <w:szCs w:val="18"/>
              </w:rPr>
              <w:t xml:space="preserve">—</w:t>
            </w:r>
          </w:p>
        </w:tc>
        <w:tc>
          <w:tcPr>
            <w:tcW w:type="dxa" w:w="1500"/>
            <w:tcMar>
              <w:top w:type="dxa" w:w="40"/>
              <w:left w:type="dxa" w:w="80"/>
              <w:bottom w:type="dxa" w:w="40"/>
              <w:right w:type="dxa" w:w="80"/>
            </w:tcMar>
          </w:tcPr>
          <w:p>
            <w:pPr>
              <w:jc w:val="center"/>
            </w:pPr>
            <w:r>
              <w:rPr>
                <w:b w:val="false"/>
                <w:bCs w:val="false"/>
                <w:sz w:val="18"/>
                <w:szCs w:val="18"/>
              </w:rPr>
              <w:t xml:space="preserve">—</w:t>
            </w:r>
          </w:p>
        </w:tc>
      </w:tr>
      <w:tr>
        <w:tc>
          <w:tcPr>
            <w:tcW w:type="dxa" w:w="3200"/>
            <w:shd w:fill="F3EEF3" w:color="auto" w:val="clear"/>
            <w:tcMar>
              <w:top w:type="dxa" w:w="40"/>
              <w:left w:type="dxa" w:w="80"/>
              <w:bottom w:type="dxa" w:w="40"/>
              <w:right w:type="dxa" w:w="80"/>
            </w:tcMar>
          </w:tcPr>
          <w:p>
            <w:pPr>
              <w:jc w:val="left"/>
            </w:pPr>
            <w:r>
              <w:rPr>
                <w:b w:val="false"/>
                <w:bCs w:val="false"/>
                <w:sz w:val="18"/>
                <w:szCs w:val="18"/>
              </w:rPr>
              <w:t xml:space="preserve">2 gagnants (C4)</w:t>
            </w:r>
          </w:p>
        </w:tc>
        <w:tc>
          <w:tcPr>
            <w:tcW w:type="dxa" w:w="1500"/>
            <w:shd w:fill="F3EEF3" w:color="auto" w:val="clear"/>
            <w:tcMar>
              <w:top w:type="dxa" w:w="40"/>
              <w:left w:type="dxa" w:w="80"/>
              <w:bottom w:type="dxa" w:w="40"/>
              <w:right w:type="dxa" w:w="80"/>
            </w:tcMar>
          </w:tcPr>
          <w:p>
            <w:pPr>
              <w:jc w:val="center"/>
            </w:pPr>
            <w:r>
              <w:rPr>
                <w:b w:val="false"/>
                <w:bCs w:val="false"/>
                <w:sz w:val="18"/>
                <w:szCs w:val="18"/>
              </w:rPr>
              <w:t xml:space="preserve">65 %</w:t>
            </w:r>
          </w:p>
        </w:tc>
        <w:tc>
          <w:tcPr>
            <w:tcW w:type="dxa" w:w="1500"/>
            <w:shd w:fill="F3EEF3" w:color="auto" w:val="clear"/>
            <w:tcMar>
              <w:top w:type="dxa" w:w="40"/>
              <w:left w:type="dxa" w:w="80"/>
              <w:bottom w:type="dxa" w:w="40"/>
              <w:right w:type="dxa" w:w="80"/>
            </w:tcMar>
          </w:tcPr>
          <w:p>
            <w:pPr>
              <w:jc w:val="center"/>
            </w:pPr>
            <w:r>
              <w:rPr>
                <w:b w:val="false"/>
                <w:bCs w:val="false"/>
                <w:sz w:val="18"/>
                <w:szCs w:val="18"/>
              </w:rPr>
              <w:t xml:space="preserve">35 %</w:t>
            </w:r>
          </w:p>
        </w:tc>
        <w:tc>
          <w:tcPr>
            <w:tcW w:type="dxa" w:w="1500"/>
            <w:shd w:fill="F3EEF3" w:color="auto" w:val="clear"/>
            <w:tcMar>
              <w:top w:type="dxa" w:w="40"/>
              <w:left w:type="dxa" w:w="80"/>
              <w:bottom w:type="dxa" w:w="40"/>
              <w:right w:type="dxa" w:w="80"/>
            </w:tcMar>
          </w:tcPr>
          <w:p>
            <w:pPr>
              <w:jc w:val="center"/>
            </w:pPr>
            <w:r>
              <w:rPr>
                <w:b w:val="false"/>
                <w:bCs w:val="false"/>
                <w:sz w:val="18"/>
                <w:szCs w:val="18"/>
              </w:rPr>
              <w:t xml:space="preserve">—</w:t>
            </w:r>
          </w:p>
        </w:tc>
      </w:tr>
      <w:tr>
        <w:tc>
          <w:tcPr>
            <w:tcW w:type="dxa" w:w="3200"/>
            <w:tcMar>
              <w:top w:type="dxa" w:w="40"/>
              <w:left w:type="dxa" w:w="80"/>
              <w:bottom w:type="dxa" w:w="40"/>
              <w:right w:type="dxa" w:w="80"/>
            </w:tcMar>
          </w:tcPr>
          <w:p>
            <w:pPr>
              <w:jc w:val="left"/>
            </w:pPr>
            <w:r>
              <w:rPr>
                <w:b w:val="false"/>
                <w:bCs w:val="false"/>
                <w:sz w:val="18"/>
                <w:szCs w:val="18"/>
              </w:rPr>
              <w:t xml:space="preserve">3 gagnants (C6, C8, C12, C16)</w:t>
            </w:r>
          </w:p>
        </w:tc>
        <w:tc>
          <w:tcPr>
            <w:tcW w:type="dxa" w:w="1500"/>
            <w:tcMar>
              <w:top w:type="dxa" w:w="40"/>
              <w:left w:type="dxa" w:w="80"/>
              <w:bottom w:type="dxa" w:w="40"/>
              <w:right w:type="dxa" w:w="80"/>
            </w:tcMar>
          </w:tcPr>
          <w:p>
            <w:pPr>
              <w:jc w:val="center"/>
            </w:pPr>
            <w:r>
              <w:rPr>
                <w:b w:val="false"/>
                <w:bCs w:val="false"/>
                <w:sz w:val="18"/>
                <w:szCs w:val="18"/>
              </w:rPr>
              <w:t xml:space="preserve">60 %</w:t>
            </w:r>
          </w:p>
        </w:tc>
        <w:tc>
          <w:tcPr>
            <w:tcW w:type="dxa" w:w="1500"/>
            <w:tcMar>
              <w:top w:type="dxa" w:w="40"/>
              <w:left w:type="dxa" w:w="80"/>
              <w:bottom w:type="dxa" w:w="40"/>
              <w:right w:type="dxa" w:w="80"/>
            </w:tcMar>
          </w:tcPr>
          <w:p>
            <w:pPr>
              <w:jc w:val="center"/>
            </w:pPr>
            <w:r>
              <w:rPr>
                <w:b w:val="false"/>
                <w:bCs w:val="false"/>
                <w:sz w:val="18"/>
                <w:szCs w:val="18"/>
              </w:rPr>
              <w:t xml:space="preserve">25 %</w:t>
            </w:r>
          </w:p>
        </w:tc>
        <w:tc>
          <w:tcPr>
            <w:tcW w:type="dxa" w:w="1500"/>
            <w:tcMar>
              <w:top w:type="dxa" w:w="40"/>
              <w:left w:type="dxa" w:w="80"/>
              <w:bottom w:type="dxa" w:w="40"/>
              <w:right w:type="dxa" w:w="80"/>
            </w:tcMar>
          </w:tcPr>
          <w:p>
            <w:pPr>
              <w:jc w:val="center"/>
            </w:pPr>
            <w:r>
              <w:rPr>
                <w:b w:val="false"/>
                <w:bCs w:val="false"/>
                <w:sz w:val="18"/>
                <w:szCs w:val="18"/>
              </w:rPr>
              <w:t xml:space="preserve">15 %</w:t>
            </w:r>
          </w:p>
        </w:tc>
      </w:tr>
    </w:tbl>
    <w:p>
      <w:pPr>
        <w:spacing w:after="120" w:line="276"/>
        <w:jc w:val="both"/>
      </w:pPr>
      <w:r>
        <w:rPr>
          <w:b/>
          <w:bCs/>
          <w:i w:val="false"/>
          <w:iCs w:val="false"/>
        </w:rPr>
        <w:t xml:space="preserve">Invariant : </w:t>
      </w:r>
      <w:r>
        <w:rPr>
          <w:b w:val="false"/>
          <w:bCs w:val="false"/>
          <w:i w:val="false"/>
          <w:iCs w:val="false"/>
        </w:rPr>
        <w:t xml:space="preserve">la Plateforme ne distribue jamais plus que ce qui a été effectivement collecté. Les pourcentages en vigueur sont susceptibles d'évoluer ; les taux applicables sont ceux affichés sur la Plateforme au moment du Challenge.</w:t>
      </w:r>
    </w:p>
    <w:p>
      <w:pPr>
        <w:pStyle w:val="Heading1"/>
        <w:spacing w:after="120" w:before="260"/>
      </w:pPr>
      <w:r>
        <w:rPr>
          <w:b/>
          <w:bCs/>
          <w:color w:val="7e0380"/>
        </w:rPr>
        <w:t xml:space="preserve">Article 8 — Primes de participation</w:t>
      </w:r>
    </w:p>
    <w:p>
      <w:pPr>
        <w:spacing w:after="120" w:line="276"/>
        <w:jc w:val="both"/>
      </w:pPr>
      <w:r>
        <w:rPr>
          <w:b w:val="false"/>
          <w:bCs w:val="false"/>
          <w:i w:val="false"/>
          <w:iCs w:val="false"/>
        </w:rPr>
        <w:t xml:space="preserve">Chaque Candidat éliminé reçoit une prime de participation. Cette prime est actuellement égale à 20 % de ce que ses propres votes ont rapporté. Les primes de participation sont financées par la Commission de l'Éditeur, et non prélevées sur la part du Podium. L'objectif est que tout Candidat, même éliminé, soit vu par la communauté et voie sa participation récompensée.</w:t>
      </w:r>
    </w:p>
    <w:p>
      <w:pPr>
        <w:pStyle w:val="Heading1"/>
        <w:spacing w:after="120" w:before="260"/>
      </w:pPr>
      <w:r>
        <w:rPr>
          <w:b/>
          <w:bCs/>
          <w:color w:val="7e0380"/>
        </w:rPr>
        <w:t xml:space="preserve">Article 9 — Comptes, paiements et retraits</w:t>
      </w:r>
    </w:p>
    <w:p>
      <w:pPr>
        <w:spacing w:after="120" w:line="276"/>
        <w:jc w:val="both"/>
      </w:pPr>
      <w:r>
        <w:rPr>
          <w:b w:val="false"/>
          <w:bCs w:val="false"/>
          <w:i w:val="false"/>
          <w:iCs w:val="false"/>
        </w:rPr>
        <w:t xml:space="preserve">La Plateforme distingue strictement deux soldes, qui ne se mélangent jamais :</w:t>
      </w:r>
    </w:p>
    <w:p>
      <w:pPr>
        <w:pStyle w:val="ListParagraph"/>
        <w:numPr>
          <w:ilvl w:val="0"/>
          <w:numId w:val="2"/>
        </w:numPr>
        <w:spacing w:after="80" w:line="276"/>
        <w:jc w:val="both"/>
      </w:pPr>
      <w:r>
        <w:rPr>
          <w:b/>
          <w:bCs/>
          <w:i w:val="false"/>
          <w:iCs w:val="false"/>
        </w:rPr>
        <w:t xml:space="preserve">Compte de votes</w:t>
      </w:r>
      <w:r>
        <w:rPr>
          <w:b w:val="false"/>
          <w:bCs w:val="false"/>
          <w:i w:val="false"/>
          <w:iCs w:val="false"/>
        </w:rPr>
        <w:t xml:space="preserve"> : alimenté par les recharges de l'utilisateur, il sert exclusivement à voter et à s'inscrire. Il n'est pas retirable.</w:t>
      </w:r>
    </w:p>
    <w:p>
      <w:pPr>
        <w:pStyle w:val="ListParagraph"/>
        <w:numPr>
          <w:ilvl w:val="0"/>
          <w:numId w:val="2"/>
        </w:numPr>
        <w:spacing w:after="80" w:line="276"/>
        <w:jc w:val="both"/>
      </w:pPr>
      <w:r>
        <w:rPr>
          <w:b/>
          <w:bCs/>
          <w:i w:val="false"/>
          <w:iCs w:val="false"/>
        </w:rPr>
        <w:t xml:space="preserve">Compte de retrait</w:t>
      </w:r>
      <w:r>
        <w:rPr>
          <w:b w:val="false"/>
          <w:bCs w:val="false"/>
          <w:i w:val="false"/>
          <w:iCs w:val="false"/>
        </w:rPr>
        <w:t xml:space="preserve"> : constitué des gains (part de Cagnotte et primes de participation). Seul ce solde peut faire l'objet d'un retrait.</w:t>
      </w:r>
    </w:p>
    <w:p>
      <w:pPr>
        <w:spacing w:after="120" w:line="276"/>
        <w:jc w:val="both"/>
      </w:pPr>
      <w:r>
        <w:rPr>
          <w:b w:val="false"/>
          <w:bCs w:val="false"/>
          <w:i w:val="false"/>
          <w:iCs w:val="false"/>
        </w:rPr>
        <w:t xml:space="preserve">Les paiements (recharges et votes) et les décaissements (retraits) sont opérés via un prestataire de paiement Mobile Money agréé. Les conditions de retrait en vigueur sont les suivantes :</w:t>
      </w:r>
    </w:p>
    <w:p>
      <w:pPr>
        <w:pStyle w:val="ListParagraph"/>
        <w:numPr>
          <w:ilvl w:val="0"/>
          <w:numId w:val="2"/>
        </w:numPr>
        <w:spacing w:after="80" w:line="276"/>
        <w:jc w:val="both"/>
      </w:pPr>
      <w:r>
        <w:rPr>
          <w:b w:val="false"/>
          <w:bCs w:val="false"/>
          <w:i w:val="false"/>
          <w:iCs w:val="false"/>
        </w:rPr>
        <w:t xml:space="preserve">Montant minimum de retrait : 500 F CFA.</w:t>
      </w:r>
    </w:p>
    <w:p>
      <w:pPr>
        <w:pStyle w:val="ListParagraph"/>
        <w:numPr>
          <w:ilvl w:val="0"/>
          <w:numId w:val="2"/>
        </w:numPr>
        <w:spacing w:after="80" w:line="276"/>
        <w:jc w:val="both"/>
      </w:pPr>
      <w:r>
        <w:rPr>
          <w:b w:val="false"/>
          <w:bCs w:val="false"/>
          <w:i w:val="false"/>
          <w:iCs w:val="false"/>
        </w:rPr>
        <w:t xml:space="preserve">Des frais de traitement de 2 % sont appliqués au retrait et sont à la charge du bénéficiaire (le Candidat reçoit le montant demandé diminué de ces frais).</w:t>
      </w:r>
    </w:p>
    <w:p>
      <w:pPr>
        <w:pStyle w:val="ListParagraph"/>
        <w:numPr>
          <w:ilvl w:val="0"/>
          <w:numId w:val="2"/>
        </w:numPr>
        <w:spacing w:after="80" w:line="276"/>
        <w:jc w:val="both"/>
      </w:pPr>
      <w:r>
        <w:rPr>
          <w:b w:val="false"/>
          <w:bCs w:val="false"/>
          <w:i w:val="false"/>
          <w:iCs w:val="false"/>
        </w:rPr>
        <w:t xml:space="preserve">Le retrait est effectué vers le compte Mobile Money renseigné par le bénéficiaire ; l'exactitude de ces informations relève de sa responsabilité.</w:t>
      </w:r>
    </w:p>
    <w:p>
      <w:pPr>
        <w:pStyle w:val="ListParagraph"/>
        <w:numPr>
          <w:ilvl w:val="0"/>
          <w:numId w:val="2"/>
        </w:numPr>
        <w:spacing w:after="80" w:line="276"/>
        <w:jc w:val="both"/>
      </w:pPr>
      <w:r>
        <w:rPr>
          <w:b w:val="false"/>
          <w:bCs w:val="false"/>
          <w:i w:val="false"/>
          <w:iCs w:val="false"/>
        </w:rPr>
        <w:t xml:space="preserve">Le traitement d'un retrait peut nécessiter un délai et une vérification d'identité préalable (Article 4).</w:t>
      </w:r>
    </w:p>
    <w:p>
      <w:pPr>
        <w:spacing w:after="120" w:line="276"/>
        <w:jc w:val="both"/>
      </w:pPr>
      <w:r>
        <w:rPr>
          <w:b w:val="false"/>
          <w:bCs w:val="false"/>
          <w:i/>
          <w:iCs/>
          <w:color w:val="555555"/>
        </w:rPr>
        <w:t xml:space="preserve">Les montants et taux (prix des votes, commission, primes, minimum et frais de retrait) indiqués dans le présent Règlement sont ceux en vigueur à la date de rédaction ; ils peuvent être modifiés et sont affichés sur la Plateforme.</w:t>
      </w:r>
    </w:p>
    <w:p>
      <w:pPr>
        <w:pStyle w:val="Heading1"/>
        <w:spacing w:after="120" w:before="260"/>
      </w:pPr>
      <w:r>
        <w:rPr>
          <w:b/>
          <w:bCs/>
          <w:color w:val="7e0380"/>
        </w:rPr>
        <w:t xml:space="preserve">Article 10 — Obligations des participants</w:t>
      </w:r>
    </w:p>
    <w:p>
      <w:pPr>
        <w:pStyle w:val="ListParagraph"/>
        <w:numPr>
          <w:ilvl w:val="0"/>
          <w:numId w:val="2"/>
        </w:numPr>
        <w:spacing w:after="80" w:line="276"/>
        <w:jc w:val="both"/>
      </w:pPr>
      <w:r>
        <w:rPr>
          <w:b w:val="false"/>
          <w:bCs w:val="false"/>
          <w:i w:val="false"/>
          <w:iCs w:val="false"/>
        </w:rPr>
        <w:t xml:space="preserve">Le Candidat garantit que les vidéos soumises sont sa propre prestation ou qu'il en détient tous les droits, et qu'elles ne portent atteinte à aucun droit de tiers ni à l'ordre public ou aux bonnes mœurs.</w:t>
      </w:r>
    </w:p>
    <w:p>
      <w:pPr>
        <w:pStyle w:val="ListParagraph"/>
        <w:numPr>
          <w:ilvl w:val="0"/>
          <w:numId w:val="2"/>
        </w:numPr>
        <w:spacing w:after="80" w:line="276"/>
        <w:jc w:val="both"/>
      </w:pPr>
      <w:r>
        <w:rPr>
          <w:b w:val="false"/>
          <w:bCs w:val="false"/>
          <w:i w:val="false"/>
          <w:iCs w:val="false"/>
        </w:rPr>
        <w:t xml:space="preserve">Sont notamment interdits : les contenus illicites, haineux, violents, à caractère sexuel impliquant des mineurs, diffamatoires ou trompeurs.</w:t>
      </w:r>
    </w:p>
    <w:p>
      <w:pPr>
        <w:pStyle w:val="ListParagraph"/>
        <w:numPr>
          <w:ilvl w:val="0"/>
          <w:numId w:val="2"/>
        </w:numPr>
        <w:spacing w:after="80" w:line="276"/>
        <w:jc w:val="both"/>
      </w:pPr>
      <w:r>
        <w:rPr>
          <w:b w:val="false"/>
          <w:bCs w:val="false"/>
          <w:i w:val="false"/>
          <w:iCs w:val="false"/>
        </w:rPr>
        <w:t xml:space="preserve">Toute fraude, triche, manipulation de votes, usurpation d'identité ou contournement des règles est interdite.</w:t>
      </w:r>
    </w:p>
    <w:p>
      <w:pPr>
        <w:pStyle w:val="ListParagraph"/>
        <w:numPr>
          <w:ilvl w:val="0"/>
          <w:numId w:val="2"/>
        </w:numPr>
        <w:spacing w:after="80" w:line="276"/>
        <w:jc w:val="both"/>
      </w:pPr>
      <w:r>
        <w:rPr>
          <w:b w:val="false"/>
          <w:bCs w:val="false"/>
          <w:i w:val="false"/>
          <w:iCs w:val="false"/>
        </w:rPr>
        <w:t xml:space="preserve">L'utilisateur s'interdit toute utilisation de la Plateforme à des fins de blanchiment ou de financement d'activités illicites.</w:t>
      </w:r>
    </w:p>
    <w:p>
      <w:pPr>
        <w:pStyle w:val="Heading1"/>
        <w:spacing w:after="120" w:before="260"/>
      </w:pPr>
      <w:r>
        <w:rPr>
          <w:b/>
          <w:bCs/>
          <w:color w:val="7e0380"/>
        </w:rPr>
        <w:t xml:space="preserve">Article 11 — Modération et sanctions</w:t>
      </w:r>
    </w:p>
    <w:p>
      <w:pPr>
        <w:spacing w:after="120" w:line="276"/>
        <w:jc w:val="both"/>
      </w:pPr>
      <w:r>
        <w:rPr>
          <w:b w:val="false"/>
          <w:bCs w:val="false"/>
          <w:i w:val="false"/>
          <w:iCs w:val="false"/>
        </w:rPr>
        <w:t xml:space="preserve">L'Éditeur se réserve le droit de modérer, suspendre ou retirer tout contenu, et de suspendre ou disqualifier tout Candidat, en cas de manquement au présent Règlement, de fraude ou de contenu illicite. En cas de fraude avérée sur les votes, les votes concernés peuvent être annulés. Ces mesures interviennent sans préjudice des éventuelles poursuites.</w:t>
      </w:r>
    </w:p>
    <w:p>
      <w:pPr>
        <w:pStyle w:val="Heading1"/>
        <w:spacing w:after="120" w:before="260"/>
      </w:pPr>
      <w:r>
        <w:rPr>
          <w:b/>
          <w:bCs/>
          <w:color w:val="7e0380"/>
        </w:rPr>
        <w:t xml:space="preserve">Article 12 — Propriété intellectuelle</w:t>
      </w:r>
    </w:p>
    <w:p>
      <w:pPr>
        <w:spacing w:after="120" w:line="276"/>
        <w:jc w:val="both"/>
      </w:pPr>
      <w:r>
        <w:rPr>
          <w:b w:val="false"/>
          <w:bCs w:val="false"/>
          <w:i w:val="false"/>
          <w:iCs w:val="false"/>
        </w:rPr>
        <w:t xml:space="preserve">Le Candidat conserve ses droits sur ses prestations. En les soumettant, il concède à l'Éditeur une licence non exclusive, pour la durée nécessaire, aux fins de diffusion, de reproduction et de promotion de sa prestation sur la Plateforme et ses canaux de communication. La marque, le nom et les éléments graphiques de Diki-Diki demeurent la propriété de l'Éditeur.</w:t>
      </w:r>
    </w:p>
    <w:p>
      <w:pPr>
        <w:pStyle w:val="Heading1"/>
        <w:spacing w:after="120" w:before="260"/>
      </w:pPr>
      <w:r>
        <w:rPr>
          <w:b/>
          <w:bCs/>
          <w:color w:val="7e0380"/>
        </w:rPr>
        <w:t xml:space="preserve">Article 13 — Données personnelles</w:t>
      </w:r>
    </w:p>
    <w:p>
      <w:pPr>
        <w:spacing w:after="120" w:line="276"/>
        <w:jc w:val="both"/>
      </w:pPr>
      <w:r>
        <w:rPr>
          <w:b w:val="false"/>
          <w:bCs w:val="false"/>
          <w:i w:val="false"/>
          <w:iCs w:val="false"/>
        </w:rPr>
        <w:t xml:space="preserve">L'Éditeur collecte et traite les données personnelles nécessaires à la fourniture du service (inscription, paiements, retraits, lutte contre la fraude). Les données sont conservées pour la durée nécessaire et protégées par des mesures appropriées. L'utilisateur dispose de droits d'accès, de rectification et de suppression, qu'il peut exercer auprès de l'Éditeur (Article 18). [À mettre en conformité avec la loi béninoise sur la protection des données à caractère personnel et, le cas échéant, l'APDP.]</w:t>
      </w:r>
    </w:p>
    <w:p>
      <w:pPr>
        <w:pStyle w:val="Heading1"/>
        <w:spacing w:after="120" w:before="260"/>
      </w:pPr>
      <w:r>
        <w:rPr>
          <w:b/>
          <w:bCs/>
          <w:color w:val="7e0380"/>
        </w:rPr>
        <w:t xml:space="preserve">Article 14 — Responsabilité et disponibilité</w:t>
      </w:r>
    </w:p>
    <w:p>
      <w:pPr>
        <w:spacing w:after="120" w:line="276"/>
        <w:jc w:val="both"/>
      </w:pPr>
      <w:r>
        <w:rPr>
          <w:b w:val="false"/>
          <w:bCs w:val="false"/>
          <w:i w:val="false"/>
          <w:iCs w:val="false"/>
        </w:rPr>
        <w:t xml:space="preserve">L'Éditeur met en œuvre les moyens raisonnables pour assurer le bon fonctionnement de la Plateforme, sans garantir une disponibilité ininterrompue. Sa responsabilité ne saurait être engagée en cas de force majeure, de défaillance des réseaux ou des prestataires de paiement, ni des informations erronées fournies par l'utilisateur (notamment un numéro Mobile Money incorrect). L'Éditeur n'est pas responsable des échecs de paiement ou de retrait imputables à l'opérateur ou au prestataire de paiement.</w:t>
      </w:r>
    </w:p>
    <w:p>
      <w:pPr>
        <w:pStyle w:val="Heading1"/>
        <w:spacing w:after="120" w:before="260"/>
      </w:pPr>
      <w:r>
        <w:rPr>
          <w:b/>
          <w:bCs/>
          <w:color w:val="7e0380"/>
        </w:rPr>
        <w:t xml:space="preserve">Article 15 — Lutte contre la fraude et le blanchiment (KYC)</w:t>
      </w:r>
    </w:p>
    <w:p>
      <w:pPr>
        <w:spacing w:after="120" w:line="276"/>
        <w:jc w:val="both"/>
      </w:pPr>
      <w:r>
        <w:rPr>
          <w:b w:val="false"/>
          <w:bCs w:val="false"/>
          <w:i w:val="false"/>
          <w:iCs w:val="false"/>
        </w:rPr>
        <w:t xml:space="preserve">Afin de prévenir la fraude et le blanchiment de capitaux, l'Éditeur peut, à tout moment et notamment avant un retrait, demander la vérification de l'identité du bénéficiaire et la justification de la cohérence entre le titulaire du compte et le bénéficiaire du retrait. À défaut, le retrait peut être suspendu.</w:t>
      </w:r>
    </w:p>
    <w:p>
      <w:pPr>
        <w:pStyle w:val="Heading1"/>
        <w:spacing w:after="120" w:before="260"/>
      </w:pPr>
      <w:r>
        <w:rPr>
          <w:b/>
          <w:bCs/>
          <w:color w:val="7e0380"/>
        </w:rPr>
        <w:t xml:space="preserve">Article 16 — Modification du Règlement</w:t>
      </w:r>
    </w:p>
    <w:p>
      <w:pPr>
        <w:spacing w:after="120" w:line="276"/>
        <w:jc w:val="both"/>
      </w:pPr>
      <w:r>
        <w:rPr>
          <w:b w:val="false"/>
          <w:bCs w:val="false"/>
          <w:i w:val="false"/>
          <w:iCs w:val="false"/>
        </w:rPr>
        <w:t xml:space="preserve">L'Éditeur peut modifier le présent Règlement, notamment pour l'adapter à l'évolution de la Plateforme ou de la réglementation. Les modifications sont publiées sur la Plateforme et entrent en vigueur à leur date de publication. La poursuite de l'utilisation vaut acceptation de la version en vigueur.</w:t>
      </w:r>
    </w:p>
    <w:p>
      <w:pPr>
        <w:pStyle w:val="Heading1"/>
        <w:spacing w:after="120" w:before="260"/>
      </w:pPr>
      <w:r>
        <w:rPr>
          <w:b/>
          <w:bCs/>
          <w:color w:val="7e0380"/>
        </w:rPr>
        <w:t xml:space="preserve">Article 17 — Droit applicable et litiges</w:t>
      </w:r>
    </w:p>
    <w:p>
      <w:pPr>
        <w:spacing w:after="120" w:line="276"/>
        <w:jc w:val="both"/>
      </w:pPr>
      <w:r>
        <w:rPr>
          <w:b w:val="false"/>
          <w:bCs w:val="false"/>
          <w:i w:val="false"/>
          <w:iCs w:val="false"/>
        </w:rPr>
        <w:t xml:space="preserve">Le présent Règlement est soumis au droit de la République du Bénin. En cas de litige, les parties rechercheront une solution amiable préalable. À défaut, le litige sera porté devant les juridictions compétentes de Cotonou. [À confirmer par un conseil juridique — clause de médiation/juridiction.]</w:t>
      </w:r>
    </w:p>
    <w:p>
      <w:pPr>
        <w:pStyle w:val="Heading1"/>
        <w:spacing w:after="120" w:before="260"/>
      </w:pPr>
      <w:r>
        <w:rPr>
          <w:b/>
          <w:bCs/>
          <w:color w:val="7e0380"/>
        </w:rPr>
        <w:t xml:space="preserve">Article 18 — Contact</w:t>
      </w:r>
    </w:p>
    <w:p>
      <w:pPr>
        <w:spacing w:after="120" w:line="276"/>
        <w:jc w:val="both"/>
      </w:pPr>
      <w:r>
        <w:rPr>
          <w:b w:val="false"/>
          <w:bCs w:val="false"/>
          <w:i w:val="false"/>
          <w:iCs w:val="false"/>
        </w:rPr>
        <w:t xml:space="preserve">Éditeur : IGEJPS — RCCM RB/COT/25 A 109871 — Cotonou, Bénin. Contact : </w:t>
      </w:r>
      <w:r>
        <w:rPr>
          <w:b/>
          <w:bCs/>
          <w:i w:val="false"/>
          <w:iCs w:val="false"/>
        </w:rPr>
        <w:t xml:space="preserve">ifedeg@gmail.com</w:t>
      </w:r>
      <w:r>
        <w:rPr>
          <w:b w:val="false"/>
          <w:bCs w:val="false"/>
          <w:i w:val="false"/>
          <w:iCs w:val="false"/>
        </w:rPr>
        <w:t xml:space="preserve"> — [téléphone / adresse à compléter].</w:t>
      </w:r>
    </w:p>
    <w:p>
      <w:pPr>
        <w:pBdr>
          <w:top w:val="single" w:color="CCCCCC" w:sz="4"/>
        </w:pBdr>
        <w:spacing w:before="240"/>
      </w:pPr>
    </w:p>
    <w:p>
      <w:pPr>
        <w:spacing w:after="120" w:line="276"/>
        <w:jc w:val="both"/>
      </w:pPr>
      <w:r>
        <w:rPr>
          <w:b w:val="false"/>
          <w:bCs w:val="false"/>
          <w:i/>
          <w:iCs/>
          <w:color w:val="555555"/>
        </w:rPr>
        <w:t xml:space="preserve">Fait à Cotonou, le [date]. Version : Brouillon 1.0 — document de travail non contractuel tant qu'il n'a pas été validé par un conseil juridique et publié par l'Éditeur.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Diki-Diki — Règlement &amp; CGU (brouillon)   ·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7e0380"/>
      <w:sz w:val="26"/>
      <w:szCs w:val="26"/>
    </w:rPr>
  </w:style>
  <w:style w:type="paragraph" w:styleId="Heading2">
    <w:name w:val="Heading 2"/>
    <w:basedOn w:val="Normal"/>
    <w:next w:val="Normal"/>
    <w:qFormat/>
    <w:pPr>
      <w:spacing w:after="80" w:before="160"/>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du concours &amp; CGU — Diki-Diki</dc:title>
  <dc:creator>Diki-Diki</dc:creator>
  <cp:lastModifiedBy>Un-named</cp:lastModifiedBy>
  <cp:revision>1</cp:revision>
  <dcterms:created xsi:type="dcterms:W3CDTF">2026-09-03T15:24:51.163Z</dcterms:created>
  <dcterms:modified xsi:type="dcterms:W3CDTF">2026-09-03T15:24:51.189Z</dcterms:modified>
</cp:coreProperties>
</file>

<file path=docProps/custom.xml><?xml version="1.0" encoding="utf-8"?>
<Properties xmlns="http://schemas.openxmlformats.org/officeDocument/2006/custom-properties" xmlns:vt="http://schemas.openxmlformats.org/officeDocument/2006/docPropsVTypes"/>
</file>