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E5F" w:rsidRPr="0061068A" w:rsidRDefault="00A96E5F" w:rsidP="00A96E5F">
      <w:pPr>
        <w:pStyle w:val="Sansinterligne"/>
        <w:rPr>
          <w:rFonts w:ascii="Cambria" w:hAnsi="Cambria"/>
          <w:b/>
          <w:color w:val="1F497D"/>
          <w:sz w:val="36"/>
          <w:szCs w:val="36"/>
        </w:rPr>
      </w:pPr>
      <w:r w:rsidRPr="0061068A">
        <w:rPr>
          <w:noProof/>
          <w:lang w:eastAsia="fr-FR"/>
        </w:rPr>
        <w:drawing>
          <wp:anchor distT="0" distB="0" distL="114300" distR="114300" simplePos="0" relativeHeight="251659264" behindDoc="0" locked="0" layoutInCell="1" allowOverlap="1">
            <wp:simplePos x="0" y="0"/>
            <wp:positionH relativeFrom="column">
              <wp:posOffset>2229485</wp:posOffset>
            </wp:positionH>
            <wp:positionV relativeFrom="paragraph">
              <wp:posOffset>0</wp:posOffset>
            </wp:positionV>
            <wp:extent cx="937895" cy="835025"/>
            <wp:effectExtent l="0" t="0" r="0" b="3175"/>
            <wp:wrapTight wrapText="bothSides">
              <wp:wrapPolygon edited="0">
                <wp:start x="0" y="0"/>
                <wp:lineTo x="0" y="21189"/>
                <wp:lineTo x="21059" y="21189"/>
                <wp:lineTo x="2105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895" cy="83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6E5F" w:rsidRDefault="00A96E5F" w:rsidP="00A96E5F">
      <w:pPr>
        <w:pStyle w:val="Sansinterligne"/>
        <w:jc w:val="center"/>
        <w:rPr>
          <w:rFonts w:ascii="Cambria" w:hAnsi="Cambria"/>
          <w:b/>
          <w:color w:val="1F497D"/>
          <w:sz w:val="36"/>
          <w:szCs w:val="36"/>
        </w:rPr>
      </w:pPr>
    </w:p>
    <w:p w:rsidR="00A96E5F" w:rsidRDefault="00A96E5F" w:rsidP="00A96E5F">
      <w:pPr>
        <w:pStyle w:val="Sansinterligne"/>
        <w:jc w:val="center"/>
        <w:rPr>
          <w:rFonts w:ascii="Cambria" w:hAnsi="Cambria"/>
          <w:b/>
          <w:color w:val="1F497D"/>
          <w:sz w:val="36"/>
          <w:szCs w:val="36"/>
        </w:rPr>
      </w:pPr>
    </w:p>
    <w:p w:rsidR="00A96E5F" w:rsidRPr="0061068A" w:rsidRDefault="00A96E5F" w:rsidP="00A96E5F">
      <w:pPr>
        <w:pStyle w:val="Sansinterligne"/>
        <w:jc w:val="center"/>
        <w:rPr>
          <w:rFonts w:ascii="Cambria" w:hAnsi="Cambria"/>
          <w:b/>
          <w:color w:val="1F497D"/>
          <w:sz w:val="36"/>
          <w:szCs w:val="36"/>
        </w:rPr>
      </w:pPr>
    </w:p>
    <w:p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sz w:val="20"/>
          <w:szCs w:val="20"/>
          <w:lang w:eastAsia="fr-FR"/>
        </w:rPr>
      </w:pPr>
      <w:r w:rsidRPr="0061068A">
        <w:rPr>
          <w:rFonts w:ascii="Times New Roman" w:eastAsia="Times New Roman" w:hAnsi="Times New Roman"/>
          <w:b/>
          <w:lang w:eastAsia="fr-FR"/>
        </w:rPr>
        <w:t>INDICE HARMONISE DES PRIX À LA</w:t>
      </w:r>
      <w:r w:rsidRPr="0061068A">
        <w:rPr>
          <w:rFonts w:ascii="Times New Roman" w:eastAsia="Times New Roman" w:hAnsi="Times New Roman"/>
          <w:b/>
          <w:sz w:val="24"/>
          <w:szCs w:val="20"/>
          <w:lang w:eastAsia="fr-FR"/>
        </w:rPr>
        <w:t xml:space="preserve"> </w:t>
      </w:r>
      <w:r w:rsidRPr="0061068A">
        <w:rPr>
          <w:rFonts w:ascii="Times New Roman" w:eastAsia="Times New Roman" w:hAnsi="Times New Roman"/>
          <w:b/>
          <w:lang w:eastAsia="fr-FR"/>
        </w:rPr>
        <w:t>CONSOMMATION</w:t>
      </w:r>
      <w:r w:rsidRPr="0061068A">
        <w:rPr>
          <w:rFonts w:ascii="Times New Roman" w:eastAsia="Times New Roman" w:hAnsi="Times New Roman"/>
          <w:sz w:val="24"/>
          <w:szCs w:val="20"/>
          <w:lang w:eastAsia="fr-FR"/>
        </w:rPr>
        <w:t xml:space="preserve"> </w:t>
      </w:r>
      <w:r w:rsidRPr="0061068A">
        <w:rPr>
          <w:rFonts w:ascii="Times New Roman" w:eastAsia="Times New Roman" w:hAnsi="Times New Roman"/>
          <w:b/>
          <w:sz w:val="20"/>
          <w:szCs w:val="20"/>
          <w:lang w:eastAsia="fr-FR"/>
        </w:rPr>
        <w:t xml:space="preserve"> </w:t>
      </w:r>
      <w:r w:rsidRPr="0061068A">
        <w:rPr>
          <w:rFonts w:ascii="Times New Roman" w:eastAsia="Times New Roman" w:hAnsi="Times New Roman"/>
          <w:b/>
          <w:lang w:eastAsia="fr-FR"/>
        </w:rPr>
        <w:t>(I.H.P.C.)</w:t>
      </w:r>
    </w:p>
    <w:p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lang w:eastAsia="fr-FR"/>
        </w:rPr>
      </w:pPr>
      <w:r w:rsidRPr="0061068A">
        <w:rPr>
          <w:rFonts w:ascii="Times New Roman" w:eastAsia="Times New Roman" w:hAnsi="Times New Roman"/>
          <w:b/>
          <w:lang w:eastAsia="fr-FR"/>
        </w:rPr>
        <w:t xml:space="preserve">(Base 100 en 2014) </w:t>
      </w:r>
    </w:p>
    <w:p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b/>
          <w:lang w:eastAsia="fr-FR"/>
        </w:rPr>
      </w:pPr>
      <w:r w:rsidRPr="0061068A">
        <w:rPr>
          <w:rFonts w:ascii="Times New Roman" w:eastAsia="Times New Roman" w:hAnsi="Times New Roman"/>
          <w:b/>
          <w:sz w:val="24"/>
          <w:szCs w:val="24"/>
          <w:lang w:eastAsia="fr-FR"/>
        </w:rPr>
        <w:t>FLASH -</w:t>
      </w:r>
      <w:r w:rsidRPr="0061068A">
        <w:rPr>
          <w:rFonts w:ascii="Times New Roman" w:eastAsia="Times New Roman" w:hAnsi="Times New Roman"/>
          <w:b/>
          <w:lang w:eastAsia="fr-FR"/>
        </w:rPr>
        <w:t xml:space="preserve"> </w:t>
      </w:r>
      <w:r w:rsidR="000A2C0C">
        <w:rPr>
          <w:rFonts w:ascii="Times New Roman" w:eastAsia="Times New Roman" w:hAnsi="Times New Roman"/>
          <w:b/>
          <w:lang w:eastAsia="fr-FR"/>
        </w:rPr>
        <w:t>Déce</w:t>
      </w:r>
      <w:r w:rsidR="00FD2169">
        <w:rPr>
          <w:rFonts w:ascii="Times New Roman" w:eastAsia="Times New Roman" w:hAnsi="Times New Roman"/>
          <w:b/>
          <w:lang w:eastAsia="fr-FR"/>
        </w:rPr>
        <w:t>m</w:t>
      </w:r>
      <w:r w:rsidR="00CE755E">
        <w:rPr>
          <w:rFonts w:ascii="Times New Roman" w:eastAsia="Times New Roman" w:hAnsi="Times New Roman"/>
          <w:b/>
          <w:lang w:eastAsia="fr-FR"/>
        </w:rPr>
        <w:t>bre</w:t>
      </w:r>
      <w:r w:rsidRPr="0061068A">
        <w:rPr>
          <w:rFonts w:ascii="Times New Roman" w:eastAsia="Times New Roman" w:hAnsi="Times New Roman"/>
          <w:b/>
          <w:lang w:eastAsia="fr-FR"/>
        </w:rPr>
        <w:t xml:space="preserve"> 20</w:t>
      </w:r>
      <w:r>
        <w:rPr>
          <w:rFonts w:ascii="Times New Roman" w:eastAsia="Times New Roman" w:hAnsi="Times New Roman"/>
          <w:b/>
          <w:lang w:eastAsia="fr-FR"/>
        </w:rPr>
        <w:t>22</w:t>
      </w:r>
    </w:p>
    <w:p w:rsidR="00A96E5F" w:rsidRPr="0061068A" w:rsidRDefault="00A96E5F" w:rsidP="00A96E5F">
      <w:pPr>
        <w:widowControl w:val="0"/>
        <w:overflowPunct w:val="0"/>
        <w:autoSpaceDE w:val="0"/>
        <w:autoSpaceDN w:val="0"/>
        <w:adjustRightInd w:val="0"/>
        <w:spacing w:after="0" w:line="240" w:lineRule="auto"/>
        <w:jc w:val="both"/>
        <w:textAlignment w:val="baseline"/>
        <w:rPr>
          <w:rFonts w:ascii="Arial" w:eastAsia="Times New Roman" w:hAnsi="Arial" w:cs="Arial"/>
          <w:b/>
          <w:bCs/>
          <w:lang w:eastAsia="fr-FR"/>
        </w:rPr>
      </w:pPr>
    </w:p>
    <w:p w:rsidR="00A96E5F" w:rsidRPr="0061068A" w:rsidRDefault="00A96E5F" w:rsidP="00A96E5F">
      <w:pPr>
        <w:widowControl w:val="0"/>
        <w:pBdr>
          <w:top w:val="thinThickSmallGap" w:sz="24" w:space="1" w:color="auto"/>
          <w:left w:val="thinThickSmallGap" w:sz="24" w:space="4" w:color="auto"/>
          <w:bottom w:val="thickThinSmallGap" w:sz="24" w:space="1" w:color="auto"/>
          <w:right w:val="thickThinSmallGap" w:sz="24" w:space="4" w:color="auto"/>
        </w:pBdr>
        <w:overflowPunct w:val="0"/>
        <w:autoSpaceDE w:val="0"/>
        <w:autoSpaceDN w:val="0"/>
        <w:adjustRightInd w:val="0"/>
        <w:spacing w:after="0" w:line="240" w:lineRule="auto"/>
        <w:jc w:val="both"/>
        <w:textAlignment w:val="baseline"/>
        <w:rPr>
          <w:rFonts w:ascii="Arial" w:eastAsia="Times New Roman" w:hAnsi="Arial" w:cs="Arial"/>
          <w:b/>
          <w:bCs/>
          <w:sz w:val="18"/>
          <w:szCs w:val="18"/>
          <w:lang w:eastAsia="fr-FR"/>
        </w:rPr>
      </w:pPr>
      <w:r w:rsidRPr="0061068A">
        <w:rPr>
          <w:rFonts w:ascii="Arial" w:eastAsia="Times New Roman" w:hAnsi="Arial" w:cs="Arial"/>
          <w:b/>
          <w:bCs/>
          <w:sz w:val="18"/>
          <w:szCs w:val="18"/>
          <w:lang w:eastAsia="fr-FR"/>
        </w:rPr>
        <w:t xml:space="preserve">L’Agence </w:t>
      </w:r>
      <w:r>
        <w:rPr>
          <w:rFonts w:ascii="Arial" w:eastAsia="Times New Roman" w:hAnsi="Arial" w:cs="Arial"/>
          <w:b/>
          <w:bCs/>
          <w:sz w:val="18"/>
          <w:szCs w:val="18"/>
          <w:lang w:eastAsia="fr-FR"/>
        </w:rPr>
        <w:t>n</w:t>
      </w:r>
      <w:r w:rsidRPr="0061068A">
        <w:rPr>
          <w:rFonts w:ascii="Arial" w:eastAsia="Times New Roman" w:hAnsi="Arial" w:cs="Arial"/>
          <w:b/>
          <w:bCs/>
          <w:sz w:val="18"/>
          <w:szCs w:val="18"/>
          <w:lang w:eastAsia="fr-FR"/>
        </w:rPr>
        <w:t>ationale de la Statistique et de la Démographie (ANSD) publie la note mensuelle « flash » de l’Indice Harmonisé des Prix à la Consommation (IHPC). Cet indice base 100 en 2014, mesure l’évolution des prix à la consommation au plan national. Les indices sont de type Laspeyres et la principale source identifiée pour les pondérations est la deuxième Enquête de Suivi de la Pauvreté au Sénégal (ESPS-II) de 2011. Le champ couvert par l’indice harmonisé des prix à la consommation est l’ensemble du pays découpé en zones écologiques/économiques, à savoir le Sud, le Nord, le Centre Nord, l’Ouest et le Centre Sud. Ces cinq zones sont représentées respectivement par Kolda, Saint Louis, Diourbel, Dakar et Kaolack. La collecte des prix se fait dans les zones urbaines et rurales</w:t>
      </w:r>
      <w:r>
        <w:rPr>
          <w:rFonts w:ascii="Arial" w:eastAsia="Times New Roman" w:hAnsi="Arial" w:cs="Arial"/>
          <w:b/>
          <w:bCs/>
          <w:sz w:val="18"/>
          <w:szCs w:val="18"/>
          <w:lang w:eastAsia="fr-FR"/>
        </w:rPr>
        <w:t xml:space="preserve"> de ces régions. L’IHPC</w:t>
      </w:r>
      <w:r w:rsidRPr="0061068A">
        <w:rPr>
          <w:rFonts w:ascii="Arial" w:eastAsia="Times New Roman" w:hAnsi="Arial" w:cs="Arial"/>
          <w:b/>
          <w:bCs/>
          <w:sz w:val="18"/>
          <w:szCs w:val="18"/>
          <w:lang w:eastAsia="fr-FR"/>
        </w:rPr>
        <w:t xml:space="preserve"> est publié selon la classification des fonctions de consommation des ménages à 12 fonctions (COICOP</w:t>
      </w:r>
      <w:r w:rsidRPr="0061068A">
        <w:rPr>
          <w:rFonts w:ascii="Arial" w:eastAsia="Times New Roman" w:hAnsi="Arial" w:cs="Arial"/>
          <w:b/>
          <w:bCs/>
          <w:sz w:val="18"/>
          <w:szCs w:val="18"/>
          <w:vertAlign w:val="superscript"/>
          <w:lang w:eastAsia="fr-FR"/>
        </w:rPr>
        <w:footnoteReference w:id="1"/>
      </w:r>
      <w:r>
        <w:rPr>
          <w:rFonts w:ascii="Arial" w:eastAsia="Times New Roman" w:hAnsi="Arial" w:cs="Arial"/>
          <w:b/>
          <w:bCs/>
          <w:sz w:val="18"/>
          <w:szCs w:val="18"/>
          <w:lang w:eastAsia="fr-FR"/>
        </w:rPr>
        <w:t>)</w:t>
      </w:r>
      <w:r w:rsidRPr="0061068A">
        <w:rPr>
          <w:rFonts w:ascii="Arial" w:eastAsia="Times New Roman" w:hAnsi="Arial" w:cs="Arial"/>
          <w:b/>
          <w:bCs/>
          <w:sz w:val="18"/>
          <w:szCs w:val="18"/>
          <w:lang w:eastAsia="fr-FR"/>
        </w:rPr>
        <w:t>. La note « flash » est publiée au plus tard 10 jours après le mois sous revue. Elle est suivie d’une analyse détaillée qui sera publiée 15 jours après celle-ci.</w:t>
      </w:r>
    </w:p>
    <w:p w:rsidR="00A96E5F" w:rsidRPr="0061068A" w:rsidRDefault="00A96E5F" w:rsidP="00B23D82">
      <w:pPr>
        <w:widowControl w:val="0"/>
        <w:overflowPunct w:val="0"/>
        <w:autoSpaceDE w:val="0"/>
        <w:autoSpaceDN w:val="0"/>
        <w:adjustRightInd w:val="0"/>
        <w:spacing w:after="0" w:line="240" w:lineRule="auto"/>
        <w:jc w:val="both"/>
        <w:textAlignment w:val="baseline"/>
        <w:rPr>
          <w:rFonts w:ascii="Arial" w:eastAsia="Times New Roman" w:hAnsi="Arial" w:cs="Arial"/>
          <w:b/>
          <w:bCs/>
          <w:lang w:eastAsia="fr-FR"/>
        </w:rPr>
      </w:pPr>
    </w:p>
    <w:p w:rsidR="00A96E5F" w:rsidRPr="009C3D4B" w:rsidRDefault="00714592" w:rsidP="00467C2E">
      <w:pPr>
        <w:spacing w:after="120"/>
        <w:ind w:right="1"/>
        <w:jc w:val="both"/>
        <w:rPr>
          <w:rFonts w:ascii="Arial" w:hAnsi="Arial" w:cs="Arial"/>
          <w:b/>
          <w:bCs/>
          <w:sz w:val="18"/>
          <w:szCs w:val="18"/>
        </w:rPr>
      </w:pPr>
      <w:r>
        <w:rPr>
          <w:rFonts w:ascii="Arial" w:hAnsi="Arial" w:cs="Arial"/>
          <w:bCs/>
          <w:sz w:val="18"/>
          <w:szCs w:val="18"/>
        </w:rPr>
        <w:t xml:space="preserve">Les prix à la consommation </w:t>
      </w:r>
      <w:r w:rsidR="00A96E5F" w:rsidRPr="004E2938">
        <w:rPr>
          <w:rFonts w:ascii="Arial" w:hAnsi="Arial" w:cs="Arial"/>
          <w:bCs/>
          <w:sz w:val="18"/>
          <w:szCs w:val="18"/>
        </w:rPr>
        <w:t xml:space="preserve">du mois </w:t>
      </w:r>
      <w:r w:rsidR="00FD2169">
        <w:rPr>
          <w:rFonts w:ascii="Arial" w:hAnsi="Arial" w:cs="Arial"/>
          <w:bCs/>
          <w:sz w:val="18"/>
          <w:szCs w:val="18"/>
        </w:rPr>
        <w:t xml:space="preserve">de </w:t>
      </w:r>
      <w:r w:rsidR="000A2C0C">
        <w:rPr>
          <w:rFonts w:ascii="Arial" w:hAnsi="Arial" w:cs="Arial"/>
          <w:bCs/>
          <w:sz w:val="18"/>
          <w:szCs w:val="18"/>
        </w:rPr>
        <w:t>décembre</w:t>
      </w:r>
      <w:r w:rsidR="00E8073E">
        <w:rPr>
          <w:rFonts w:ascii="Arial" w:hAnsi="Arial" w:cs="Arial"/>
          <w:bCs/>
          <w:sz w:val="18"/>
          <w:szCs w:val="18"/>
        </w:rPr>
        <w:t xml:space="preserve"> 2022</w:t>
      </w:r>
      <w:r w:rsidR="007010B1">
        <w:rPr>
          <w:rFonts w:ascii="Arial" w:hAnsi="Arial" w:cs="Arial"/>
          <w:bCs/>
          <w:sz w:val="18"/>
          <w:szCs w:val="18"/>
        </w:rPr>
        <w:t xml:space="preserve"> </w:t>
      </w:r>
      <w:r w:rsidR="000A2C0C">
        <w:rPr>
          <w:rFonts w:ascii="Arial" w:hAnsi="Arial" w:cs="Arial"/>
          <w:bCs/>
          <w:sz w:val="18"/>
          <w:szCs w:val="18"/>
        </w:rPr>
        <w:t>s</w:t>
      </w:r>
      <w:r>
        <w:rPr>
          <w:rFonts w:ascii="Arial" w:hAnsi="Arial" w:cs="Arial"/>
          <w:bCs/>
          <w:sz w:val="18"/>
          <w:szCs w:val="18"/>
        </w:rPr>
        <w:t xml:space="preserve">e sont </w:t>
      </w:r>
      <w:r w:rsidR="000A2C0C">
        <w:rPr>
          <w:rFonts w:ascii="Arial" w:hAnsi="Arial" w:cs="Arial"/>
          <w:bCs/>
          <w:sz w:val="18"/>
          <w:szCs w:val="18"/>
        </w:rPr>
        <w:t>replié</w:t>
      </w:r>
      <w:r>
        <w:rPr>
          <w:rFonts w:ascii="Arial" w:hAnsi="Arial" w:cs="Arial"/>
          <w:bCs/>
          <w:sz w:val="18"/>
          <w:szCs w:val="18"/>
        </w:rPr>
        <w:t>s</w:t>
      </w:r>
      <w:r w:rsidR="000A2C0C">
        <w:rPr>
          <w:rFonts w:ascii="Arial" w:hAnsi="Arial" w:cs="Arial"/>
          <w:bCs/>
          <w:sz w:val="18"/>
          <w:szCs w:val="18"/>
        </w:rPr>
        <w:t xml:space="preserve"> </w:t>
      </w:r>
      <w:r w:rsidR="00FD2169">
        <w:rPr>
          <w:rFonts w:ascii="Arial" w:hAnsi="Arial" w:cs="Arial"/>
          <w:bCs/>
          <w:sz w:val="18"/>
          <w:szCs w:val="18"/>
        </w:rPr>
        <w:t xml:space="preserve">de </w:t>
      </w:r>
      <w:r w:rsidR="00D73623">
        <w:rPr>
          <w:rFonts w:ascii="Arial" w:hAnsi="Arial" w:cs="Arial"/>
          <w:bCs/>
          <w:sz w:val="18"/>
          <w:szCs w:val="18"/>
        </w:rPr>
        <w:t>1</w:t>
      </w:r>
      <w:r w:rsidR="00A96E5F" w:rsidRPr="004E2938">
        <w:rPr>
          <w:rFonts w:ascii="Arial" w:hAnsi="Arial" w:cs="Arial"/>
          <w:bCs/>
          <w:sz w:val="18"/>
          <w:szCs w:val="18"/>
        </w:rPr>
        <w:t>,</w:t>
      </w:r>
      <w:r w:rsidR="00D73623">
        <w:rPr>
          <w:rFonts w:ascii="Arial" w:hAnsi="Arial" w:cs="Arial"/>
          <w:bCs/>
          <w:sz w:val="18"/>
          <w:szCs w:val="18"/>
        </w:rPr>
        <w:t>0</w:t>
      </w:r>
      <w:r w:rsidR="00A96E5F" w:rsidRPr="004E2938">
        <w:rPr>
          <w:rFonts w:ascii="Arial" w:hAnsi="Arial" w:cs="Arial"/>
          <w:bCs/>
          <w:sz w:val="18"/>
          <w:szCs w:val="18"/>
        </w:rPr>
        <w:t>%</w:t>
      </w:r>
      <w:r w:rsidR="00737740">
        <w:rPr>
          <w:rFonts w:ascii="Arial" w:hAnsi="Arial" w:cs="Arial"/>
          <w:bCs/>
          <w:sz w:val="18"/>
          <w:szCs w:val="18"/>
        </w:rPr>
        <w:t>,</w:t>
      </w:r>
      <w:r w:rsidR="00A96E5F" w:rsidRPr="004E2938">
        <w:rPr>
          <w:rFonts w:ascii="Arial" w:hAnsi="Arial" w:cs="Arial"/>
          <w:bCs/>
          <w:sz w:val="18"/>
          <w:szCs w:val="18"/>
        </w:rPr>
        <w:t xml:space="preserve"> comparé</w:t>
      </w:r>
      <w:r>
        <w:rPr>
          <w:rFonts w:ascii="Arial" w:hAnsi="Arial" w:cs="Arial"/>
          <w:bCs/>
          <w:sz w:val="18"/>
          <w:szCs w:val="18"/>
        </w:rPr>
        <w:t>s</w:t>
      </w:r>
      <w:r w:rsidR="00A96E5F" w:rsidRPr="004E2938">
        <w:rPr>
          <w:rFonts w:ascii="Arial" w:hAnsi="Arial" w:cs="Arial"/>
          <w:bCs/>
          <w:sz w:val="18"/>
          <w:szCs w:val="18"/>
        </w:rPr>
        <w:t xml:space="preserve"> à </w:t>
      </w:r>
      <w:r>
        <w:rPr>
          <w:rFonts w:ascii="Arial" w:hAnsi="Arial" w:cs="Arial"/>
          <w:bCs/>
          <w:sz w:val="18"/>
          <w:szCs w:val="18"/>
        </w:rPr>
        <w:t>ceux</w:t>
      </w:r>
      <w:r w:rsidR="00A96E5F" w:rsidRPr="004E2938">
        <w:rPr>
          <w:rFonts w:ascii="Arial" w:hAnsi="Arial" w:cs="Arial"/>
          <w:bCs/>
          <w:sz w:val="18"/>
          <w:szCs w:val="18"/>
        </w:rPr>
        <w:t xml:space="preserve"> du mois précédent</w:t>
      </w:r>
      <w:r w:rsidR="000A2C0C">
        <w:rPr>
          <w:rFonts w:ascii="Arial" w:hAnsi="Arial" w:cs="Arial"/>
          <w:bCs/>
          <w:sz w:val="18"/>
          <w:szCs w:val="18"/>
        </w:rPr>
        <w:t>, après huit mois de hausse successive</w:t>
      </w:r>
      <w:r w:rsidR="00A96E5F" w:rsidRPr="004E2938">
        <w:rPr>
          <w:rFonts w:ascii="Arial" w:hAnsi="Arial" w:cs="Arial"/>
          <w:bCs/>
          <w:sz w:val="18"/>
          <w:szCs w:val="18"/>
        </w:rPr>
        <w:t xml:space="preserve">. </w:t>
      </w:r>
      <w:r w:rsidR="00A96E5F" w:rsidRPr="00960D2E">
        <w:rPr>
          <w:rFonts w:ascii="Arial" w:hAnsi="Arial" w:cs="Arial"/>
          <w:b/>
          <w:bCs/>
          <w:sz w:val="18"/>
          <w:szCs w:val="18"/>
        </w:rPr>
        <w:t xml:space="preserve">Cette </w:t>
      </w:r>
      <w:r w:rsidR="00FD2169">
        <w:rPr>
          <w:rFonts w:ascii="Arial" w:hAnsi="Arial" w:cs="Arial"/>
          <w:b/>
          <w:bCs/>
          <w:sz w:val="18"/>
          <w:szCs w:val="18"/>
        </w:rPr>
        <w:t xml:space="preserve">évolution résulte </w:t>
      </w:r>
      <w:r w:rsidR="00A96E5F">
        <w:rPr>
          <w:rFonts w:ascii="Arial" w:hAnsi="Arial" w:cs="Arial"/>
          <w:b/>
          <w:bCs/>
          <w:sz w:val="18"/>
          <w:szCs w:val="18"/>
        </w:rPr>
        <w:t xml:space="preserve">principalement </w:t>
      </w:r>
      <w:r w:rsidR="000A2C0C">
        <w:rPr>
          <w:rFonts w:ascii="Arial" w:hAnsi="Arial" w:cs="Arial"/>
          <w:b/>
          <w:bCs/>
          <w:sz w:val="18"/>
          <w:szCs w:val="18"/>
        </w:rPr>
        <w:t xml:space="preserve">de la baisse des prix des </w:t>
      </w:r>
      <w:r w:rsidR="00FD2169">
        <w:rPr>
          <w:rFonts w:ascii="Arial" w:hAnsi="Arial" w:cs="Arial"/>
          <w:b/>
          <w:bCs/>
          <w:sz w:val="18"/>
          <w:szCs w:val="18"/>
        </w:rPr>
        <w:t>« </w:t>
      </w:r>
      <w:r w:rsidR="000A2C0C" w:rsidRPr="00960D2E">
        <w:rPr>
          <w:rFonts w:ascii="Arial" w:hAnsi="Arial" w:cs="Arial"/>
          <w:b/>
          <w:bCs/>
          <w:sz w:val="18"/>
          <w:szCs w:val="18"/>
        </w:rPr>
        <w:t>produits aliment</w:t>
      </w:r>
      <w:r w:rsidR="000A2C0C" w:rsidRPr="000F50AE">
        <w:rPr>
          <w:rFonts w:ascii="Arial" w:hAnsi="Arial" w:cs="Arial"/>
          <w:b/>
          <w:bCs/>
          <w:sz w:val="18"/>
          <w:szCs w:val="18"/>
        </w:rPr>
        <w:t>aires et boissons non alcoolisées</w:t>
      </w:r>
      <w:r w:rsidR="000A2C0C">
        <w:rPr>
          <w:rFonts w:ascii="Arial" w:hAnsi="Arial" w:cs="Arial"/>
          <w:b/>
          <w:bCs/>
          <w:sz w:val="18"/>
          <w:szCs w:val="18"/>
        </w:rPr>
        <w:t xml:space="preserve"> </w:t>
      </w:r>
      <w:r w:rsidR="00FD2169">
        <w:rPr>
          <w:rFonts w:ascii="Arial" w:hAnsi="Arial" w:cs="Arial"/>
          <w:b/>
          <w:bCs/>
          <w:sz w:val="18"/>
          <w:szCs w:val="18"/>
        </w:rPr>
        <w:t xml:space="preserve">» </w:t>
      </w:r>
      <w:r w:rsidR="00FD2169" w:rsidRPr="000F50AE">
        <w:rPr>
          <w:rFonts w:ascii="Arial" w:hAnsi="Arial" w:cs="Arial"/>
          <w:b/>
          <w:bCs/>
          <w:sz w:val="18"/>
          <w:szCs w:val="18"/>
        </w:rPr>
        <w:t>(</w:t>
      </w:r>
      <w:r w:rsidR="000A2C0C">
        <w:rPr>
          <w:rFonts w:ascii="Arial" w:hAnsi="Arial" w:cs="Arial"/>
          <w:b/>
          <w:bCs/>
          <w:sz w:val="18"/>
          <w:szCs w:val="18"/>
        </w:rPr>
        <w:t>-</w:t>
      </w:r>
      <w:r w:rsidR="00D73623">
        <w:rPr>
          <w:rFonts w:ascii="Arial" w:hAnsi="Arial" w:cs="Arial"/>
          <w:b/>
          <w:bCs/>
          <w:sz w:val="18"/>
          <w:szCs w:val="18"/>
        </w:rPr>
        <w:t>2</w:t>
      </w:r>
      <w:r w:rsidR="00FD2169" w:rsidRPr="000F50AE">
        <w:rPr>
          <w:rFonts w:ascii="Arial" w:hAnsi="Arial" w:cs="Arial"/>
          <w:b/>
          <w:bCs/>
          <w:sz w:val="18"/>
          <w:szCs w:val="18"/>
        </w:rPr>
        <w:t>,</w:t>
      </w:r>
      <w:r w:rsidR="00D73623">
        <w:rPr>
          <w:rFonts w:ascii="Arial" w:hAnsi="Arial" w:cs="Arial"/>
          <w:b/>
          <w:bCs/>
          <w:sz w:val="18"/>
          <w:szCs w:val="18"/>
        </w:rPr>
        <w:t>1</w:t>
      </w:r>
      <w:r w:rsidR="00FD2169">
        <w:rPr>
          <w:rFonts w:ascii="Arial" w:hAnsi="Arial" w:cs="Arial"/>
          <w:b/>
          <w:bCs/>
          <w:sz w:val="18"/>
          <w:szCs w:val="18"/>
        </w:rPr>
        <w:t>%)</w:t>
      </w:r>
      <w:r w:rsidR="000A2C0C">
        <w:rPr>
          <w:rFonts w:ascii="Arial" w:hAnsi="Arial" w:cs="Arial"/>
          <w:b/>
          <w:bCs/>
          <w:sz w:val="18"/>
          <w:szCs w:val="18"/>
        </w:rPr>
        <w:t>, particulièrement les produits frais</w:t>
      </w:r>
      <w:r w:rsidR="00B21780">
        <w:rPr>
          <w:rFonts w:ascii="Arial" w:hAnsi="Arial" w:cs="Arial"/>
          <w:b/>
          <w:bCs/>
          <w:sz w:val="18"/>
          <w:szCs w:val="18"/>
        </w:rPr>
        <w:t>. Elle</w:t>
      </w:r>
      <w:r w:rsidR="00737740">
        <w:rPr>
          <w:rFonts w:ascii="Arial" w:hAnsi="Arial" w:cs="Arial"/>
          <w:b/>
          <w:bCs/>
          <w:sz w:val="18"/>
          <w:szCs w:val="18"/>
        </w:rPr>
        <w:t xml:space="preserve"> est</w:t>
      </w:r>
      <w:r w:rsidR="00B21780">
        <w:rPr>
          <w:rFonts w:ascii="Arial" w:hAnsi="Arial" w:cs="Arial"/>
          <w:b/>
          <w:bCs/>
          <w:sz w:val="18"/>
          <w:szCs w:val="18"/>
        </w:rPr>
        <w:t xml:space="preserve"> cependant amoindrie par </w:t>
      </w:r>
      <w:r w:rsidR="000A2C0C">
        <w:rPr>
          <w:rFonts w:ascii="Arial" w:hAnsi="Arial" w:cs="Arial"/>
          <w:b/>
          <w:bCs/>
          <w:sz w:val="18"/>
          <w:szCs w:val="18"/>
        </w:rPr>
        <w:t>la hausse</w:t>
      </w:r>
      <w:r w:rsidR="00B21780">
        <w:rPr>
          <w:rFonts w:ascii="Arial" w:hAnsi="Arial" w:cs="Arial"/>
          <w:b/>
          <w:bCs/>
          <w:sz w:val="18"/>
          <w:szCs w:val="18"/>
        </w:rPr>
        <w:t xml:space="preserve"> des prix des </w:t>
      </w:r>
      <w:r w:rsidR="000A2C0C">
        <w:rPr>
          <w:rFonts w:ascii="Arial" w:hAnsi="Arial" w:cs="Arial"/>
          <w:b/>
          <w:bCs/>
          <w:sz w:val="18"/>
          <w:szCs w:val="18"/>
        </w:rPr>
        <w:t xml:space="preserve">services de « santé » (+0,7%), des </w:t>
      </w:r>
      <w:r w:rsidR="00A96E5F" w:rsidRPr="00960D2E">
        <w:rPr>
          <w:rFonts w:ascii="Arial" w:hAnsi="Arial" w:cs="Arial"/>
          <w:b/>
          <w:bCs/>
          <w:sz w:val="18"/>
          <w:szCs w:val="18"/>
        </w:rPr>
        <w:t>« </w:t>
      </w:r>
      <w:r w:rsidR="000A2C0C">
        <w:rPr>
          <w:rFonts w:ascii="Arial" w:hAnsi="Arial" w:cs="Arial"/>
          <w:b/>
          <w:bCs/>
          <w:sz w:val="18"/>
          <w:szCs w:val="18"/>
        </w:rPr>
        <w:t>a</w:t>
      </w:r>
      <w:r w:rsidR="000A2C0C" w:rsidRPr="000A2C0C">
        <w:rPr>
          <w:rFonts w:ascii="Arial" w:hAnsi="Arial" w:cs="Arial"/>
          <w:b/>
          <w:bCs/>
          <w:sz w:val="18"/>
          <w:szCs w:val="18"/>
        </w:rPr>
        <w:t>rticles d'habillement et chaussures</w:t>
      </w:r>
      <w:r w:rsidR="000A2C0C">
        <w:rPr>
          <w:rFonts w:ascii="Arial" w:hAnsi="Arial" w:cs="Arial"/>
          <w:b/>
          <w:bCs/>
          <w:sz w:val="18"/>
          <w:szCs w:val="18"/>
        </w:rPr>
        <w:t xml:space="preserve"> </w:t>
      </w:r>
      <w:r w:rsidR="00A96E5F" w:rsidRPr="000F50AE">
        <w:rPr>
          <w:rFonts w:ascii="Arial" w:hAnsi="Arial" w:cs="Arial"/>
          <w:b/>
          <w:bCs/>
          <w:sz w:val="18"/>
          <w:szCs w:val="18"/>
        </w:rPr>
        <w:t>» (</w:t>
      </w:r>
      <w:r w:rsidR="000A2C0C">
        <w:rPr>
          <w:rFonts w:ascii="Arial" w:hAnsi="Arial" w:cs="Arial"/>
          <w:b/>
          <w:bCs/>
          <w:sz w:val="18"/>
          <w:szCs w:val="18"/>
        </w:rPr>
        <w:t>+</w:t>
      </w:r>
      <w:r w:rsidR="00B21780">
        <w:rPr>
          <w:rFonts w:ascii="Arial" w:hAnsi="Arial" w:cs="Arial"/>
          <w:b/>
          <w:bCs/>
          <w:sz w:val="18"/>
          <w:szCs w:val="18"/>
        </w:rPr>
        <w:t>0</w:t>
      </w:r>
      <w:r w:rsidR="00A96E5F" w:rsidRPr="000F50AE">
        <w:rPr>
          <w:rFonts w:ascii="Arial" w:hAnsi="Arial" w:cs="Arial"/>
          <w:b/>
          <w:bCs/>
          <w:sz w:val="18"/>
          <w:szCs w:val="18"/>
        </w:rPr>
        <w:t>,</w:t>
      </w:r>
      <w:r w:rsidR="000A2C0C">
        <w:rPr>
          <w:rFonts w:ascii="Arial" w:hAnsi="Arial" w:cs="Arial"/>
          <w:b/>
          <w:bCs/>
          <w:sz w:val="18"/>
          <w:szCs w:val="18"/>
        </w:rPr>
        <w:t>6</w:t>
      </w:r>
      <w:r w:rsidR="00A96E5F">
        <w:rPr>
          <w:rFonts w:ascii="Arial" w:hAnsi="Arial" w:cs="Arial"/>
          <w:b/>
          <w:bCs/>
          <w:sz w:val="18"/>
          <w:szCs w:val="18"/>
        </w:rPr>
        <w:t>%)</w:t>
      </w:r>
      <w:r w:rsidR="000A2C0C">
        <w:rPr>
          <w:rFonts w:ascii="Arial" w:hAnsi="Arial" w:cs="Arial"/>
          <w:b/>
          <w:bCs/>
          <w:sz w:val="18"/>
          <w:szCs w:val="18"/>
        </w:rPr>
        <w:t>, ainsi que des « b</w:t>
      </w:r>
      <w:r w:rsidR="000A2C0C" w:rsidRPr="000A2C0C">
        <w:rPr>
          <w:rFonts w:ascii="Arial" w:hAnsi="Arial" w:cs="Arial"/>
          <w:b/>
          <w:bCs/>
          <w:sz w:val="18"/>
          <w:szCs w:val="18"/>
        </w:rPr>
        <w:t>iens et services divers</w:t>
      </w:r>
      <w:r w:rsidR="000A2C0C">
        <w:rPr>
          <w:rFonts w:ascii="Arial" w:hAnsi="Arial" w:cs="Arial"/>
          <w:b/>
          <w:bCs/>
          <w:sz w:val="18"/>
          <w:szCs w:val="18"/>
        </w:rPr>
        <w:t> » (+0,6%)</w:t>
      </w:r>
      <w:r w:rsidR="00B21780">
        <w:rPr>
          <w:rFonts w:ascii="Arial" w:hAnsi="Arial" w:cs="Arial"/>
          <w:b/>
          <w:bCs/>
          <w:sz w:val="18"/>
          <w:szCs w:val="18"/>
        </w:rPr>
        <w:t xml:space="preserve">. </w:t>
      </w:r>
      <w:r w:rsidR="00102B5C">
        <w:rPr>
          <w:rFonts w:ascii="Arial" w:hAnsi="Arial" w:cs="Arial"/>
          <w:bCs/>
          <w:sz w:val="18"/>
          <w:szCs w:val="18"/>
        </w:rPr>
        <w:t xml:space="preserve">Par rapport au mois </w:t>
      </w:r>
      <w:r w:rsidR="00A80758">
        <w:rPr>
          <w:rFonts w:ascii="Arial" w:hAnsi="Arial" w:cs="Arial"/>
          <w:bCs/>
          <w:sz w:val="18"/>
          <w:szCs w:val="18"/>
        </w:rPr>
        <w:t>d</w:t>
      </w:r>
      <w:r w:rsidR="00B21780">
        <w:rPr>
          <w:rFonts w:ascii="Arial" w:hAnsi="Arial" w:cs="Arial"/>
          <w:bCs/>
          <w:sz w:val="18"/>
          <w:szCs w:val="18"/>
        </w:rPr>
        <w:t xml:space="preserve">e </w:t>
      </w:r>
      <w:r w:rsidR="000A2C0C">
        <w:rPr>
          <w:rFonts w:ascii="Arial" w:hAnsi="Arial" w:cs="Arial"/>
          <w:bCs/>
          <w:sz w:val="18"/>
          <w:szCs w:val="18"/>
        </w:rPr>
        <w:t>décembre</w:t>
      </w:r>
      <w:r w:rsidR="007010B1">
        <w:rPr>
          <w:rFonts w:ascii="Arial" w:hAnsi="Arial" w:cs="Arial"/>
          <w:bCs/>
          <w:sz w:val="18"/>
          <w:szCs w:val="18"/>
        </w:rPr>
        <w:t xml:space="preserve"> </w:t>
      </w:r>
      <w:r w:rsidR="006A5ED2">
        <w:rPr>
          <w:rFonts w:ascii="Arial" w:hAnsi="Arial" w:cs="Arial"/>
          <w:bCs/>
          <w:sz w:val="18"/>
          <w:szCs w:val="18"/>
        </w:rPr>
        <w:t>2021</w:t>
      </w:r>
      <w:r w:rsidR="00A96E5F" w:rsidRPr="00DB6D12">
        <w:rPr>
          <w:rFonts w:ascii="Arial" w:hAnsi="Arial" w:cs="Arial"/>
          <w:bCs/>
          <w:sz w:val="18"/>
          <w:szCs w:val="18"/>
        </w:rPr>
        <w:t xml:space="preserve">, les prix à la consommation </w:t>
      </w:r>
      <w:r w:rsidR="00A96E5F">
        <w:rPr>
          <w:rFonts w:ascii="Arial" w:hAnsi="Arial" w:cs="Arial"/>
          <w:bCs/>
          <w:sz w:val="18"/>
          <w:szCs w:val="18"/>
        </w:rPr>
        <w:t xml:space="preserve">se sont accrus de </w:t>
      </w:r>
      <w:r w:rsidR="00B21780">
        <w:rPr>
          <w:rFonts w:ascii="Arial" w:hAnsi="Arial" w:cs="Arial"/>
          <w:bCs/>
          <w:sz w:val="18"/>
          <w:szCs w:val="18"/>
        </w:rPr>
        <w:t>1</w:t>
      </w:r>
      <w:r w:rsidR="00027914">
        <w:rPr>
          <w:rFonts w:ascii="Arial" w:hAnsi="Arial" w:cs="Arial"/>
          <w:bCs/>
          <w:sz w:val="18"/>
          <w:szCs w:val="18"/>
        </w:rPr>
        <w:t>2</w:t>
      </w:r>
      <w:r w:rsidR="00A96E5F" w:rsidRPr="00DB6D12">
        <w:rPr>
          <w:rFonts w:ascii="Arial" w:hAnsi="Arial" w:cs="Arial"/>
          <w:bCs/>
          <w:sz w:val="18"/>
          <w:szCs w:val="18"/>
        </w:rPr>
        <w:t>,</w:t>
      </w:r>
      <w:r w:rsidR="00027914">
        <w:rPr>
          <w:rFonts w:ascii="Arial" w:hAnsi="Arial" w:cs="Arial"/>
          <w:bCs/>
          <w:sz w:val="18"/>
          <w:szCs w:val="18"/>
        </w:rPr>
        <w:t>8</w:t>
      </w:r>
      <w:r w:rsidR="00A96E5F" w:rsidRPr="00DB6D12">
        <w:rPr>
          <w:rFonts w:ascii="Arial" w:hAnsi="Arial" w:cs="Arial"/>
          <w:bCs/>
          <w:sz w:val="18"/>
          <w:szCs w:val="18"/>
        </w:rPr>
        <w:t>%.</w:t>
      </w:r>
      <w:r w:rsidR="00387421">
        <w:rPr>
          <w:rFonts w:ascii="Arial" w:hAnsi="Arial" w:cs="Arial"/>
          <w:bCs/>
          <w:sz w:val="18"/>
          <w:szCs w:val="18"/>
        </w:rPr>
        <w:t xml:space="preserve"> </w:t>
      </w:r>
      <w:r w:rsidR="00387421" w:rsidRPr="001917AC">
        <w:rPr>
          <w:rFonts w:ascii="Arial" w:hAnsi="Arial" w:cs="Arial"/>
          <w:b/>
          <w:bCs/>
          <w:sz w:val="18"/>
          <w:szCs w:val="18"/>
        </w:rPr>
        <w:t>L</w:t>
      </w:r>
      <w:r w:rsidR="00387421">
        <w:rPr>
          <w:rFonts w:ascii="Arial" w:hAnsi="Arial" w:cs="Arial"/>
          <w:b/>
          <w:bCs/>
          <w:sz w:val="18"/>
          <w:szCs w:val="18"/>
        </w:rPr>
        <w:t>e taux d’inflation annuel moyen en 2022 est de +9,7</w:t>
      </w:r>
      <w:r w:rsidR="00387421" w:rsidRPr="001917AC">
        <w:rPr>
          <w:rFonts w:ascii="Arial" w:hAnsi="Arial" w:cs="Arial"/>
          <w:b/>
          <w:bCs/>
          <w:sz w:val="18"/>
          <w:szCs w:val="18"/>
        </w:rPr>
        <w:t>%</w:t>
      </w:r>
      <w:r w:rsidR="00387421">
        <w:rPr>
          <w:rFonts w:ascii="Arial" w:hAnsi="Arial" w:cs="Arial"/>
          <w:b/>
          <w:bCs/>
          <w:sz w:val="18"/>
          <w:szCs w:val="18"/>
        </w:rPr>
        <w:t>.</w:t>
      </w:r>
    </w:p>
    <w:p w:rsidR="006A5ED2" w:rsidRDefault="006A5ED2" w:rsidP="006A5ED2">
      <w:pPr>
        <w:spacing w:after="0"/>
        <w:ind w:right="1"/>
        <w:jc w:val="both"/>
        <w:rPr>
          <w:rFonts w:ascii="Arial" w:hAnsi="Arial" w:cs="Arial"/>
          <w:bCs/>
          <w:sz w:val="18"/>
          <w:szCs w:val="18"/>
        </w:rPr>
      </w:pPr>
      <w:r w:rsidRPr="004E2938">
        <w:rPr>
          <w:rFonts w:ascii="Arial" w:hAnsi="Arial" w:cs="Arial"/>
          <w:bCs/>
          <w:sz w:val="18"/>
          <w:szCs w:val="18"/>
        </w:rPr>
        <w:t>L’inflation sous-jacente</w:t>
      </w:r>
      <w:r w:rsidRPr="004E2938">
        <w:rPr>
          <w:rStyle w:val="Appelnotedebasdep"/>
          <w:rFonts w:ascii="Arial" w:hAnsi="Arial" w:cs="Arial"/>
          <w:bCs/>
          <w:sz w:val="18"/>
          <w:szCs w:val="18"/>
        </w:rPr>
        <w:footnoteReference w:id="2"/>
      </w:r>
      <w:r w:rsidRPr="004E2938">
        <w:rPr>
          <w:rFonts w:ascii="Arial" w:hAnsi="Arial" w:cs="Arial"/>
          <w:bCs/>
          <w:sz w:val="18"/>
          <w:szCs w:val="18"/>
        </w:rPr>
        <w:t xml:space="preserve"> </w:t>
      </w:r>
      <w:r w:rsidR="00A80758">
        <w:rPr>
          <w:rFonts w:ascii="Arial" w:hAnsi="Arial" w:cs="Arial"/>
          <w:bCs/>
          <w:sz w:val="18"/>
          <w:szCs w:val="18"/>
        </w:rPr>
        <w:t xml:space="preserve">s’est appréciée </w:t>
      </w:r>
      <w:r w:rsidR="00467C2E">
        <w:rPr>
          <w:rFonts w:ascii="Arial" w:hAnsi="Arial" w:cs="Arial"/>
          <w:bCs/>
          <w:sz w:val="18"/>
          <w:szCs w:val="18"/>
        </w:rPr>
        <w:t xml:space="preserve">de </w:t>
      </w:r>
      <w:r w:rsidR="00CE755E">
        <w:rPr>
          <w:rFonts w:ascii="Arial" w:hAnsi="Arial" w:cs="Arial"/>
          <w:bCs/>
          <w:sz w:val="18"/>
          <w:szCs w:val="18"/>
        </w:rPr>
        <w:t>0</w:t>
      </w:r>
      <w:r w:rsidR="00A80758">
        <w:rPr>
          <w:rFonts w:ascii="Arial" w:hAnsi="Arial" w:cs="Arial"/>
          <w:bCs/>
          <w:sz w:val="18"/>
          <w:szCs w:val="18"/>
        </w:rPr>
        <w:t>,</w:t>
      </w:r>
      <w:r w:rsidR="00027914">
        <w:rPr>
          <w:rFonts w:ascii="Arial" w:hAnsi="Arial" w:cs="Arial"/>
          <w:bCs/>
          <w:sz w:val="18"/>
          <w:szCs w:val="18"/>
        </w:rPr>
        <w:t>2</w:t>
      </w:r>
      <w:r>
        <w:rPr>
          <w:rFonts w:ascii="Arial" w:hAnsi="Arial" w:cs="Arial"/>
          <w:bCs/>
          <w:sz w:val="18"/>
          <w:szCs w:val="18"/>
        </w:rPr>
        <w:t xml:space="preserve">% </w:t>
      </w:r>
      <w:r w:rsidRPr="004E2938">
        <w:rPr>
          <w:rFonts w:ascii="Arial" w:hAnsi="Arial" w:cs="Arial"/>
          <w:bCs/>
          <w:sz w:val="18"/>
          <w:szCs w:val="18"/>
        </w:rPr>
        <w:t xml:space="preserve">en rythme mensuel et </w:t>
      </w:r>
      <w:r>
        <w:rPr>
          <w:rFonts w:ascii="Arial" w:hAnsi="Arial" w:cs="Arial"/>
          <w:bCs/>
          <w:sz w:val="18"/>
          <w:szCs w:val="18"/>
        </w:rPr>
        <w:t xml:space="preserve">de </w:t>
      </w:r>
      <w:r w:rsidR="000C1C7A">
        <w:rPr>
          <w:rFonts w:ascii="Arial" w:hAnsi="Arial" w:cs="Arial"/>
          <w:bCs/>
          <w:sz w:val="18"/>
          <w:szCs w:val="18"/>
        </w:rPr>
        <w:t>8</w:t>
      </w:r>
      <w:r w:rsidRPr="004E2938">
        <w:rPr>
          <w:rFonts w:ascii="Arial" w:hAnsi="Arial" w:cs="Arial"/>
          <w:bCs/>
          <w:sz w:val="18"/>
          <w:szCs w:val="18"/>
        </w:rPr>
        <w:t>,</w:t>
      </w:r>
      <w:r w:rsidR="00027914">
        <w:rPr>
          <w:rFonts w:ascii="Arial" w:hAnsi="Arial" w:cs="Arial"/>
          <w:bCs/>
          <w:sz w:val="18"/>
          <w:szCs w:val="18"/>
        </w:rPr>
        <w:t>1</w:t>
      </w:r>
      <w:r w:rsidRPr="004E2938">
        <w:rPr>
          <w:rFonts w:ascii="Arial" w:hAnsi="Arial" w:cs="Arial"/>
          <w:bCs/>
          <w:sz w:val="18"/>
          <w:szCs w:val="18"/>
        </w:rPr>
        <w:t xml:space="preserve">% </w:t>
      </w:r>
      <w:r w:rsidR="00C637A1">
        <w:rPr>
          <w:rFonts w:ascii="Arial" w:hAnsi="Arial" w:cs="Arial"/>
          <w:bCs/>
          <w:sz w:val="18"/>
          <w:szCs w:val="18"/>
        </w:rPr>
        <w:t xml:space="preserve">par rapport au mois </w:t>
      </w:r>
      <w:r w:rsidR="00B21780">
        <w:rPr>
          <w:rFonts w:ascii="Arial" w:hAnsi="Arial" w:cs="Arial"/>
          <w:bCs/>
          <w:sz w:val="18"/>
          <w:szCs w:val="18"/>
        </w:rPr>
        <w:t xml:space="preserve">de </w:t>
      </w:r>
      <w:r w:rsidR="00387421">
        <w:rPr>
          <w:rFonts w:ascii="Arial" w:hAnsi="Arial" w:cs="Arial"/>
          <w:bCs/>
          <w:sz w:val="18"/>
          <w:szCs w:val="18"/>
        </w:rPr>
        <w:t>décembre</w:t>
      </w:r>
      <w:r w:rsidR="00B21780">
        <w:rPr>
          <w:rFonts w:ascii="Arial" w:hAnsi="Arial" w:cs="Arial"/>
          <w:bCs/>
          <w:sz w:val="18"/>
          <w:szCs w:val="18"/>
        </w:rPr>
        <w:t xml:space="preserve"> 20</w:t>
      </w:r>
      <w:r>
        <w:rPr>
          <w:rFonts w:ascii="Arial" w:hAnsi="Arial" w:cs="Arial"/>
          <w:bCs/>
          <w:sz w:val="18"/>
          <w:szCs w:val="18"/>
        </w:rPr>
        <w:t>21</w:t>
      </w:r>
      <w:r w:rsidRPr="004E2938">
        <w:rPr>
          <w:rFonts w:ascii="Arial" w:hAnsi="Arial" w:cs="Arial"/>
          <w:bCs/>
          <w:sz w:val="18"/>
          <w:szCs w:val="18"/>
        </w:rPr>
        <w:t xml:space="preserve">. </w:t>
      </w:r>
    </w:p>
    <w:p w:rsidR="006A5ED2" w:rsidRDefault="006A5ED2" w:rsidP="006A5ED2">
      <w:pPr>
        <w:spacing w:after="0"/>
        <w:ind w:right="1"/>
        <w:jc w:val="both"/>
        <w:rPr>
          <w:rFonts w:ascii="Arial" w:hAnsi="Arial" w:cs="Arial"/>
          <w:bCs/>
          <w:sz w:val="18"/>
          <w:szCs w:val="18"/>
        </w:rPr>
      </w:pPr>
      <w:r>
        <w:rPr>
          <w:rFonts w:ascii="Arial" w:hAnsi="Arial" w:cs="Arial"/>
          <w:bCs/>
          <w:sz w:val="18"/>
          <w:szCs w:val="18"/>
        </w:rPr>
        <w:t>Selon l’origine, l</w:t>
      </w:r>
      <w:r w:rsidRPr="004E2938">
        <w:rPr>
          <w:rFonts w:ascii="Arial" w:hAnsi="Arial" w:cs="Arial"/>
          <w:bCs/>
          <w:sz w:val="18"/>
          <w:szCs w:val="18"/>
        </w:rPr>
        <w:t xml:space="preserve">es prix des produits </w:t>
      </w:r>
      <w:r w:rsidR="00467C2E">
        <w:rPr>
          <w:rFonts w:ascii="Arial" w:hAnsi="Arial" w:cs="Arial"/>
          <w:bCs/>
          <w:sz w:val="18"/>
          <w:szCs w:val="18"/>
        </w:rPr>
        <w:t xml:space="preserve">locaux </w:t>
      </w:r>
      <w:r w:rsidR="00714592">
        <w:rPr>
          <w:rFonts w:ascii="Arial" w:hAnsi="Arial" w:cs="Arial"/>
          <w:bCs/>
          <w:sz w:val="18"/>
          <w:szCs w:val="18"/>
        </w:rPr>
        <w:t xml:space="preserve">ont diminué </w:t>
      </w:r>
      <w:r w:rsidR="00B21780">
        <w:rPr>
          <w:rFonts w:ascii="Arial" w:hAnsi="Arial" w:cs="Arial"/>
          <w:bCs/>
          <w:sz w:val="18"/>
          <w:szCs w:val="18"/>
        </w:rPr>
        <w:t>de</w:t>
      </w:r>
      <w:r w:rsidR="00CE755E">
        <w:rPr>
          <w:rFonts w:ascii="Arial" w:hAnsi="Arial" w:cs="Arial"/>
          <w:bCs/>
          <w:sz w:val="18"/>
          <w:szCs w:val="18"/>
        </w:rPr>
        <w:t xml:space="preserve"> </w:t>
      </w:r>
      <w:r w:rsidR="00027914">
        <w:rPr>
          <w:rFonts w:ascii="Arial" w:hAnsi="Arial" w:cs="Arial"/>
          <w:bCs/>
          <w:sz w:val="18"/>
          <w:szCs w:val="18"/>
        </w:rPr>
        <w:t>1</w:t>
      </w:r>
      <w:r w:rsidR="00467C2E">
        <w:rPr>
          <w:rFonts w:ascii="Arial" w:hAnsi="Arial" w:cs="Arial"/>
          <w:bCs/>
          <w:sz w:val="18"/>
          <w:szCs w:val="18"/>
        </w:rPr>
        <w:t>,</w:t>
      </w:r>
      <w:r w:rsidR="00027914">
        <w:rPr>
          <w:rFonts w:ascii="Arial" w:hAnsi="Arial" w:cs="Arial"/>
          <w:bCs/>
          <w:sz w:val="18"/>
          <w:szCs w:val="18"/>
        </w:rPr>
        <w:t>2</w:t>
      </w:r>
      <w:r w:rsidR="00467C2E">
        <w:rPr>
          <w:rFonts w:ascii="Arial" w:hAnsi="Arial" w:cs="Arial"/>
          <w:bCs/>
          <w:sz w:val="18"/>
          <w:szCs w:val="18"/>
        </w:rPr>
        <w:t>%</w:t>
      </w:r>
      <w:r>
        <w:rPr>
          <w:rFonts w:ascii="Arial" w:hAnsi="Arial" w:cs="Arial"/>
          <w:bCs/>
          <w:sz w:val="18"/>
          <w:szCs w:val="18"/>
        </w:rPr>
        <w:t xml:space="preserve"> </w:t>
      </w:r>
      <w:r w:rsidR="00714592">
        <w:rPr>
          <w:rFonts w:ascii="Arial" w:hAnsi="Arial" w:cs="Arial"/>
          <w:bCs/>
          <w:sz w:val="18"/>
          <w:szCs w:val="18"/>
        </w:rPr>
        <w:t xml:space="preserve">et </w:t>
      </w:r>
      <w:r w:rsidR="00027914">
        <w:rPr>
          <w:rFonts w:ascii="Arial" w:hAnsi="Arial" w:cs="Arial"/>
          <w:bCs/>
          <w:sz w:val="18"/>
          <w:szCs w:val="18"/>
        </w:rPr>
        <w:t>ceux des produits importés se sont relevés de 0,2</w:t>
      </w:r>
      <w:r w:rsidR="00714592">
        <w:rPr>
          <w:rFonts w:ascii="Arial" w:hAnsi="Arial" w:cs="Arial"/>
          <w:bCs/>
          <w:sz w:val="18"/>
          <w:szCs w:val="18"/>
        </w:rPr>
        <w:t xml:space="preserve">% </w:t>
      </w:r>
      <w:r>
        <w:rPr>
          <w:rFonts w:ascii="Arial" w:hAnsi="Arial" w:cs="Arial"/>
          <w:bCs/>
          <w:sz w:val="18"/>
          <w:szCs w:val="18"/>
        </w:rPr>
        <w:t xml:space="preserve">en </w:t>
      </w:r>
      <w:r w:rsidR="00714592">
        <w:rPr>
          <w:rFonts w:ascii="Arial" w:hAnsi="Arial" w:cs="Arial"/>
          <w:bCs/>
          <w:sz w:val="18"/>
          <w:szCs w:val="18"/>
        </w:rPr>
        <w:t xml:space="preserve">décembre </w:t>
      </w:r>
      <w:r>
        <w:rPr>
          <w:rFonts w:ascii="Arial" w:hAnsi="Arial" w:cs="Arial"/>
          <w:bCs/>
          <w:sz w:val="18"/>
          <w:szCs w:val="18"/>
        </w:rPr>
        <w:t xml:space="preserve">2022, </w:t>
      </w:r>
      <w:r w:rsidR="00DD6BBF">
        <w:rPr>
          <w:rFonts w:ascii="Arial" w:hAnsi="Arial" w:cs="Arial"/>
          <w:bCs/>
          <w:sz w:val="18"/>
          <w:szCs w:val="18"/>
        </w:rPr>
        <w:t>par rapport</w:t>
      </w:r>
      <w:r>
        <w:rPr>
          <w:rFonts w:ascii="Arial" w:hAnsi="Arial" w:cs="Arial"/>
          <w:bCs/>
          <w:sz w:val="18"/>
          <w:szCs w:val="18"/>
        </w:rPr>
        <w:t xml:space="preserve"> au mois précédent. </w:t>
      </w:r>
      <w:r w:rsidRPr="004E2938">
        <w:rPr>
          <w:rFonts w:ascii="Arial" w:hAnsi="Arial" w:cs="Arial"/>
          <w:bCs/>
          <w:sz w:val="18"/>
          <w:szCs w:val="18"/>
        </w:rPr>
        <w:t xml:space="preserve">En variation annuelle, </w:t>
      </w:r>
      <w:r>
        <w:rPr>
          <w:rFonts w:ascii="Arial" w:hAnsi="Arial" w:cs="Arial"/>
          <w:bCs/>
          <w:sz w:val="18"/>
          <w:szCs w:val="18"/>
        </w:rPr>
        <w:t xml:space="preserve">ils se sont </w:t>
      </w:r>
      <w:r w:rsidR="00C637A1">
        <w:rPr>
          <w:rFonts w:ascii="Arial" w:hAnsi="Arial" w:cs="Arial"/>
          <w:bCs/>
          <w:sz w:val="18"/>
          <w:szCs w:val="18"/>
        </w:rPr>
        <w:t>accrus</w:t>
      </w:r>
      <w:r>
        <w:rPr>
          <w:rFonts w:ascii="Arial" w:hAnsi="Arial" w:cs="Arial"/>
          <w:bCs/>
          <w:sz w:val="18"/>
          <w:szCs w:val="18"/>
        </w:rPr>
        <w:t xml:space="preserve">, </w:t>
      </w:r>
      <w:r w:rsidRPr="004E2938">
        <w:rPr>
          <w:rFonts w:ascii="Arial" w:hAnsi="Arial" w:cs="Arial"/>
          <w:bCs/>
          <w:sz w:val="18"/>
          <w:szCs w:val="18"/>
        </w:rPr>
        <w:t>respective</w:t>
      </w:r>
      <w:r w:rsidR="00C637A1">
        <w:rPr>
          <w:rFonts w:ascii="Arial" w:hAnsi="Arial" w:cs="Arial"/>
          <w:bCs/>
          <w:sz w:val="18"/>
          <w:szCs w:val="18"/>
        </w:rPr>
        <w:t xml:space="preserve">ment, de </w:t>
      </w:r>
      <w:r w:rsidR="00A80826">
        <w:rPr>
          <w:rFonts w:ascii="Arial" w:hAnsi="Arial" w:cs="Arial"/>
          <w:bCs/>
          <w:sz w:val="18"/>
          <w:szCs w:val="18"/>
        </w:rPr>
        <w:t>1</w:t>
      </w:r>
      <w:r w:rsidR="00714592">
        <w:rPr>
          <w:rFonts w:ascii="Arial" w:hAnsi="Arial" w:cs="Arial"/>
          <w:bCs/>
          <w:sz w:val="18"/>
          <w:szCs w:val="18"/>
        </w:rPr>
        <w:t>4</w:t>
      </w:r>
      <w:r>
        <w:rPr>
          <w:rFonts w:ascii="Arial" w:hAnsi="Arial" w:cs="Arial"/>
          <w:bCs/>
          <w:sz w:val="18"/>
          <w:szCs w:val="18"/>
        </w:rPr>
        <w:t>,</w:t>
      </w:r>
      <w:r w:rsidR="00027914">
        <w:rPr>
          <w:rFonts w:ascii="Arial" w:hAnsi="Arial" w:cs="Arial"/>
          <w:bCs/>
          <w:sz w:val="18"/>
          <w:szCs w:val="18"/>
        </w:rPr>
        <w:t>2</w:t>
      </w:r>
      <w:r w:rsidRPr="004E2938">
        <w:rPr>
          <w:rFonts w:ascii="Arial" w:hAnsi="Arial" w:cs="Arial"/>
          <w:bCs/>
          <w:sz w:val="18"/>
          <w:szCs w:val="18"/>
        </w:rPr>
        <w:t xml:space="preserve">% et </w:t>
      </w:r>
      <w:r w:rsidR="00027914">
        <w:rPr>
          <w:rFonts w:ascii="Arial" w:hAnsi="Arial" w:cs="Arial"/>
          <w:bCs/>
          <w:sz w:val="18"/>
          <w:szCs w:val="18"/>
        </w:rPr>
        <w:t>9</w:t>
      </w:r>
      <w:r w:rsidRPr="004E2938">
        <w:rPr>
          <w:rFonts w:ascii="Arial" w:hAnsi="Arial" w:cs="Arial"/>
          <w:bCs/>
          <w:sz w:val="18"/>
          <w:szCs w:val="18"/>
        </w:rPr>
        <w:t>,</w:t>
      </w:r>
      <w:r w:rsidR="00027914">
        <w:rPr>
          <w:rFonts w:ascii="Arial" w:hAnsi="Arial" w:cs="Arial"/>
          <w:bCs/>
          <w:sz w:val="18"/>
          <w:szCs w:val="18"/>
        </w:rPr>
        <w:t>3</w:t>
      </w:r>
      <w:r w:rsidRPr="004E2938">
        <w:rPr>
          <w:rFonts w:ascii="Arial" w:hAnsi="Arial" w:cs="Arial"/>
          <w:bCs/>
          <w:sz w:val="18"/>
          <w:szCs w:val="18"/>
        </w:rPr>
        <w:t>%.</w:t>
      </w:r>
    </w:p>
    <w:p w:rsidR="00A96E5F" w:rsidRDefault="00A96E5F" w:rsidP="00101717">
      <w:pPr>
        <w:spacing w:after="0" w:line="240" w:lineRule="auto"/>
        <w:ind w:right="1"/>
        <w:jc w:val="both"/>
        <w:rPr>
          <w:rFonts w:ascii="Arial" w:hAnsi="Arial" w:cs="Arial"/>
          <w:bCs/>
          <w:sz w:val="18"/>
          <w:szCs w:val="18"/>
        </w:rPr>
      </w:pPr>
    </w:p>
    <w:p w:rsidR="00A96E5F" w:rsidRDefault="00A96E5F" w:rsidP="00A96E5F">
      <w:pPr>
        <w:spacing w:after="0" w:line="240" w:lineRule="auto"/>
        <w:ind w:right="1"/>
        <w:jc w:val="both"/>
        <w:rPr>
          <w:rFonts w:ascii="Arial" w:hAnsi="Arial" w:cs="Arial"/>
          <w:b/>
          <w:sz w:val="18"/>
          <w:szCs w:val="18"/>
        </w:rPr>
      </w:pPr>
      <w:r w:rsidRPr="00E63391">
        <w:rPr>
          <w:rFonts w:ascii="Arial" w:hAnsi="Arial" w:cs="Arial"/>
          <w:b/>
          <w:sz w:val="18"/>
          <w:szCs w:val="18"/>
        </w:rPr>
        <w:t xml:space="preserve">Graphique </w:t>
      </w:r>
      <w:r w:rsidRPr="00E63391">
        <w:rPr>
          <w:rFonts w:ascii="Arial" w:hAnsi="Arial" w:cs="Arial"/>
          <w:b/>
          <w:sz w:val="18"/>
          <w:szCs w:val="18"/>
        </w:rPr>
        <w:fldChar w:fldCharType="begin"/>
      </w:r>
      <w:r w:rsidRPr="00E63391">
        <w:rPr>
          <w:rFonts w:ascii="Arial" w:hAnsi="Arial" w:cs="Arial"/>
          <w:b/>
          <w:sz w:val="18"/>
          <w:szCs w:val="18"/>
        </w:rPr>
        <w:instrText xml:space="preserve"> SEQ Figure \* ARABIC </w:instrText>
      </w:r>
      <w:r w:rsidRPr="00E63391">
        <w:rPr>
          <w:rFonts w:ascii="Arial" w:hAnsi="Arial" w:cs="Arial"/>
          <w:b/>
          <w:sz w:val="18"/>
          <w:szCs w:val="18"/>
        </w:rPr>
        <w:fldChar w:fldCharType="separate"/>
      </w:r>
      <w:r w:rsidR="003F11AC">
        <w:rPr>
          <w:rFonts w:ascii="Arial" w:hAnsi="Arial" w:cs="Arial"/>
          <w:b/>
          <w:noProof/>
          <w:sz w:val="18"/>
          <w:szCs w:val="18"/>
        </w:rPr>
        <w:t>1</w:t>
      </w:r>
      <w:r w:rsidRPr="00E63391">
        <w:rPr>
          <w:rFonts w:ascii="Arial" w:hAnsi="Arial" w:cs="Arial"/>
          <w:b/>
          <w:sz w:val="18"/>
          <w:szCs w:val="18"/>
        </w:rPr>
        <w:fldChar w:fldCharType="end"/>
      </w:r>
      <w:r w:rsidRPr="00E63391">
        <w:rPr>
          <w:rFonts w:ascii="Arial" w:hAnsi="Arial" w:cs="Arial"/>
          <w:b/>
          <w:sz w:val="18"/>
          <w:szCs w:val="18"/>
        </w:rPr>
        <w:t> : Evolution des douze fonctions de consommation</w:t>
      </w:r>
    </w:p>
    <w:p w:rsidR="001D35C4" w:rsidRPr="00E63391" w:rsidRDefault="00734BA9" w:rsidP="00A96E5F">
      <w:pPr>
        <w:spacing w:after="0" w:line="240" w:lineRule="auto"/>
        <w:ind w:right="1"/>
        <w:jc w:val="both"/>
        <w:rPr>
          <w:rFonts w:ascii="Arial" w:hAnsi="Arial" w:cs="Arial"/>
          <w:b/>
          <w:sz w:val="18"/>
          <w:szCs w:val="18"/>
        </w:rPr>
      </w:pPr>
      <w:r>
        <w:rPr>
          <w:noProof/>
          <w:lang w:eastAsia="fr-FR"/>
        </w:rPr>
        <w:drawing>
          <wp:inline distT="0" distB="0" distL="0" distR="0" wp14:anchorId="79F8FA4D" wp14:editId="531628E5">
            <wp:extent cx="5760720" cy="2105025"/>
            <wp:effectExtent l="0" t="0" r="11430" b="952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6E5F" w:rsidRPr="00126912" w:rsidRDefault="00A96E5F" w:rsidP="00126912">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bookmarkStart w:id="0" w:name="_GoBack"/>
      <w:bookmarkEnd w:id="0"/>
    </w:p>
    <w:p w:rsidR="00B90F0F" w:rsidRPr="00E63391" w:rsidRDefault="00B90F0F" w:rsidP="00B90F0F">
      <w:pPr>
        <w:spacing w:after="0" w:line="240" w:lineRule="auto"/>
        <w:ind w:right="1"/>
        <w:jc w:val="both"/>
        <w:rPr>
          <w:rFonts w:ascii="Arial" w:hAnsi="Arial" w:cs="Arial"/>
          <w:b/>
          <w:sz w:val="18"/>
          <w:szCs w:val="18"/>
        </w:rPr>
      </w:pPr>
      <w:r w:rsidRPr="00E63391">
        <w:rPr>
          <w:rFonts w:ascii="Arial" w:hAnsi="Arial" w:cs="Arial"/>
          <w:b/>
          <w:sz w:val="18"/>
          <w:szCs w:val="18"/>
        </w:rPr>
        <w:lastRenderedPageBreak/>
        <w:t>Graphique 2 : Evolution de l’indice global et de la fonction « produits alimentaires et boissons non alcoolisées »</w:t>
      </w:r>
    </w:p>
    <w:p w:rsidR="00A96E5F" w:rsidRPr="005149B0" w:rsidRDefault="00734BA9" w:rsidP="005149B0">
      <w:pPr>
        <w:spacing w:after="0" w:line="240" w:lineRule="auto"/>
        <w:rPr>
          <w:rFonts w:ascii="Arial" w:eastAsia="Times New Roman" w:hAnsi="Arial" w:cs="Arial"/>
          <w:bCs/>
          <w:sz w:val="16"/>
          <w:szCs w:val="16"/>
          <w:lang w:eastAsia="fr-FR"/>
        </w:rPr>
      </w:pPr>
      <w:r w:rsidRPr="00734BA9">
        <w:rPr>
          <w:rFonts w:ascii="Arial" w:eastAsia="Times New Roman" w:hAnsi="Arial" w:cs="Arial"/>
          <w:bCs/>
          <w:noProof/>
          <w:sz w:val="16"/>
          <w:szCs w:val="16"/>
          <w:lang w:eastAsia="fr-FR"/>
        </w:rPr>
        <w:drawing>
          <wp:inline distT="0" distB="0" distL="0" distR="0">
            <wp:extent cx="5760720" cy="37618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61862"/>
                    </a:xfrm>
                    <a:prstGeom prst="rect">
                      <a:avLst/>
                    </a:prstGeom>
                    <a:noFill/>
                    <a:ln>
                      <a:noFill/>
                    </a:ln>
                  </pic:spPr>
                </pic:pic>
              </a:graphicData>
            </a:graphic>
          </wp:inline>
        </w:drawing>
      </w:r>
    </w:p>
    <w:p w:rsidR="00B90F0F" w:rsidRPr="005149B0" w:rsidRDefault="00B90F0F" w:rsidP="005149B0">
      <w:pPr>
        <w:spacing w:after="0" w:line="240" w:lineRule="auto"/>
        <w:rPr>
          <w:rFonts w:ascii="Arial" w:eastAsia="Times New Roman" w:hAnsi="Arial" w:cs="Arial"/>
          <w:bCs/>
          <w:sz w:val="16"/>
          <w:szCs w:val="16"/>
          <w:lang w:eastAsia="fr-FR"/>
        </w:rPr>
      </w:pPr>
      <w:r w:rsidRPr="005149B0">
        <w:rPr>
          <w:rFonts w:ascii="Arial" w:eastAsia="Times New Roman" w:hAnsi="Arial" w:cs="Arial"/>
          <w:bCs/>
          <w:sz w:val="16"/>
          <w:szCs w:val="16"/>
          <w:u w:val="single"/>
          <w:lang w:eastAsia="fr-FR"/>
        </w:rPr>
        <w:t>Source</w:t>
      </w:r>
      <w:r w:rsidRPr="005149B0">
        <w:rPr>
          <w:rFonts w:ascii="Arial" w:eastAsia="Times New Roman" w:hAnsi="Arial" w:cs="Arial"/>
          <w:bCs/>
          <w:sz w:val="16"/>
          <w:szCs w:val="16"/>
          <w:lang w:eastAsia="fr-FR"/>
        </w:rPr>
        <w:t> : ANSD/DSECN/DSC/BP</w:t>
      </w:r>
    </w:p>
    <w:p w:rsidR="00A96E5F" w:rsidRDefault="00A96E5F" w:rsidP="00A96E5F"/>
    <w:p w:rsidR="00E70C38" w:rsidRDefault="00E70C38" w:rsidP="00E70C38">
      <w:pPr>
        <w:pStyle w:val="Sansinterligne"/>
        <w:rPr>
          <w:rFonts w:ascii="Arial" w:hAnsi="Arial" w:cs="Arial"/>
          <w:b/>
          <w:bCs/>
          <w:sz w:val="18"/>
          <w:szCs w:val="18"/>
        </w:rPr>
      </w:pPr>
      <w:r>
        <w:rPr>
          <w:rFonts w:ascii="Arial" w:hAnsi="Arial" w:cs="Arial"/>
          <w:b/>
          <w:bCs/>
          <w:sz w:val="18"/>
          <w:szCs w:val="18"/>
        </w:rPr>
        <w:t>Tableau 1 : L’Indice global et les 12 fonctions de consommation de l’IHPC</w:t>
      </w:r>
      <w:r w:rsidRPr="00E63391">
        <w:rPr>
          <w:rFonts w:ascii="Arial" w:hAnsi="Arial" w:cs="Arial"/>
          <w:b/>
          <w:bCs/>
          <w:sz w:val="18"/>
          <w:szCs w:val="18"/>
        </w:rPr>
        <w:t xml:space="preserve"> </w:t>
      </w:r>
      <w:r>
        <w:rPr>
          <w:rFonts w:ascii="Arial" w:hAnsi="Arial" w:cs="Arial"/>
          <w:b/>
          <w:bCs/>
          <w:sz w:val="18"/>
          <w:szCs w:val="18"/>
        </w:rPr>
        <w:t>(</w:t>
      </w:r>
      <w:r w:rsidRPr="00E63391">
        <w:rPr>
          <w:rFonts w:ascii="Arial" w:hAnsi="Arial" w:cs="Arial"/>
          <w:b/>
          <w:bCs/>
          <w:sz w:val="18"/>
          <w:szCs w:val="18"/>
        </w:rPr>
        <w:t>Base 100 en 2014</w:t>
      </w:r>
      <w:r>
        <w:rPr>
          <w:rFonts w:ascii="Arial" w:hAnsi="Arial" w:cs="Arial"/>
          <w:b/>
          <w:bCs/>
          <w:sz w:val="18"/>
          <w:szCs w:val="18"/>
        </w:rPr>
        <w:t>)</w:t>
      </w:r>
    </w:p>
    <w:tbl>
      <w:tblPr>
        <w:tblpPr w:leftFromText="141" w:rightFromText="141" w:vertAnchor="text" w:horzAnchor="margin" w:tblpXSpec="center" w:tblpY="12"/>
        <w:tblW w:w="5551" w:type="pct"/>
        <w:jc w:val="center"/>
        <w:tblLayout w:type="fixed"/>
        <w:tblCellMar>
          <w:left w:w="70" w:type="dxa"/>
          <w:right w:w="70" w:type="dxa"/>
        </w:tblCellMar>
        <w:tblLook w:val="04A0" w:firstRow="1" w:lastRow="0" w:firstColumn="1" w:lastColumn="0" w:noHBand="0" w:noVBand="1"/>
      </w:tblPr>
      <w:tblGrid>
        <w:gridCol w:w="2971"/>
        <w:gridCol w:w="711"/>
        <w:gridCol w:w="711"/>
        <w:gridCol w:w="708"/>
        <w:gridCol w:w="708"/>
        <w:gridCol w:w="710"/>
        <w:gridCol w:w="710"/>
        <w:gridCol w:w="700"/>
        <w:gridCol w:w="718"/>
        <w:gridCol w:w="710"/>
        <w:gridCol w:w="704"/>
      </w:tblGrid>
      <w:tr w:rsidR="007038BF" w:rsidRPr="0061068A" w:rsidTr="00734BA9">
        <w:trPr>
          <w:trHeight w:val="340"/>
          <w:jc w:val="center"/>
        </w:trPr>
        <w:tc>
          <w:tcPr>
            <w:tcW w:w="147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331" w:rsidRPr="0061068A" w:rsidRDefault="00F43331" w:rsidP="00D66237">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Libellés</w:t>
            </w:r>
          </w:p>
        </w:tc>
        <w:tc>
          <w:tcPr>
            <w:tcW w:w="353" w:type="pct"/>
            <w:vMerge w:val="restart"/>
            <w:tcBorders>
              <w:top w:val="single" w:sz="4" w:space="0" w:color="auto"/>
              <w:left w:val="nil"/>
              <w:right w:val="single" w:sz="4" w:space="0" w:color="auto"/>
            </w:tcBorders>
            <w:shd w:val="clear" w:color="auto" w:fill="auto"/>
            <w:noWrap/>
            <w:vAlign w:val="center"/>
            <w:hideMark/>
          </w:tcPr>
          <w:p w:rsidR="00F43331" w:rsidRPr="0061068A" w:rsidRDefault="00F43331" w:rsidP="00D66237">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Poids</w:t>
            </w:r>
          </w:p>
          <w:p w:rsidR="00F43331" w:rsidRPr="0061068A" w:rsidRDefault="00F43331" w:rsidP="00F7004A">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 </w:t>
            </w:r>
          </w:p>
        </w:tc>
        <w:tc>
          <w:tcPr>
            <w:tcW w:w="353" w:type="pct"/>
            <w:tcBorders>
              <w:top w:val="single" w:sz="4" w:space="0" w:color="auto"/>
              <w:left w:val="nil"/>
              <w:bottom w:val="single" w:sz="4" w:space="0" w:color="auto"/>
              <w:right w:val="nil"/>
            </w:tcBorders>
            <w:vAlign w:val="center"/>
          </w:tcPr>
          <w:p w:rsidR="00F43331" w:rsidRPr="0061068A" w:rsidRDefault="00F43331" w:rsidP="00D66237">
            <w:pPr>
              <w:spacing w:after="0" w:line="240" w:lineRule="auto"/>
              <w:jc w:val="center"/>
              <w:rPr>
                <w:rFonts w:ascii="Arial" w:eastAsia="Times New Roman" w:hAnsi="Arial" w:cs="Arial"/>
                <w:sz w:val="16"/>
                <w:szCs w:val="16"/>
                <w:lang w:eastAsia="fr-FR"/>
              </w:rPr>
            </w:pPr>
          </w:p>
        </w:tc>
        <w:tc>
          <w:tcPr>
            <w:tcW w:w="1409" w:type="pct"/>
            <w:gridSpan w:val="4"/>
            <w:tcBorders>
              <w:top w:val="single" w:sz="4" w:space="0" w:color="auto"/>
              <w:left w:val="nil"/>
              <w:bottom w:val="single" w:sz="4" w:space="0" w:color="auto"/>
              <w:right w:val="single" w:sz="4" w:space="0" w:color="auto"/>
            </w:tcBorders>
            <w:shd w:val="clear" w:color="auto" w:fill="auto"/>
            <w:noWrap/>
            <w:vAlign w:val="center"/>
            <w:hideMark/>
          </w:tcPr>
          <w:p w:rsidR="00F43331" w:rsidRPr="00F43331" w:rsidRDefault="00F43331" w:rsidP="00D66237">
            <w:pPr>
              <w:spacing w:after="0" w:line="240" w:lineRule="auto"/>
              <w:jc w:val="center"/>
              <w:rPr>
                <w:rFonts w:ascii="Arial" w:eastAsia="Times New Roman" w:hAnsi="Arial" w:cs="Arial"/>
                <w:b/>
                <w:sz w:val="16"/>
                <w:szCs w:val="16"/>
                <w:lang w:eastAsia="fr-FR"/>
              </w:rPr>
            </w:pPr>
            <w:r w:rsidRPr="00F43331">
              <w:rPr>
                <w:rFonts w:ascii="Arial" w:eastAsia="Times New Roman" w:hAnsi="Arial" w:cs="Arial"/>
                <w:b/>
                <w:sz w:val="16"/>
                <w:szCs w:val="16"/>
                <w:lang w:eastAsia="fr-FR"/>
              </w:rPr>
              <w:t>Indices du mois</w:t>
            </w:r>
          </w:p>
        </w:tc>
        <w:tc>
          <w:tcPr>
            <w:tcW w:w="1058" w:type="pct"/>
            <w:gridSpan w:val="3"/>
            <w:tcBorders>
              <w:top w:val="single" w:sz="4" w:space="0" w:color="auto"/>
              <w:left w:val="nil"/>
              <w:bottom w:val="single" w:sz="4" w:space="0" w:color="auto"/>
              <w:right w:val="single" w:sz="4" w:space="0" w:color="auto"/>
            </w:tcBorders>
            <w:shd w:val="clear" w:color="auto" w:fill="auto"/>
            <w:noWrap/>
            <w:vAlign w:val="center"/>
            <w:hideMark/>
          </w:tcPr>
          <w:p w:rsidR="00F43331" w:rsidRPr="00F43331" w:rsidRDefault="00F43331" w:rsidP="00D66237">
            <w:pPr>
              <w:spacing w:after="0" w:line="240" w:lineRule="auto"/>
              <w:jc w:val="center"/>
              <w:rPr>
                <w:rFonts w:ascii="Arial" w:eastAsia="Times New Roman" w:hAnsi="Arial" w:cs="Arial"/>
                <w:b/>
                <w:sz w:val="16"/>
                <w:szCs w:val="16"/>
                <w:lang w:eastAsia="fr-FR"/>
              </w:rPr>
            </w:pPr>
            <w:r w:rsidRPr="00F43331">
              <w:rPr>
                <w:rFonts w:ascii="Arial" w:eastAsia="Times New Roman" w:hAnsi="Arial" w:cs="Arial"/>
                <w:b/>
                <w:sz w:val="16"/>
                <w:szCs w:val="16"/>
                <w:lang w:eastAsia="fr-FR"/>
              </w:rPr>
              <w:t>Variation sur</w:t>
            </w:r>
          </w:p>
        </w:tc>
        <w:tc>
          <w:tcPr>
            <w:tcW w:w="350" w:type="pct"/>
            <w:vMerge w:val="restart"/>
            <w:tcBorders>
              <w:top w:val="single" w:sz="4" w:space="0" w:color="auto"/>
              <w:left w:val="nil"/>
              <w:right w:val="single" w:sz="4" w:space="0" w:color="auto"/>
            </w:tcBorders>
            <w:vAlign w:val="center"/>
          </w:tcPr>
          <w:p w:rsidR="00F43331" w:rsidRPr="007038BF" w:rsidRDefault="00F43331" w:rsidP="008F6FCA">
            <w:pPr>
              <w:spacing w:after="0" w:line="240" w:lineRule="auto"/>
              <w:jc w:val="center"/>
              <w:rPr>
                <w:rFonts w:ascii="Arial" w:eastAsia="Times New Roman" w:hAnsi="Arial" w:cs="Arial"/>
                <w:sz w:val="16"/>
                <w:szCs w:val="16"/>
                <w:lang w:eastAsia="fr-FR"/>
              </w:rPr>
            </w:pPr>
            <w:r w:rsidRPr="007038BF">
              <w:rPr>
                <w:rFonts w:ascii="Arial" w:eastAsia="Times New Roman" w:hAnsi="Arial" w:cs="Arial"/>
                <w:b/>
                <w:bCs/>
                <w:color w:val="000000"/>
                <w:sz w:val="14"/>
                <w:szCs w:val="14"/>
                <w:lang w:eastAsia="fr-FR"/>
              </w:rPr>
              <w:t>Inflation</w:t>
            </w:r>
          </w:p>
        </w:tc>
      </w:tr>
      <w:tr w:rsidR="007038BF" w:rsidRPr="0061068A" w:rsidTr="00734BA9">
        <w:trPr>
          <w:trHeight w:val="340"/>
          <w:jc w:val="center"/>
        </w:trPr>
        <w:tc>
          <w:tcPr>
            <w:tcW w:w="1476" w:type="pct"/>
            <w:vMerge/>
            <w:tcBorders>
              <w:top w:val="single" w:sz="4" w:space="0" w:color="auto"/>
              <w:left w:val="single" w:sz="4" w:space="0" w:color="auto"/>
              <w:bottom w:val="single" w:sz="4" w:space="0" w:color="auto"/>
              <w:right w:val="single" w:sz="4" w:space="0" w:color="auto"/>
            </w:tcBorders>
            <w:vAlign w:val="center"/>
            <w:hideMark/>
          </w:tcPr>
          <w:p w:rsidR="00F43331" w:rsidRPr="0061068A" w:rsidRDefault="00F43331" w:rsidP="00DD6BBF">
            <w:pPr>
              <w:spacing w:after="0" w:line="240" w:lineRule="auto"/>
              <w:rPr>
                <w:rFonts w:ascii="Arial" w:eastAsia="Times New Roman" w:hAnsi="Arial" w:cs="Arial"/>
                <w:b/>
                <w:bCs/>
                <w:sz w:val="16"/>
                <w:szCs w:val="16"/>
                <w:lang w:eastAsia="fr-FR"/>
              </w:rPr>
            </w:pPr>
          </w:p>
        </w:tc>
        <w:tc>
          <w:tcPr>
            <w:tcW w:w="353" w:type="pct"/>
            <w:vMerge/>
            <w:tcBorders>
              <w:left w:val="nil"/>
              <w:bottom w:val="single" w:sz="4" w:space="0" w:color="auto"/>
              <w:right w:val="single" w:sz="4" w:space="0" w:color="auto"/>
            </w:tcBorders>
            <w:shd w:val="clear" w:color="auto" w:fill="auto"/>
            <w:noWrap/>
            <w:vAlign w:val="center"/>
            <w:hideMark/>
          </w:tcPr>
          <w:p w:rsidR="00F43331" w:rsidRPr="0061068A" w:rsidRDefault="00F43331" w:rsidP="00DD6BBF">
            <w:pPr>
              <w:spacing w:after="0" w:line="240" w:lineRule="auto"/>
              <w:jc w:val="center"/>
              <w:rPr>
                <w:rFonts w:ascii="Arial" w:eastAsia="Times New Roman" w:hAnsi="Arial" w:cs="Arial"/>
                <w:b/>
                <w:bCs/>
                <w:sz w:val="16"/>
                <w:szCs w:val="16"/>
                <w:lang w:eastAsia="fr-FR"/>
              </w:rPr>
            </w:pPr>
          </w:p>
        </w:tc>
        <w:tc>
          <w:tcPr>
            <w:tcW w:w="353" w:type="pct"/>
            <w:tcBorders>
              <w:top w:val="nil"/>
              <w:left w:val="nil"/>
              <w:bottom w:val="single" w:sz="4" w:space="0" w:color="auto"/>
              <w:right w:val="single" w:sz="4" w:space="0" w:color="auto"/>
            </w:tcBorders>
            <w:shd w:val="clear" w:color="auto" w:fill="auto"/>
            <w:noWrap/>
            <w:vAlign w:val="center"/>
            <w:hideMark/>
          </w:tcPr>
          <w:p w:rsidR="00F43331" w:rsidRPr="00E70C38" w:rsidRDefault="00F43331" w:rsidP="00DD6BBF">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Déc.</w:t>
            </w:r>
            <w:r w:rsidRPr="00E70C38">
              <w:rPr>
                <w:rFonts w:ascii="Arial" w:eastAsia="Times New Roman" w:hAnsi="Arial" w:cs="Arial"/>
                <w:b/>
                <w:bCs/>
                <w:color w:val="000000"/>
                <w:sz w:val="14"/>
                <w:szCs w:val="14"/>
                <w:lang w:eastAsia="fr-FR"/>
              </w:rPr>
              <w:t>-21</w:t>
            </w:r>
          </w:p>
        </w:tc>
        <w:tc>
          <w:tcPr>
            <w:tcW w:w="352" w:type="pct"/>
            <w:tcBorders>
              <w:top w:val="nil"/>
              <w:left w:val="nil"/>
              <w:bottom w:val="single" w:sz="4" w:space="0" w:color="auto"/>
              <w:right w:val="single" w:sz="4" w:space="0" w:color="auto"/>
            </w:tcBorders>
            <w:shd w:val="clear" w:color="auto" w:fill="auto"/>
            <w:noWrap/>
            <w:vAlign w:val="center"/>
            <w:hideMark/>
          </w:tcPr>
          <w:p w:rsidR="00F43331" w:rsidRPr="00E70C38" w:rsidRDefault="00F43331" w:rsidP="00DD6BBF">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Sept.-22</w:t>
            </w:r>
          </w:p>
        </w:tc>
        <w:tc>
          <w:tcPr>
            <w:tcW w:w="352" w:type="pct"/>
            <w:tcBorders>
              <w:top w:val="nil"/>
              <w:left w:val="nil"/>
              <w:bottom w:val="single" w:sz="4" w:space="0" w:color="auto"/>
              <w:right w:val="single" w:sz="4" w:space="0" w:color="auto"/>
            </w:tcBorders>
            <w:shd w:val="clear" w:color="auto" w:fill="auto"/>
            <w:noWrap/>
            <w:vAlign w:val="center"/>
          </w:tcPr>
          <w:p w:rsidR="00F43331" w:rsidRPr="00E70C38" w:rsidRDefault="00F43331" w:rsidP="00DD6BBF">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Oct.-22</w:t>
            </w:r>
          </w:p>
        </w:tc>
        <w:tc>
          <w:tcPr>
            <w:tcW w:w="353" w:type="pct"/>
            <w:tcBorders>
              <w:top w:val="single" w:sz="4" w:space="0" w:color="auto"/>
              <w:left w:val="nil"/>
              <w:bottom w:val="single" w:sz="4" w:space="0" w:color="auto"/>
              <w:right w:val="single" w:sz="4" w:space="0" w:color="auto"/>
            </w:tcBorders>
            <w:vAlign w:val="center"/>
          </w:tcPr>
          <w:p w:rsidR="00F43331" w:rsidRPr="00F43331" w:rsidRDefault="00F43331" w:rsidP="00F43331">
            <w:pPr>
              <w:spacing w:after="0" w:line="240" w:lineRule="auto"/>
              <w:jc w:val="center"/>
              <w:rPr>
                <w:rFonts w:ascii="Arial" w:eastAsia="Times New Roman" w:hAnsi="Arial" w:cs="Arial"/>
                <w:b/>
                <w:bCs/>
                <w:color w:val="000000"/>
                <w:sz w:val="10"/>
                <w:szCs w:val="10"/>
                <w:lang w:eastAsia="fr-FR"/>
              </w:rPr>
            </w:pPr>
            <w:r w:rsidRPr="00F43331">
              <w:rPr>
                <w:rFonts w:ascii="Arial" w:eastAsia="Times New Roman" w:hAnsi="Arial" w:cs="Arial"/>
                <w:b/>
                <w:bCs/>
                <w:color w:val="000000"/>
                <w:sz w:val="14"/>
                <w:szCs w:val="14"/>
                <w:lang w:eastAsia="fr-FR"/>
              </w:rPr>
              <w:t>Nov.-22</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F43331" w:rsidRPr="00E70C38" w:rsidRDefault="00F43331" w:rsidP="00DD6BBF">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Déc.-22</w:t>
            </w:r>
          </w:p>
        </w:tc>
        <w:tc>
          <w:tcPr>
            <w:tcW w:w="348" w:type="pct"/>
            <w:tcBorders>
              <w:top w:val="nil"/>
              <w:left w:val="nil"/>
              <w:bottom w:val="single" w:sz="4" w:space="0" w:color="auto"/>
              <w:right w:val="single" w:sz="4" w:space="0" w:color="auto"/>
            </w:tcBorders>
            <w:shd w:val="clear" w:color="auto" w:fill="auto"/>
            <w:noWrap/>
            <w:vAlign w:val="center"/>
            <w:hideMark/>
          </w:tcPr>
          <w:p w:rsidR="00F43331" w:rsidRPr="007038BF" w:rsidRDefault="00F43331" w:rsidP="00DD6BBF">
            <w:pPr>
              <w:spacing w:after="0" w:line="240" w:lineRule="auto"/>
              <w:jc w:val="center"/>
              <w:rPr>
                <w:rFonts w:ascii="Arial" w:eastAsia="Times New Roman" w:hAnsi="Arial" w:cs="Arial"/>
                <w:b/>
                <w:bCs/>
                <w:color w:val="000000"/>
                <w:sz w:val="14"/>
                <w:szCs w:val="14"/>
                <w:lang w:eastAsia="fr-FR"/>
              </w:rPr>
            </w:pPr>
            <w:r w:rsidRPr="007038BF">
              <w:rPr>
                <w:rFonts w:ascii="Arial" w:eastAsia="Times New Roman" w:hAnsi="Arial" w:cs="Arial"/>
                <w:b/>
                <w:bCs/>
                <w:color w:val="000000"/>
                <w:sz w:val="14"/>
                <w:szCs w:val="14"/>
                <w:lang w:eastAsia="fr-FR"/>
              </w:rPr>
              <w:t>1 mois</w:t>
            </w:r>
          </w:p>
        </w:tc>
        <w:tc>
          <w:tcPr>
            <w:tcW w:w="357" w:type="pct"/>
            <w:tcBorders>
              <w:top w:val="nil"/>
              <w:left w:val="nil"/>
              <w:bottom w:val="single" w:sz="4" w:space="0" w:color="auto"/>
              <w:right w:val="single" w:sz="4" w:space="0" w:color="auto"/>
            </w:tcBorders>
            <w:shd w:val="clear" w:color="auto" w:fill="auto"/>
            <w:noWrap/>
            <w:vAlign w:val="center"/>
            <w:hideMark/>
          </w:tcPr>
          <w:p w:rsidR="00F43331" w:rsidRPr="007038BF" w:rsidRDefault="00F43331" w:rsidP="00DD6BBF">
            <w:pPr>
              <w:spacing w:after="0" w:line="240" w:lineRule="auto"/>
              <w:jc w:val="center"/>
              <w:rPr>
                <w:rFonts w:ascii="Arial" w:eastAsia="Times New Roman" w:hAnsi="Arial" w:cs="Arial"/>
                <w:b/>
                <w:bCs/>
                <w:color w:val="000000"/>
                <w:sz w:val="14"/>
                <w:szCs w:val="14"/>
                <w:lang w:eastAsia="fr-FR"/>
              </w:rPr>
            </w:pPr>
            <w:r w:rsidRPr="007038BF">
              <w:rPr>
                <w:rFonts w:ascii="Arial" w:eastAsia="Times New Roman" w:hAnsi="Arial" w:cs="Arial"/>
                <w:b/>
                <w:bCs/>
                <w:color w:val="000000"/>
                <w:sz w:val="14"/>
                <w:szCs w:val="14"/>
                <w:lang w:eastAsia="fr-FR"/>
              </w:rPr>
              <w:t>3 mois</w:t>
            </w:r>
          </w:p>
        </w:tc>
        <w:tc>
          <w:tcPr>
            <w:tcW w:w="353" w:type="pct"/>
            <w:tcBorders>
              <w:top w:val="nil"/>
              <w:left w:val="nil"/>
              <w:bottom w:val="single" w:sz="4" w:space="0" w:color="auto"/>
              <w:right w:val="single" w:sz="4" w:space="0" w:color="auto"/>
            </w:tcBorders>
            <w:shd w:val="clear" w:color="auto" w:fill="auto"/>
            <w:noWrap/>
            <w:vAlign w:val="center"/>
            <w:hideMark/>
          </w:tcPr>
          <w:p w:rsidR="00F43331" w:rsidRPr="007038BF" w:rsidRDefault="00F43331" w:rsidP="007038BF">
            <w:pPr>
              <w:spacing w:after="0" w:line="240" w:lineRule="auto"/>
              <w:jc w:val="center"/>
              <w:rPr>
                <w:rFonts w:ascii="Arial" w:eastAsia="Times New Roman" w:hAnsi="Arial" w:cs="Arial"/>
                <w:b/>
                <w:bCs/>
                <w:color w:val="000000"/>
                <w:sz w:val="14"/>
                <w:szCs w:val="14"/>
                <w:lang w:eastAsia="fr-FR"/>
              </w:rPr>
            </w:pPr>
            <w:r w:rsidRPr="007038BF">
              <w:rPr>
                <w:rFonts w:ascii="Arial" w:eastAsia="Times New Roman" w:hAnsi="Arial" w:cs="Arial"/>
                <w:b/>
                <w:bCs/>
                <w:color w:val="000000"/>
                <w:sz w:val="14"/>
                <w:szCs w:val="14"/>
                <w:lang w:eastAsia="fr-FR"/>
              </w:rPr>
              <w:t>12 mois</w:t>
            </w:r>
          </w:p>
        </w:tc>
        <w:tc>
          <w:tcPr>
            <w:tcW w:w="350" w:type="pct"/>
            <w:vMerge/>
            <w:tcBorders>
              <w:left w:val="nil"/>
              <w:bottom w:val="single" w:sz="4" w:space="0" w:color="auto"/>
              <w:right w:val="single" w:sz="4" w:space="0" w:color="auto"/>
            </w:tcBorders>
            <w:vAlign w:val="center"/>
          </w:tcPr>
          <w:p w:rsidR="00F43331" w:rsidRPr="00E70C38" w:rsidRDefault="00F43331" w:rsidP="00DD6BBF">
            <w:pPr>
              <w:spacing w:after="0" w:line="240" w:lineRule="auto"/>
              <w:jc w:val="center"/>
              <w:rPr>
                <w:rFonts w:ascii="Arial" w:eastAsia="Times New Roman" w:hAnsi="Arial" w:cs="Arial"/>
                <w:b/>
                <w:bCs/>
                <w:color w:val="000000"/>
                <w:sz w:val="14"/>
                <w:szCs w:val="14"/>
                <w:lang w:eastAsia="fr-FR"/>
              </w:rPr>
            </w:pPr>
          </w:p>
        </w:tc>
      </w:tr>
      <w:tr w:rsidR="00734BA9"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734BA9" w:rsidRPr="0061068A" w:rsidRDefault="00734BA9" w:rsidP="00734BA9">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Indice global</w:t>
            </w:r>
          </w:p>
        </w:tc>
        <w:tc>
          <w:tcPr>
            <w:tcW w:w="353" w:type="pct"/>
            <w:tcBorders>
              <w:top w:val="nil"/>
              <w:left w:val="nil"/>
              <w:bottom w:val="single" w:sz="4" w:space="0" w:color="auto"/>
              <w:right w:val="nil"/>
            </w:tcBorders>
            <w:shd w:val="clear" w:color="auto" w:fill="auto"/>
            <w:noWrap/>
            <w:vAlign w:val="center"/>
            <w:hideMark/>
          </w:tcPr>
          <w:p w:rsidR="00734BA9" w:rsidRPr="0061068A" w:rsidRDefault="00734BA9" w:rsidP="00734BA9">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10000</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734BA9" w:rsidRPr="00E70C38" w:rsidRDefault="00734BA9" w:rsidP="00734BA9">
            <w:pPr>
              <w:spacing w:after="0" w:line="240" w:lineRule="auto"/>
              <w:jc w:val="center"/>
              <w:rPr>
                <w:rFonts w:ascii="Arial" w:eastAsia="Times New Roman" w:hAnsi="Arial" w:cs="Arial"/>
                <w:b/>
                <w:bCs/>
                <w:color w:val="000000"/>
                <w:sz w:val="16"/>
                <w:szCs w:val="16"/>
                <w:lang w:eastAsia="fr-FR"/>
              </w:rPr>
            </w:pPr>
            <w:r>
              <w:rPr>
                <w:rFonts w:ascii="Arial" w:eastAsia="Times New Roman" w:hAnsi="Arial" w:cs="Arial"/>
                <w:b/>
                <w:bCs/>
                <w:color w:val="000000"/>
                <w:sz w:val="16"/>
                <w:szCs w:val="16"/>
                <w:lang w:eastAsia="fr-FR"/>
              </w:rPr>
              <w:t>112,5</w:t>
            </w:r>
          </w:p>
        </w:tc>
        <w:tc>
          <w:tcPr>
            <w:tcW w:w="352" w:type="pct"/>
            <w:tcBorders>
              <w:top w:val="nil"/>
              <w:left w:val="nil"/>
              <w:bottom w:val="single" w:sz="4" w:space="0" w:color="auto"/>
              <w:right w:val="single" w:sz="4" w:space="0" w:color="auto"/>
            </w:tcBorders>
            <w:shd w:val="clear" w:color="auto" w:fill="auto"/>
            <w:noWrap/>
            <w:vAlign w:val="center"/>
            <w:hideMark/>
          </w:tcPr>
          <w:p w:rsidR="00734BA9" w:rsidRDefault="00734BA9" w:rsidP="00734BA9">
            <w:pPr>
              <w:spacing w:after="0" w:line="240" w:lineRule="auto"/>
              <w:jc w:val="center"/>
              <w:rPr>
                <w:rFonts w:ascii="Arial" w:eastAsia="Times New Roman" w:hAnsi="Arial" w:cs="Arial"/>
                <w:b/>
                <w:bCs/>
                <w:sz w:val="16"/>
                <w:szCs w:val="16"/>
              </w:rPr>
            </w:pPr>
            <w:r>
              <w:rPr>
                <w:rFonts w:ascii="Arial" w:hAnsi="Arial" w:cs="Arial"/>
                <w:b/>
                <w:bCs/>
                <w:sz w:val="16"/>
                <w:szCs w:val="16"/>
              </w:rPr>
              <w:t>126,2</w:t>
            </w:r>
          </w:p>
        </w:tc>
        <w:tc>
          <w:tcPr>
            <w:tcW w:w="352" w:type="pct"/>
            <w:tcBorders>
              <w:top w:val="nil"/>
              <w:left w:val="nil"/>
              <w:bottom w:val="single" w:sz="4" w:space="0" w:color="auto"/>
              <w:right w:val="single" w:sz="4" w:space="0" w:color="auto"/>
            </w:tcBorders>
            <w:shd w:val="clear" w:color="auto" w:fill="auto"/>
            <w:noWrap/>
            <w:vAlign w:val="center"/>
          </w:tcPr>
          <w:p w:rsidR="00734BA9" w:rsidRPr="00591EA5" w:rsidRDefault="00734BA9" w:rsidP="00734BA9">
            <w:pPr>
              <w:spacing w:after="0" w:line="240" w:lineRule="auto"/>
              <w:jc w:val="center"/>
              <w:rPr>
                <w:rFonts w:ascii="Arial" w:eastAsia="Times New Roman" w:hAnsi="Arial" w:cs="Arial"/>
                <w:color w:val="000000"/>
                <w:sz w:val="16"/>
                <w:szCs w:val="16"/>
                <w:lang w:eastAsia="fr-FR"/>
              </w:rPr>
            </w:pPr>
            <w:r w:rsidRPr="00591EA5">
              <w:rPr>
                <w:rFonts w:ascii="Arial" w:hAnsi="Arial" w:cs="Arial"/>
                <w:b/>
                <w:bCs/>
                <w:sz w:val="16"/>
                <w:szCs w:val="16"/>
              </w:rPr>
              <w:t>127,9</w:t>
            </w:r>
          </w:p>
        </w:tc>
        <w:tc>
          <w:tcPr>
            <w:tcW w:w="353" w:type="pct"/>
            <w:tcBorders>
              <w:top w:val="single" w:sz="4" w:space="0" w:color="auto"/>
              <w:left w:val="nil"/>
              <w:bottom w:val="single" w:sz="4" w:space="0" w:color="auto"/>
              <w:right w:val="single" w:sz="4" w:space="0" w:color="auto"/>
            </w:tcBorders>
            <w:vAlign w:val="center"/>
          </w:tcPr>
          <w:p w:rsidR="00734BA9" w:rsidRPr="009B1B1D" w:rsidRDefault="00734BA9" w:rsidP="00734BA9">
            <w:pPr>
              <w:spacing w:after="0" w:line="240" w:lineRule="auto"/>
              <w:jc w:val="center"/>
              <w:rPr>
                <w:rFonts w:ascii="Arial" w:eastAsia="Times New Roman" w:hAnsi="Arial" w:cs="Arial"/>
                <w:b/>
                <w:color w:val="000000"/>
                <w:sz w:val="16"/>
                <w:szCs w:val="16"/>
                <w:lang w:eastAsia="fr-FR"/>
              </w:rPr>
            </w:pPr>
            <w:r w:rsidRPr="009B1B1D">
              <w:rPr>
                <w:rFonts w:ascii="Arial" w:eastAsia="Times New Roman" w:hAnsi="Arial" w:cs="Arial"/>
                <w:b/>
                <w:color w:val="000000"/>
                <w:sz w:val="16"/>
                <w:szCs w:val="16"/>
                <w:lang w:eastAsia="fr-FR"/>
              </w:rPr>
              <w:t>128,2</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hAnsi="Arial" w:cs="Arial"/>
                <w:b/>
                <w:sz w:val="16"/>
                <w:szCs w:val="16"/>
              </w:rPr>
            </w:pPr>
            <w:r w:rsidRPr="00734BA9">
              <w:rPr>
                <w:rFonts w:ascii="Arial" w:hAnsi="Arial" w:cs="Arial"/>
                <w:b/>
                <w:sz w:val="16"/>
                <w:szCs w:val="16"/>
              </w:rPr>
              <w:t>126,9</w:t>
            </w:r>
          </w:p>
        </w:tc>
        <w:tc>
          <w:tcPr>
            <w:tcW w:w="348" w:type="pct"/>
            <w:tcBorders>
              <w:top w:val="nil"/>
              <w:left w:val="nil"/>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eastAsia="Times New Roman" w:hAnsi="Arial" w:cs="Arial"/>
                <w:b/>
                <w:color w:val="000000"/>
                <w:sz w:val="16"/>
                <w:szCs w:val="16"/>
                <w:lang w:eastAsia="fr-FR"/>
              </w:rPr>
            </w:pPr>
            <w:r w:rsidRPr="00734BA9">
              <w:rPr>
                <w:rFonts w:ascii="Arial" w:eastAsia="Times New Roman" w:hAnsi="Arial" w:cs="Arial"/>
                <w:b/>
                <w:color w:val="000000"/>
                <w:sz w:val="16"/>
                <w:szCs w:val="16"/>
                <w:lang w:eastAsia="fr-FR"/>
              </w:rPr>
              <w:t>-1,0%</w:t>
            </w:r>
          </w:p>
        </w:tc>
        <w:tc>
          <w:tcPr>
            <w:tcW w:w="357" w:type="pct"/>
            <w:tcBorders>
              <w:top w:val="nil"/>
              <w:left w:val="nil"/>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eastAsia="Times New Roman" w:hAnsi="Arial" w:cs="Arial"/>
                <w:b/>
                <w:color w:val="000000"/>
                <w:sz w:val="16"/>
                <w:szCs w:val="16"/>
                <w:lang w:eastAsia="fr-FR"/>
              </w:rPr>
            </w:pPr>
            <w:r w:rsidRPr="00734BA9">
              <w:rPr>
                <w:rFonts w:ascii="Arial" w:eastAsia="Times New Roman" w:hAnsi="Arial" w:cs="Arial"/>
                <w:b/>
                <w:color w:val="000000"/>
                <w:sz w:val="16"/>
                <w:szCs w:val="16"/>
                <w:lang w:eastAsia="fr-FR"/>
              </w:rPr>
              <w:t>0,5%</w:t>
            </w:r>
          </w:p>
        </w:tc>
        <w:tc>
          <w:tcPr>
            <w:tcW w:w="353" w:type="pct"/>
            <w:tcBorders>
              <w:top w:val="nil"/>
              <w:left w:val="nil"/>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eastAsia="Times New Roman" w:hAnsi="Arial" w:cs="Arial"/>
                <w:b/>
                <w:color w:val="000000"/>
                <w:sz w:val="16"/>
                <w:szCs w:val="16"/>
                <w:lang w:eastAsia="fr-FR"/>
              </w:rPr>
            </w:pPr>
            <w:r w:rsidRPr="00734BA9">
              <w:rPr>
                <w:rFonts w:ascii="Arial" w:eastAsia="Times New Roman" w:hAnsi="Arial" w:cs="Arial"/>
                <w:b/>
                <w:color w:val="000000"/>
                <w:sz w:val="16"/>
                <w:szCs w:val="16"/>
                <w:lang w:eastAsia="fr-FR"/>
              </w:rPr>
              <w:t>12,8%</w:t>
            </w:r>
          </w:p>
        </w:tc>
        <w:tc>
          <w:tcPr>
            <w:tcW w:w="350" w:type="pct"/>
            <w:tcBorders>
              <w:top w:val="nil"/>
              <w:left w:val="nil"/>
              <w:bottom w:val="single" w:sz="4" w:space="0" w:color="auto"/>
              <w:right w:val="single" w:sz="4" w:space="0" w:color="auto"/>
            </w:tcBorders>
            <w:vAlign w:val="center"/>
          </w:tcPr>
          <w:p w:rsidR="00734BA9" w:rsidRPr="00734BA9" w:rsidRDefault="00734BA9" w:rsidP="00734BA9">
            <w:pPr>
              <w:spacing w:after="0" w:line="240" w:lineRule="auto"/>
              <w:jc w:val="center"/>
              <w:rPr>
                <w:rFonts w:ascii="Arial" w:hAnsi="Arial" w:cs="Arial"/>
                <w:b/>
                <w:sz w:val="16"/>
                <w:szCs w:val="16"/>
              </w:rPr>
            </w:pPr>
            <w:r w:rsidRPr="00734BA9">
              <w:rPr>
                <w:rFonts w:ascii="Arial" w:hAnsi="Arial" w:cs="Arial"/>
                <w:b/>
                <w:sz w:val="16"/>
                <w:szCs w:val="16"/>
              </w:rPr>
              <w:t>9</w:t>
            </w:r>
            <w:r w:rsidR="009A58BE">
              <w:rPr>
                <w:rFonts w:ascii="Arial" w:hAnsi="Arial" w:cs="Arial"/>
                <w:b/>
                <w:sz w:val="16"/>
                <w:szCs w:val="16"/>
              </w:rPr>
              <w:t>,7%</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 xml:space="preserve">1   </w:t>
            </w:r>
            <w:r>
              <w:rPr>
                <w:rFonts w:ascii="Arial" w:eastAsia="Times New Roman" w:hAnsi="Arial" w:cs="Arial"/>
                <w:bCs/>
                <w:sz w:val="16"/>
                <w:szCs w:val="16"/>
                <w:lang w:eastAsia="fr-FR"/>
              </w:rPr>
              <w:t>Produits a</w:t>
            </w:r>
            <w:r w:rsidRPr="00B87E4C">
              <w:rPr>
                <w:rFonts w:ascii="Arial" w:eastAsia="Times New Roman" w:hAnsi="Arial" w:cs="Arial"/>
                <w:bCs/>
                <w:sz w:val="16"/>
                <w:szCs w:val="16"/>
                <w:lang w:eastAsia="fr-FR"/>
              </w:rPr>
              <w:t>limenta</w:t>
            </w:r>
            <w:r>
              <w:rPr>
                <w:rFonts w:ascii="Arial" w:eastAsia="Times New Roman" w:hAnsi="Arial" w:cs="Arial"/>
                <w:bCs/>
                <w:sz w:val="16"/>
                <w:szCs w:val="16"/>
                <w:lang w:eastAsia="fr-FR"/>
              </w:rPr>
              <w:t>ires</w:t>
            </w:r>
            <w:r w:rsidRPr="00B87E4C">
              <w:rPr>
                <w:rFonts w:ascii="Arial" w:eastAsia="Times New Roman" w:hAnsi="Arial" w:cs="Arial"/>
                <w:bCs/>
                <w:sz w:val="16"/>
                <w:szCs w:val="16"/>
                <w:lang w:eastAsia="fr-FR"/>
              </w:rPr>
              <w:t xml:space="preserve"> et boisson</w:t>
            </w:r>
            <w:r>
              <w:rPr>
                <w:rFonts w:ascii="Arial" w:eastAsia="Times New Roman" w:hAnsi="Arial" w:cs="Arial"/>
                <w:bCs/>
                <w:sz w:val="16"/>
                <w:szCs w:val="16"/>
                <w:lang w:eastAsia="fr-FR"/>
              </w:rPr>
              <w:t>s</w:t>
            </w:r>
            <w:r w:rsidRPr="00B87E4C">
              <w:rPr>
                <w:rFonts w:ascii="Arial" w:eastAsia="Times New Roman" w:hAnsi="Arial" w:cs="Arial"/>
                <w:bCs/>
                <w:sz w:val="16"/>
                <w:szCs w:val="16"/>
                <w:lang w:eastAsia="fr-FR"/>
              </w:rPr>
              <w:t xml:space="preserve"> non alcoolisées</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4964</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120,6</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144,1</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146,5</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146,3</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143,3</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-2,1%</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-0,6%</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18,8%</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15,1%</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2   Boissons alcoolisées, tabac et stupéfiant</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49</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116,7</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121,7</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121,7</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121,7</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121,9</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0,1%</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0,1%</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4,4%</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3,5%</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3   Articles d'habillement et chaussures</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730</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104,0</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107,8</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108,9</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109,3</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109,9</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0,6%</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1,9%</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5,7%</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3,7%</w:t>
            </w:r>
          </w:p>
        </w:tc>
      </w:tr>
      <w:tr w:rsidR="009A58BE" w:rsidRPr="00220BAA" w:rsidTr="00734BA9">
        <w:trPr>
          <w:trHeight w:val="397"/>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4   Logement, eau, électricité, gaz et autres combustibles</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1204</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102,4</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106,1</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107,8</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108,6</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108,8</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0,1%</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2,5%</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6,2%</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4,1%</w:t>
            </w:r>
          </w:p>
        </w:tc>
      </w:tr>
      <w:tr w:rsidR="009A58BE" w:rsidRPr="00220BAA" w:rsidTr="00734BA9">
        <w:trPr>
          <w:trHeight w:val="397"/>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5   Meubles, articles de ménages et entretien</w:t>
            </w:r>
            <w:r>
              <w:rPr>
                <w:rFonts w:ascii="Arial" w:eastAsia="Times New Roman" w:hAnsi="Arial" w:cs="Arial"/>
                <w:bCs/>
                <w:sz w:val="16"/>
                <w:szCs w:val="16"/>
                <w:lang w:eastAsia="fr-FR"/>
              </w:rPr>
              <w:t xml:space="preserve"> </w:t>
            </w:r>
            <w:r w:rsidRPr="00B87E4C">
              <w:rPr>
                <w:rFonts w:ascii="Arial" w:eastAsia="Times New Roman" w:hAnsi="Arial" w:cs="Arial"/>
                <w:bCs/>
                <w:sz w:val="16"/>
                <w:szCs w:val="16"/>
                <w:lang w:eastAsia="fr-FR"/>
              </w:rPr>
              <w:t>courant du foyer</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502</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109,3</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113,5</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114,3</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115,2</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115,5</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0,3%</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1,8%</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5,7%</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4,3%</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6   Santé</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353</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109,0</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112,0</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111,6</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111,8</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112,6</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0,7%</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0,5%</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3,3%</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2,2%</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7   Transports</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563</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106,7</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108,7</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108,5</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108,8</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109,0</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0,2%</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0,3%</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2,2%</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2,3%</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8   Communication</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329</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84,2</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84,3</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87,8</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88,9</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88,8</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-0,1%</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5,3%</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5,5%</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-1,8%</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9   Loisirs et cultures</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353</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102,1</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116,6</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117,5</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118,0</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118,4</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0,3%</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1,6%</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15,9%</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8,7%</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10  Enseignement</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194</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112,3</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112,3</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114,4</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114,4</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114,4</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0,0%</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1,9%</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1,9%</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1,7%</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11  Restaurants et hôtels</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376</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110,4</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116,8</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117,6</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119,8</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120,2</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0,3%</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2,9%</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8,8%</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6,2%</w:t>
            </w:r>
          </w:p>
        </w:tc>
      </w:tr>
      <w:tr w:rsidR="009A58BE" w:rsidRPr="00220BAA" w:rsidTr="00734BA9">
        <w:trPr>
          <w:trHeight w:val="340"/>
          <w:jc w:val="center"/>
        </w:trPr>
        <w:tc>
          <w:tcPr>
            <w:tcW w:w="1476" w:type="pct"/>
            <w:tcBorders>
              <w:top w:val="nil"/>
              <w:left w:val="single" w:sz="4" w:space="0" w:color="auto"/>
              <w:bottom w:val="single" w:sz="4" w:space="0" w:color="auto"/>
              <w:right w:val="single" w:sz="4" w:space="0" w:color="auto"/>
            </w:tcBorders>
            <w:shd w:val="clear" w:color="auto" w:fill="auto"/>
            <w:noWrap/>
            <w:vAlign w:val="center"/>
            <w:hideMark/>
          </w:tcPr>
          <w:p w:rsidR="009A58BE" w:rsidRPr="00B87E4C" w:rsidRDefault="009A58BE" w:rsidP="009A58BE">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12  Biens et services divers</w:t>
            </w:r>
          </w:p>
        </w:tc>
        <w:tc>
          <w:tcPr>
            <w:tcW w:w="353" w:type="pct"/>
            <w:tcBorders>
              <w:top w:val="nil"/>
              <w:left w:val="nil"/>
              <w:bottom w:val="single" w:sz="4" w:space="0" w:color="auto"/>
              <w:right w:val="nil"/>
            </w:tcBorders>
            <w:shd w:val="clear" w:color="auto" w:fill="auto"/>
            <w:noWrap/>
            <w:vAlign w:val="center"/>
            <w:hideMark/>
          </w:tcPr>
          <w:p w:rsidR="009A58BE" w:rsidRPr="00B87E4C" w:rsidRDefault="009A58BE" w:rsidP="009A58BE">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383</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DD6BBF" w:rsidRDefault="009A58BE" w:rsidP="009A58BE">
            <w:pPr>
              <w:spacing w:after="0" w:line="240" w:lineRule="auto"/>
              <w:jc w:val="center"/>
              <w:rPr>
                <w:rFonts w:ascii="Arial" w:eastAsia="Times New Roman" w:hAnsi="Arial" w:cs="Arial"/>
                <w:color w:val="000000"/>
                <w:sz w:val="16"/>
                <w:szCs w:val="16"/>
                <w:lang w:eastAsia="fr-FR"/>
              </w:rPr>
            </w:pPr>
            <w:r w:rsidRPr="00DD6BBF">
              <w:rPr>
                <w:rFonts w:ascii="Arial" w:eastAsia="Times New Roman" w:hAnsi="Arial" w:cs="Arial"/>
                <w:color w:val="000000"/>
                <w:sz w:val="16"/>
                <w:szCs w:val="16"/>
                <w:lang w:eastAsia="fr-FR"/>
              </w:rPr>
              <w:t>105,9</w:t>
            </w:r>
          </w:p>
        </w:tc>
        <w:tc>
          <w:tcPr>
            <w:tcW w:w="352"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109,3</w:t>
            </w:r>
          </w:p>
        </w:tc>
        <w:tc>
          <w:tcPr>
            <w:tcW w:w="352" w:type="pct"/>
            <w:tcBorders>
              <w:top w:val="nil"/>
              <w:left w:val="nil"/>
              <w:bottom w:val="single" w:sz="4" w:space="0" w:color="auto"/>
              <w:right w:val="single" w:sz="4" w:space="0" w:color="auto"/>
            </w:tcBorders>
            <w:shd w:val="clear" w:color="auto" w:fill="auto"/>
            <w:noWrap/>
            <w:vAlign w:val="center"/>
          </w:tcPr>
          <w:p w:rsidR="009A58BE" w:rsidRPr="00591EA5" w:rsidRDefault="009A58BE" w:rsidP="009A58BE">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110,4</w:t>
            </w:r>
          </w:p>
        </w:tc>
        <w:tc>
          <w:tcPr>
            <w:tcW w:w="353" w:type="pct"/>
            <w:tcBorders>
              <w:top w:val="single" w:sz="4" w:space="0" w:color="auto"/>
              <w:left w:val="nil"/>
              <w:bottom w:val="single" w:sz="4" w:space="0" w:color="auto"/>
              <w:right w:val="single" w:sz="4" w:space="0" w:color="auto"/>
            </w:tcBorders>
            <w:vAlign w:val="center"/>
          </w:tcPr>
          <w:p w:rsidR="009A58BE" w:rsidRPr="009B1B1D" w:rsidRDefault="009A58BE" w:rsidP="009A58BE">
            <w:pPr>
              <w:spacing w:after="0" w:line="240" w:lineRule="auto"/>
              <w:jc w:val="center"/>
              <w:rPr>
                <w:rFonts w:ascii="Arial" w:eastAsia="Times New Roman" w:hAnsi="Arial" w:cs="Arial"/>
                <w:color w:val="000000"/>
                <w:sz w:val="16"/>
                <w:szCs w:val="16"/>
                <w:lang w:eastAsia="fr-FR"/>
              </w:rPr>
            </w:pPr>
            <w:r w:rsidRPr="009B1B1D">
              <w:rPr>
                <w:rFonts w:ascii="Arial" w:eastAsia="Times New Roman" w:hAnsi="Arial" w:cs="Arial"/>
                <w:color w:val="000000"/>
                <w:sz w:val="16"/>
                <w:szCs w:val="16"/>
                <w:lang w:eastAsia="fr-FR"/>
              </w:rPr>
              <w:t>111,7</w:t>
            </w:r>
          </w:p>
        </w:tc>
        <w:tc>
          <w:tcPr>
            <w:tcW w:w="353"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112,4</w:t>
            </w:r>
          </w:p>
        </w:tc>
        <w:tc>
          <w:tcPr>
            <w:tcW w:w="348"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0,6%</w:t>
            </w:r>
          </w:p>
        </w:tc>
        <w:tc>
          <w:tcPr>
            <w:tcW w:w="35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2,8%</w:t>
            </w:r>
          </w:p>
        </w:tc>
        <w:tc>
          <w:tcPr>
            <w:tcW w:w="353"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6,1%</w:t>
            </w:r>
          </w:p>
        </w:tc>
        <w:tc>
          <w:tcPr>
            <w:tcW w:w="350"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3,3%</w:t>
            </w:r>
          </w:p>
        </w:tc>
      </w:tr>
    </w:tbl>
    <w:p w:rsidR="00E70C38" w:rsidRPr="00602850" w:rsidRDefault="00E70C38" w:rsidP="00E70C38">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rsidR="00E70C38" w:rsidRDefault="00E70C38" w:rsidP="00A96E5F"/>
    <w:p w:rsidR="00126912" w:rsidRDefault="00126912" w:rsidP="00A96E5F"/>
    <w:p w:rsidR="00126912" w:rsidRDefault="00126912" w:rsidP="00126912">
      <w:pPr>
        <w:pStyle w:val="Sansinterligne"/>
        <w:spacing w:line="276" w:lineRule="auto"/>
        <w:rPr>
          <w:rFonts w:ascii="Arial" w:hAnsi="Arial" w:cs="Arial"/>
          <w:b/>
          <w:bCs/>
          <w:sz w:val="18"/>
          <w:szCs w:val="18"/>
        </w:rPr>
      </w:pPr>
      <w:r w:rsidRPr="00E63391">
        <w:rPr>
          <w:rFonts w:ascii="Arial" w:hAnsi="Arial" w:cs="Arial"/>
          <w:b/>
          <w:bCs/>
          <w:sz w:val="18"/>
          <w:szCs w:val="18"/>
        </w:rPr>
        <w:lastRenderedPageBreak/>
        <w:t xml:space="preserve">Tableau 2 : </w:t>
      </w:r>
      <w:r>
        <w:rPr>
          <w:rFonts w:ascii="Arial" w:hAnsi="Arial" w:cs="Arial"/>
          <w:b/>
          <w:bCs/>
          <w:sz w:val="18"/>
          <w:szCs w:val="18"/>
        </w:rPr>
        <w:t>Les i</w:t>
      </w:r>
      <w:r w:rsidRPr="00E63391">
        <w:rPr>
          <w:rFonts w:ascii="Arial" w:hAnsi="Arial" w:cs="Arial"/>
          <w:b/>
          <w:bCs/>
          <w:sz w:val="18"/>
          <w:szCs w:val="18"/>
        </w:rPr>
        <w:t>ndice</w:t>
      </w:r>
      <w:r>
        <w:rPr>
          <w:rFonts w:ascii="Arial" w:hAnsi="Arial" w:cs="Arial"/>
          <w:b/>
          <w:bCs/>
          <w:sz w:val="18"/>
          <w:szCs w:val="18"/>
        </w:rPr>
        <w:t>s des nomenclatures secondaires</w:t>
      </w:r>
    </w:p>
    <w:tbl>
      <w:tblPr>
        <w:tblW w:w="5212" w:type="pct"/>
        <w:jc w:val="center"/>
        <w:tblLayout w:type="fixed"/>
        <w:tblCellMar>
          <w:left w:w="70" w:type="dxa"/>
          <w:right w:w="70" w:type="dxa"/>
        </w:tblCellMar>
        <w:tblLook w:val="04A0" w:firstRow="1" w:lastRow="0" w:firstColumn="1" w:lastColumn="0" w:noHBand="0" w:noVBand="1"/>
      </w:tblPr>
      <w:tblGrid>
        <w:gridCol w:w="2415"/>
        <w:gridCol w:w="713"/>
        <w:gridCol w:w="709"/>
        <w:gridCol w:w="710"/>
        <w:gridCol w:w="708"/>
        <w:gridCol w:w="708"/>
        <w:gridCol w:w="712"/>
        <w:gridCol w:w="707"/>
        <w:gridCol w:w="661"/>
        <w:gridCol w:w="712"/>
        <w:gridCol w:w="691"/>
      </w:tblGrid>
      <w:tr w:rsidR="004D0836" w:rsidRPr="0061068A" w:rsidTr="00062A6E">
        <w:trPr>
          <w:trHeight w:val="284"/>
          <w:jc w:val="center"/>
        </w:trPr>
        <w:tc>
          <w:tcPr>
            <w:tcW w:w="1278"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D0836" w:rsidRPr="0061068A" w:rsidRDefault="004D0836" w:rsidP="00D66237">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Libellés</w:t>
            </w:r>
          </w:p>
        </w:tc>
        <w:tc>
          <w:tcPr>
            <w:tcW w:w="377" w:type="pct"/>
            <w:vMerge w:val="restart"/>
            <w:tcBorders>
              <w:top w:val="single" w:sz="4" w:space="0" w:color="auto"/>
              <w:left w:val="nil"/>
              <w:right w:val="single" w:sz="4" w:space="0" w:color="auto"/>
            </w:tcBorders>
            <w:shd w:val="clear" w:color="auto" w:fill="auto"/>
            <w:vAlign w:val="center"/>
            <w:hideMark/>
          </w:tcPr>
          <w:p w:rsidR="004D0836" w:rsidRPr="009D2996" w:rsidRDefault="004D0836" w:rsidP="009D2996">
            <w:pPr>
              <w:spacing w:after="0" w:line="240" w:lineRule="auto"/>
              <w:jc w:val="center"/>
              <w:rPr>
                <w:rFonts w:ascii="Arial" w:eastAsia="Times New Roman" w:hAnsi="Arial" w:cs="Arial"/>
                <w:b/>
                <w:sz w:val="16"/>
                <w:szCs w:val="16"/>
                <w:lang w:eastAsia="fr-FR"/>
              </w:rPr>
            </w:pPr>
            <w:r w:rsidRPr="009D2996">
              <w:rPr>
                <w:rFonts w:ascii="Arial" w:eastAsia="Times New Roman" w:hAnsi="Arial" w:cs="Arial"/>
                <w:b/>
                <w:sz w:val="16"/>
                <w:szCs w:val="16"/>
                <w:lang w:eastAsia="fr-FR"/>
              </w:rPr>
              <w:t>Poids</w:t>
            </w:r>
          </w:p>
        </w:tc>
        <w:tc>
          <w:tcPr>
            <w:tcW w:w="375" w:type="pct"/>
            <w:tcBorders>
              <w:top w:val="single" w:sz="4" w:space="0" w:color="auto"/>
              <w:left w:val="nil"/>
              <w:bottom w:val="single" w:sz="4" w:space="0" w:color="auto"/>
              <w:right w:val="nil"/>
            </w:tcBorders>
          </w:tcPr>
          <w:p w:rsidR="004D0836" w:rsidRPr="0061068A" w:rsidRDefault="004D0836" w:rsidP="00D66237">
            <w:pPr>
              <w:spacing w:after="0" w:line="240" w:lineRule="auto"/>
              <w:jc w:val="center"/>
              <w:rPr>
                <w:rFonts w:ascii="Arial" w:eastAsia="Times New Roman" w:hAnsi="Arial" w:cs="Arial"/>
                <w:sz w:val="16"/>
                <w:szCs w:val="16"/>
                <w:lang w:eastAsia="fr-FR"/>
              </w:rPr>
            </w:pPr>
          </w:p>
        </w:tc>
        <w:tc>
          <w:tcPr>
            <w:tcW w:w="1502" w:type="pct"/>
            <w:gridSpan w:val="4"/>
            <w:tcBorders>
              <w:top w:val="single" w:sz="4" w:space="0" w:color="auto"/>
              <w:left w:val="nil"/>
              <w:bottom w:val="single" w:sz="4" w:space="0" w:color="auto"/>
              <w:right w:val="single" w:sz="4" w:space="0" w:color="auto"/>
            </w:tcBorders>
            <w:shd w:val="clear" w:color="auto" w:fill="auto"/>
            <w:noWrap/>
            <w:vAlign w:val="center"/>
            <w:hideMark/>
          </w:tcPr>
          <w:p w:rsidR="004D0836" w:rsidRPr="004D0836" w:rsidRDefault="004D0836" w:rsidP="00D66237">
            <w:pPr>
              <w:spacing w:after="0" w:line="240" w:lineRule="auto"/>
              <w:jc w:val="center"/>
              <w:rPr>
                <w:rFonts w:ascii="Arial" w:eastAsia="Times New Roman" w:hAnsi="Arial" w:cs="Arial"/>
                <w:b/>
                <w:sz w:val="16"/>
                <w:szCs w:val="16"/>
                <w:lang w:eastAsia="fr-FR"/>
              </w:rPr>
            </w:pPr>
            <w:r w:rsidRPr="004D0836">
              <w:rPr>
                <w:rFonts w:ascii="Arial" w:eastAsia="Times New Roman" w:hAnsi="Arial" w:cs="Arial"/>
                <w:b/>
                <w:sz w:val="16"/>
                <w:szCs w:val="16"/>
                <w:lang w:eastAsia="fr-FR"/>
              </w:rPr>
              <w:t>Indice des prix du mois de</w:t>
            </w:r>
          </w:p>
        </w:tc>
        <w:tc>
          <w:tcPr>
            <w:tcW w:w="1101" w:type="pct"/>
            <w:gridSpan w:val="3"/>
            <w:tcBorders>
              <w:top w:val="single" w:sz="4" w:space="0" w:color="auto"/>
              <w:left w:val="nil"/>
              <w:bottom w:val="single" w:sz="4" w:space="0" w:color="auto"/>
              <w:right w:val="single" w:sz="4" w:space="0" w:color="auto"/>
            </w:tcBorders>
            <w:shd w:val="clear" w:color="auto" w:fill="auto"/>
            <w:noWrap/>
            <w:vAlign w:val="center"/>
            <w:hideMark/>
          </w:tcPr>
          <w:p w:rsidR="004D0836" w:rsidRPr="004D0836" w:rsidRDefault="004D0836" w:rsidP="00D66237">
            <w:pPr>
              <w:spacing w:after="0" w:line="240" w:lineRule="auto"/>
              <w:jc w:val="center"/>
              <w:rPr>
                <w:rFonts w:ascii="Arial" w:eastAsia="Times New Roman" w:hAnsi="Arial" w:cs="Arial"/>
                <w:b/>
                <w:sz w:val="16"/>
                <w:szCs w:val="16"/>
                <w:lang w:eastAsia="fr-FR"/>
              </w:rPr>
            </w:pPr>
            <w:r w:rsidRPr="004D0836">
              <w:rPr>
                <w:rFonts w:ascii="Arial" w:eastAsia="Times New Roman" w:hAnsi="Arial" w:cs="Arial"/>
                <w:b/>
                <w:sz w:val="16"/>
                <w:szCs w:val="16"/>
                <w:lang w:eastAsia="fr-FR"/>
              </w:rPr>
              <w:t>Variation sur</w:t>
            </w:r>
          </w:p>
        </w:tc>
        <w:tc>
          <w:tcPr>
            <w:tcW w:w="366" w:type="pct"/>
            <w:vMerge w:val="restart"/>
            <w:tcBorders>
              <w:top w:val="single" w:sz="4" w:space="0" w:color="auto"/>
              <w:left w:val="nil"/>
              <w:right w:val="single" w:sz="4" w:space="0" w:color="auto"/>
            </w:tcBorders>
            <w:vAlign w:val="center"/>
          </w:tcPr>
          <w:p w:rsidR="004D0836" w:rsidRPr="0061068A" w:rsidRDefault="004D0836" w:rsidP="009B1B1D">
            <w:pPr>
              <w:spacing w:after="0" w:line="240" w:lineRule="auto"/>
              <w:jc w:val="center"/>
              <w:rPr>
                <w:rFonts w:ascii="Arial" w:eastAsia="Times New Roman" w:hAnsi="Arial" w:cs="Arial"/>
                <w:sz w:val="16"/>
                <w:szCs w:val="16"/>
                <w:lang w:eastAsia="fr-FR"/>
              </w:rPr>
            </w:pPr>
            <w:r>
              <w:rPr>
                <w:rFonts w:ascii="Arial" w:eastAsia="Times New Roman" w:hAnsi="Arial" w:cs="Arial"/>
                <w:b/>
                <w:bCs/>
                <w:color w:val="000000"/>
                <w:sz w:val="14"/>
                <w:szCs w:val="14"/>
                <w:lang w:eastAsia="fr-FR"/>
              </w:rPr>
              <w:t>Inflation</w:t>
            </w:r>
          </w:p>
        </w:tc>
      </w:tr>
      <w:tr w:rsidR="00062A6E" w:rsidRPr="0061068A" w:rsidTr="00062A6E">
        <w:trPr>
          <w:trHeight w:val="284"/>
          <w:jc w:val="center"/>
        </w:trPr>
        <w:tc>
          <w:tcPr>
            <w:tcW w:w="1278" w:type="pct"/>
            <w:vMerge/>
            <w:tcBorders>
              <w:top w:val="single" w:sz="4" w:space="0" w:color="auto"/>
              <w:left w:val="single" w:sz="4" w:space="0" w:color="auto"/>
              <w:bottom w:val="single" w:sz="4" w:space="0" w:color="000000"/>
              <w:right w:val="single" w:sz="4" w:space="0" w:color="auto"/>
            </w:tcBorders>
            <w:vAlign w:val="center"/>
            <w:hideMark/>
          </w:tcPr>
          <w:p w:rsidR="00062A6E" w:rsidRPr="0061068A" w:rsidRDefault="00062A6E" w:rsidP="00062A6E">
            <w:pPr>
              <w:spacing w:after="0" w:line="240" w:lineRule="auto"/>
              <w:rPr>
                <w:rFonts w:ascii="Arial" w:eastAsia="Times New Roman" w:hAnsi="Arial" w:cs="Arial"/>
                <w:b/>
                <w:bCs/>
                <w:sz w:val="16"/>
                <w:szCs w:val="16"/>
                <w:lang w:eastAsia="fr-FR"/>
              </w:rPr>
            </w:pPr>
          </w:p>
        </w:tc>
        <w:tc>
          <w:tcPr>
            <w:tcW w:w="377" w:type="pct"/>
            <w:vMerge/>
            <w:tcBorders>
              <w:left w:val="nil"/>
              <w:bottom w:val="single" w:sz="4" w:space="0" w:color="auto"/>
              <w:right w:val="single" w:sz="4" w:space="0" w:color="auto"/>
            </w:tcBorders>
            <w:shd w:val="clear" w:color="auto" w:fill="auto"/>
            <w:vAlign w:val="center"/>
            <w:hideMark/>
          </w:tcPr>
          <w:p w:rsidR="00062A6E" w:rsidRPr="0061068A" w:rsidRDefault="00062A6E" w:rsidP="00062A6E">
            <w:pPr>
              <w:spacing w:after="0" w:line="240" w:lineRule="auto"/>
              <w:rPr>
                <w:rFonts w:ascii="Arial" w:eastAsia="Times New Roman" w:hAnsi="Arial" w:cs="Arial"/>
                <w:sz w:val="16"/>
                <w:szCs w:val="16"/>
                <w:lang w:eastAsia="fr-FR"/>
              </w:rPr>
            </w:pPr>
          </w:p>
        </w:tc>
        <w:tc>
          <w:tcPr>
            <w:tcW w:w="375" w:type="pct"/>
            <w:tcBorders>
              <w:top w:val="nil"/>
              <w:left w:val="nil"/>
              <w:bottom w:val="single" w:sz="4" w:space="0" w:color="auto"/>
              <w:right w:val="single" w:sz="4" w:space="0" w:color="auto"/>
            </w:tcBorders>
            <w:shd w:val="clear" w:color="auto" w:fill="auto"/>
            <w:noWrap/>
            <w:vAlign w:val="center"/>
            <w:hideMark/>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Déc.</w:t>
            </w:r>
            <w:r w:rsidRPr="00E70C38">
              <w:rPr>
                <w:rFonts w:ascii="Arial" w:eastAsia="Times New Roman" w:hAnsi="Arial" w:cs="Arial"/>
                <w:b/>
                <w:bCs/>
                <w:color w:val="000000"/>
                <w:sz w:val="14"/>
                <w:szCs w:val="14"/>
                <w:lang w:eastAsia="fr-FR"/>
              </w:rPr>
              <w:t>-21</w:t>
            </w:r>
          </w:p>
        </w:tc>
        <w:tc>
          <w:tcPr>
            <w:tcW w:w="376" w:type="pct"/>
            <w:tcBorders>
              <w:top w:val="nil"/>
              <w:left w:val="nil"/>
              <w:bottom w:val="single" w:sz="4" w:space="0" w:color="auto"/>
              <w:right w:val="single" w:sz="4" w:space="0" w:color="auto"/>
            </w:tcBorders>
            <w:shd w:val="clear" w:color="auto" w:fill="auto"/>
            <w:noWrap/>
            <w:vAlign w:val="center"/>
            <w:hideMark/>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Sept.-22</w:t>
            </w:r>
          </w:p>
        </w:tc>
        <w:tc>
          <w:tcPr>
            <w:tcW w:w="375" w:type="pct"/>
            <w:tcBorders>
              <w:top w:val="nil"/>
              <w:left w:val="nil"/>
              <w:bottom w:val="single" w:sz="4" w:space="0" w:color="auto"/>
              <w:right w:val="single" w:sz="4" w:space="0" w:color="auto"/>
            </w:tcBorders>
            <w:shd w:val="clear" w:color="auto" w:fill="auto"/>
            <w:noWrap/>
            <w:vAlign w:val="center"/>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Oct.-22</w:t>
            </w:r>
          </w:p>
        </w:tc>
        <w:tc>
          <w:tcPr>
            <w:tcW w:w="375" w:type="pct"/>
            <w:tcBorders>
              <w:top w:val="single" w:sz="4" w:space="0" w:color="auto"/>
              <w:left w:val="nil"/>
              <w:bottom w:val="single" w:sz="4" w:space="0" w:color="auto"/>
              <w:right w:val="single" w:sz="4" w:space="0" w:color="auto"/>
            </w:tcBorders>
            <w:vAlign w:val="center"/>
          </w:tcPr>
          <w:p w:rsidR="00062A6E" w:rsidRPr="00F43331" w:rsidRDefault="00062A6E" w:rsidP="00062A6E">
            <w:pPr>
              <w:spacing w:after="0" w:line="240" w:lineRule="auto"/>
              <w:jc w:val="center"/>
              <w:rPr>
                <w:rFonts w:ascii="Arial" w:eastAsia="Times New Roman" w:hAnsi="Arial" w:cs="Arial"/>
                <w:b/>
                <w:bCs/>
                <w:color w:val="000000"/>
                <w:sz w:val="10"/>
                <w:szCs w:val="10"/>
                <w:lang w:eastAsia="fr-FR"/>
              </w:rPr>
            </w:pPr>
            <w:r w:rsidRPr="00F43331">
              <w:rPr>
                <w:rFonts w:ascii="Arial" w:eastAsia="Times New Roman" w:hAnsi="Arial" w:cs="Arial"/>
                <w:b/>
                <w:bCs/>
                <w:color w:val="000000"/>
                <w:sz w:val="14"/>
                <w:szCs w:val="14"/>
                <w:lang w:eastAsia="fr-FR"/>
              </w:rPr>
              <w:t>Nov.-22</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Déc.-22</w:t>
            </w:r>
          </w:p>
        </w:tc>
        <w:tc>
          <w:tcPr>
            <w:tcW w:w="374" w:type="pct"/>
            <w:tcBorders>
              <w:top w:val="nil"/>
              <w:left w:val="nil"/>
              <w:bottom w:val="single" w:sz="4" w:space="0" w:color="auto"/>
              <w:right w:val="single" w:sz="4" w:space="0" w:color="auto"/>
            </w:tcBorders>
            <w:shd w:val="clear" w:color="auto" w:fill="auto"/>
            <w:noWrap/>
            <w:vAlign w:val="center"/>
            <w:hideMark/>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 mois</w:t>
            </w:r>
          </w:p>
        </w:tc>
        <w:tc>
          <w:tcPr>
            <w:tcW w:w="350" w:type="pct"/>
            <w:tcBorders>
              <w:top w:val="nil"/>
              <w:left w:val="nil"/>
              <w:bottom w:val="single" w:sz="4" w:space="0" w:color="auto"/>
              <w:right w:val="single" w:sz="4" w:space="0" w:color="auto"/>
            </w:tcBorders>
            <w:shd w:val="clear" w:color="auto" w:fill="auto"/>
            <w:noWrap/>
            <w:vAlign w:val="center"/>
            <w:hideMark/>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3 mois</w:t>
            </w:r>
          </w:p>
        </w:tc>
        <w:tc>
          <w:tcPr>
            <w:tcW w:w="377" w:type="pct"/>
            <w:tcBorders>
              <w:top w:val="nil"/>
              <w:left w:val="nil"/>
              <w:bottom w:val="single" w:sz="4" w:space="0" w:color="auto"/>
              <w:right w:val="single" w:sz="4" w:space="0" w:color="auto"/>
            </w:tcBorders>
            <w:shd w:val="clear" w:color="auto" w:fill="auto"/>
            <w:noWrap/>
            <w:vAlign w:val="center"/>
            <w:hideMark/>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12 mois</w:t>
            </w:r>
          </w:p>
        </w:tc>
        <w:tc>
          <w:tcPr>
            <w:tcW w:w="366" w:type="pct"/>
            <w:vMerge/>
            <w:tcBorders>
              <w:left w:val="nil"/>
              <w:bottom w:val="single" w:sz="4" w:space="0" w:color="auto"/>
              <w:right w:val="single" w:sz="4" w:space="0" w:color="auto"/>
            </w:tcBorders>
            <w:vAlign w:val="center"/>
          </w:tcPr>
          <w:p w:rsidR="00062A6E" w:rsidRPr="00E70C38" w:rsidRDefault="00062A6E" w:rsidP="00062A6E">
            <w:pPr>
              <w:spacing w:after="0" w:line="240" w:lineRule="auto"/>
              <w:jc w:val="center"/>
              <w:rPr>
                <w:rFonts w:ascii="Arial" w:eastAsia="Times New Roman" w:hAnsi="Arial" w:cs="Arial"/>
                <w:b/>
                <w:bCs/>
                <w:color w:val="000000"/>
                <w:sz w:val="14"/>
                <w:szCs w:val="14"/>
                <w:lang w:eastAsia="fr-FR"/>
              </w:rPr>
            </w:pPr>
          </w:p>
        </w:tc>
      </w:tr>
      <w:tr w:rsidR="00734BA9" w:rsidRPr="0061068A"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734BA9" w:rsidRPr="0061068A" w:rsidRDefault="00734BA9" w:rsidP="00734BA9">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Indice global</w:t>
            </w:r>
          </w:p>
        </w:tc>
        <w:tc>
          <w:tcPr>
            <w:tcW w:w="377" w:type="pct"/>
            <w:tcBorders>
              <w:top w:val="nil"/>
              <w:left w:val="nil"/>
              <w:bottom w:val="single" w:sz="4" w:space="0" w:color="auto"/>
              <w:right w:val="nil"/>
            </w:tcBorders>
            <w:shd w:val="clear" w:color="auto" w:fill="auto"/>
            <w:noWrap/>
            <w:vAlign w:val="center"/>
            <w:hideMark/>
          </w:tcPr>
          <w:p w:rsidR="00734BA9" w:rsidRPr="0061068A" w:rsidRDefault="00734BA9" w:rsidP="00734BA9">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10000</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734BA9" w:rsidRPr="00E70C38" w:rsidRDefault="00734BA9" w:rsidP="00734BA9">
            <w:pPr>
              <w:spacing w:after="0" w:line="240" w:lineRule="auto"/>
              <w:jc w:val="center"/>
              <w:rPr>
                <w:rFonts w:ascii="Arial" w:eastAsia="Times New Roman" w:hAnsi="Arial" w:cs="Arial"/>
                <w:b/>
                <w:bCs/>
                <w:color w:val="000000"/>
                <w:sz w:val="16"/>
                <w:szCs w:val="16"/>
                <w:lang w:eastAsia="fr-FR"/>
              </w:rPr>
            </w:pPr>
            <w:r>
              <w:rPr>
                <w:rFonts w:ascii="Arial" w:eastAsia="Times New Roman" w:hAnsi="Arial" w:cs="Arial"/>
                <w:b/>
                <w:bCs/>
                <w:color w:val="000000"/>
                <w:sz w:val="16"/>
                <w:szCs w:val="16"/>
                <w:lang w:eastAsia="fr-FR"/>
              </w:rPr>
              <w:t>112,5</w:t>
            </w:r>
          </w:p>
        </w:tc>
        <w:tc>
          <w:tcPr>
            <w:tcW w:w="376" w:type="pct"/>
            <w:tcBorders>
              <w:top w:val="nil"/>
              <w:left w:val="nil"/>
              <w:bottom w:val="single" w:sz="4" w:space="0" w:color="auto"/>
              <w:right w:val="single" w:sz="4" w:space="0" w:color="auto"/>
            </w:tcBorders>
            <w:shd w:val="clear" w:color="auto" w:fill="auto"/>
            <w:noWrap/>
            <w:vAlign w:val="center"/>
            <w:hideMark/>
          </w:tcPr>
          <w:p w:rsidR="00734BA9" w:rsidRDefault="00734BA9" w:rsidP="00734BA9">
            <w:pPr>
              <w:spacing w:after="0" w:line="240" w:lineRule="auto"/>
              <w:jc w:val="center"/>
              <w:rPr>
                <w:rFonts w:ascii="Arial" w:eastAsia="Times New Roman" w:hAnsi="Arial" w:cs="Arial"/>
                <w:b/>
                <w:bCs/>
                <w:sz w:val="16"/>
                <w:szCs w:val="16"/>
              </w:rPr>
            </w:pPr>
            <w:r>
              <w:rPr>
                <w:rFonts w:ascii="Arial" w:hAnsi="Arial" w:cs="Arial"/>
                <w:b/>
                <w:bCs/>
                <w:sz w:val="16"/>
                <w:szCs w:val="16"/>
              </w:rPr>
              <w:t>126,2</w:t>
            </w:r>
          </w:p>
        </w:tc>
        <w:tc>
          <w:tcPr>
            <w:tcW w:w="375" w:type="pct"/>
            <w:tcBorders>
              <w:top w:val="nil"/>
              <w:left w:val="nil"/>
              <w:bottom w:val="single" w:sz="4" w:space="0" w:color="auto"/>
              <w:right w:val="single" w:sz="4" w:space="0" w:color="auto"/>
            </w:tcBorders>
            <w:shd w:val="clear" w:color="auto" w:fill="auto"/>
            <w:noWrap/>
            <w:vAlign w:val="center"/>
          </w:tcPr>
          <w:p w:rsidR="00734BA9" w:rsidRPr="00591EA5" w:rsidRDefault="00734BA9" w:rsidP="00734BA9">
            <w:pPr>
              <w:spacing w:after="0" w:line="240" w:lineRule="auto"/>
              <w:jc w:val="center"/>
              <w:rPr>
                <w:rFonts w:ascii="Arial" w:eastAsia="Times New Roman" w:hAnsi="Arial" w:cs="Arial"/>
                <w:color w:val="000000"/>
                <w:sz w:val="16"/>
                <w:szCs w:val="16"/>
                <w:lang w:eastAsia="fr-FR"/>
              </w:rPr>
            </w:pPr>
            <w:r w:rsidRPr="00591EA5">
              <w:rPr>
                <w:rFonts w:ascii="Arial" w:hAnsi="Arial" w:cs="Arial"/>
                <w:b/>
                <w:bCs/>
                <w:sz w:val="16"/>
                <w:szCs w:val="16"/>
              </w:rPr>
              <w:t>127,9</w:t>
            </w:r>
          </w:p>
        </w:tc>
        <w:tc>
          <w:tcPr>
            <w:tcW w:w="375" w:type="pct"/>
            <w:tcBorders>
              <w:top w:val="single" w:sz="4" w:space="0" w:color="auto"/>
              <w:left w:val="nil"/>
              <w:bottom w:val="single" w:sz="4" w:space="0" w:color="auto"/>
              <w:right w:val="single" w:sz="4" w:space="0" w:color="auto"/>
            </w:tcBorders>
            <w:vAlign w:val="center"/>
          </w:tcPr>
          <w:p w:rsidR="00734BA9" w:rsidRPr="009B1B1D" w:rsidRDefault="00734BA9" w:rsidP="00734BA9">
            <w:pPr>
              <w:spacing w:after="0" w:line="240" w:lineRule="auto"/>
              <w:jc w:val="center"/>
              <w:rPr>
                <w:rFonts w:ascii="Arial" w:eastAsia="Times New Roman" w:hAnsi="Arial" w:cs="Arial"/>
                <w:b/>
                <w:color w:val="000000"/>
                <w:sz w:val="16"/>
                <w:szCs w:val="16"/>
                <w:lang w:eastAsia="fr-FR"/>
              </w:rPr>
            </w:pPr>
            <w:r w:rsidRPr="009B1B1D">
              <w:rPr>
                <w:rFonts w:ascii="Arial" w:eastAsia="Times New Roman" w:hAnsi="Arial" w:cs="Arial"/>
                <w:b/>
                <w:color w:val="000000"/>
                <w:sz w:val="16"/>
                <w:szCs w:val="16"/>
                <w:lang w:eastAsia="fr-FR"/>
              </w:rPr>
              <w:t>128,2</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hAnsi="Arial" w:cs="Arial"/>
                <w:b/>
                <w:sz w:val="16"/>
                <w:szCs w:val="16"/>
              </w:rPr>
            </w:pPr>
            <w:r w:rsidRPr="00734BA9">
              <w:rPr>
                <w:rFonts w:ascii="Arial" w:hAnsi="Arial" w:cs="Arial"/>
                <w:b/>
                <w:sz w:val="16"/>
                <w:szCs w:val="16"/>
              </w:rPr>
              <w:t>126,9</w:t>
            </w:r>
          </w:p>
        </w:tc>
        <w:tc>
          <w:tcPr>
            <w:tcW w:w="374" w:type="pct"/>
            <w:tcBorders>
              <w:top w:val="nil"/>
              <w:left w:val="nil"/>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eastAsia="Times New Roman" w:hAnsi="Arial" w:cs="Arial"/>
                <w:b/>
                <w:color w:val="000000"/>
                <w:sz w:val="16"/>
                <w:szCs w:val="16"/>
                <w:lang w:eastAsia="fr-FR"/>
              </w:rPr>
            </w:pPr>
            <w:r w:rsidRPr="00734BA9">
              <w:rPr>
                <w:rFonts w:ascii="Arial" w:eastAsia="Times New Roman" w:hAnsi="Arial" w:cs="Arial"/>
                <w:b/>
                <w:color w:val="000000"/>
                <w:sz w:val="16"/>
                <w:szCs w:val="16"/>
                <w:lang w:eastAsia="fr-FR"/>
              </w:rPr>
              <w:t>-1,0%</w:t>
            </w:r>
          </w:p>
        </w:tc>
        <w:tc>
          <w:tcPr>
            <w:tcW w:w="350" w:type="pct"/>
            <w:tcBorders>
              <w:top w:val="nil"/>
              <w:left w:val="nil"/>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eastAsia="Times New Roman" w:hAnsi="Arial" w:cs="Arial"/>
                <w:b/>
                <w:color w:val="000000"/>
                <w:sz w:val="16"/>
                <w:szCs w:val="16"/>
                <w:lang w:eastAsia="fr-FR"/>
              </w:rPr>
            </w:pPr>
            <w:r w:rsidRPr="00734BA9">
              <w:rPr>
                <w:rFonts w:ascii="Arial" w:eastAsia="Times New Roman" w:hAnsi="Arial" w:cs="Arial"/>
                <w:b/>
                <w:color w:val="000000"/>
                <w:sz w:val="16"/>
                <w:szCs w:val="16"/>
                <w:lang w:eastAsia="fr-FR"/>
              </w:rPr>
              <w:t>0,5%</w:t>
            </w:r>
          </w:p>
        </w:tc>
        <w:tc>
          <w:tcPr>
            <w:tcW w:w="377" w:type="pct"/>
            <w:tcBorders>
              <w:top w:val="nil"/>
              <w:left w:val="nil"/>
              <w:bottom w:val="single" w:sz="4" w:space="0" w:color="auto"/>
              <w:right w:val="single" w:sz="4" w:space="0" w:color="auto"/>
            </w:tcBorders>
            <w:shd w:val="clear" w:color="auto" w:fill="auto"/>
            <w:noWrap/>
            <w:vAlign w:val="center"/>
          </w:tcPr>
          <w:p w:rsidR="00734BA9" w:rsidRPr="00734BA9" w:rsidRDefault="00734BA9" w:rsidP="00734BA9">
            <w:pPr>
              <w:spacing w:after="0" w:line="240" w:lineRule="auto"/>
              <w:jc w:val="center"/>
              <w:rPr>
                <w:rFonts w:ascii="Arial" w:eastAsia="Times New Roman" w:hAnsi="Arial" w:cs="Arial"/>
                <w:b/>
                <w:color w:val="000000"/>
                <w:sz w:val="16"/>
                <w:szCs w:val="16"/>
                <w:lang w:eastAsia="fr-FR"/>
              </w:rPr>
            </w:pPr>
            <w:r w:rsidRPr="00734BA9">
              <w:rPr>
                <w:rFonts w:ascii="Arial" w:eastAsia="Times New Roman" w:hAnsi="Arial" w:cs="Arial"/>
                <w:b/>
                <w:color w:val="000000"/>
                <w:sz w:val="16"/>
                <w:szCs w:val="16"/>
                <w:lang w:eastAsia="fr-FR"/>
              </w:rPr>
              <w:t>12,8%</w:t>
            </w:r>
          </w:p>
        </w:tc>
        <w:tc>
          <w:tcPr>
            <w:tcW w:w="366" w:type="pct"/>
            <w:tcBorders>
              <w:top w:val="nil"/>
              <w:left w:val="nil"/>
              <w:bottom w:val="single" w:sz="4" w:space="0" w:color="auto"/>
              <w:right w:val="single" w:sz="4" w:space="0" w:color="auto"/>
            </w:tcBorders>
            <w:vAlign w:val="center"/>
          </w:tcPr>
          <w:p w:rsidR="00734BA9" w:rsidRPr="00734BA9" w:rsidRDefault="00734BA9" w:rsidP="00734BA9">
            <w:pPr>
              <w:spacing w:after="0" w:line="240" w:lineRule="auto"/>
              <w:jc w:val="center"/>
              <w:rPr>
                <w:rFonts w:ascii="Arial" w:hAnsi="Arial" w:cs="Arial"/>
                <w:b/>
                <w:sz w:val="16"/>
                <w:szCs w:val="16"/>
              </w:rPr>
            </w:pPr>
            <w:r w:rsidRPr="00734BA9">
              <w:rPr>
                <w:rFonts w:ascii="Arial" w:hAnsi="Arial" w:cs="Arial"/>
                <w:b/>
                <w:sz w:val="16"/>
                <w:szCs w:val="16"/>
              </w:rPr>
              <w:t>9</w:t>
            </w:r>
            <w:r w:rsidR="009A58BE">
              <w:rPr>
                <w:rFonts w:ascii="Arial" w:hAnsi="Arial" w:cs="Arial"/>
                <w:b/>
                <w:sz w:val="16"/>
                <w:szCs w:val="16"/>
              </w:rPr>
              <w:t>,7%</w:t>
            </w:r>
          </w:p>
        </w:tc>
      </w:tr>
      <w:tr w:rsidR="009A58BE" w:rsidRPr="00CF15C6"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Produits frais</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2530</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126,4</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161,1</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164,7</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163,7</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Default="009A58BE" w:rsidP="009A58BE">
            <w:pPr>
              <w:spacing w:after="0" w:line="240" w:lineRule="auto"/>
              <w:jc w:val="center"/>
              <w:rPr>
                <w:rFonts w:ascii="Arial" w:eastAsia="Times New Roman" w:hAnsi="Arial" w:cs="Arial"/>
                <w:sz w:val="16"/>
                <w:szCs w:val="16"/>
              </w:rPr>
            </w:pPr>
            <w:r>
              <w:rPr>
                <w:rFonts w:ascii="Arial" w:hAnsi="Arial" w:cs="Arial"/>
                <w:sz w:val="16"/>
                <w:szCs w:val="16"/>
              </w:rPr>
              <w:t>158,1</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-3,4%</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-1,8%</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25,1%</w:t>
            </w:r>
          </w:p>
        </w:tc>
        <w:tc>
          <w:tcPr>
            <w:tcW w:w="366" w:type="pct"/>
            <w:tcBorders>
              <w:top w:val="nil"/>
              <w:left w:val="nil"/>
              <w:bottom w:val="single" w:sz="4" w:space="0" w:color="auto"/>
              <w:right w:val="single" w:sz="4" w:space="0" w:color="auto"/>
            </w:tcBorders>
            <w:vAlign w:val="center"/>
          </w:tcPr>
          <w:p w:rsidR="009A58BE" w:rsidRDefault="009A58BE" w:rsidP="009A58BE">
            <w:pPr>
              <w:spacing w:after="0" w:line="240" w:lineRule="auto"/>
              <w:jc w:val="center"/>
              <w:rPr>
                <w:rFonts w:ascii="Arial" w:eastAsia="Times New Roman" w:hAnsi="Arial" w:cs="Arial"/>
                <w:sz w:val="16"/>
                <w:szCs w:val="16"/>
              </w:rPr>
            </w:pPr>
            <w:r>
              <w:rPr>
                <w:rFonts w:ascii="Arial" w:hAnsi="Arial" w:cs="Arial"/>
                <w:sz w:val="16"/>
                <w:szCs w:val="16"/>
              </w:rPr>
              <w:t>17,9%</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Energie</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612</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95,0</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98,9</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101,8</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104,0</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104,8</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0,8%</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6,0%</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10,3%</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5,1%</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Pr>
                <w:rFonts w:ascii="Arial" w:eastAsia="Times New Roman" w:hAnsi="Arial" w:cs="Arial"/>
                <w:bCs/>
                <w:sz w:val="16"/>
                <w:szCs w:val="16"/>
                <w:lang w:eastAsia="fr-FR"/>
              </w:rPr>
              <w:t>Hors énergie et p</w:t>
            </w:r>
            <w:r w:rsidRPr="00AC2F5B">
              <w:rPr>
                <w:rFonts w:ascii="Arial" w:eastAsia="Times New Roman" w:hAnsi="Arial" w:cs="Arial"/>
                <w:bCs/>
                <w:sz w:val="16"/>
                <w:szCs w:val="16"/>
                <w:lang w:eastAsia="fr-FR"/>
              </w:rPr>
              <w:t>roduits frais</w:t>
            </w:r>
          </w:p>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(inflation sous-jacente)</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6858</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110,1</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117,4</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118,2</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118,8</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119,0</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0,2%</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1,4%</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8,1%</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6,6%</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Local</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6991</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115,8</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131,8</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133,9</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133,9</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132,2</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0,3%</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14,2%</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11,2%</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Importé</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3009</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104,5</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112,2</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113,1</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114,0</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114,2</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0,2%</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1,8%</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9,3%</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5,6%</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Primaire</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4076</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124,8</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150,0</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153,2</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153,2</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149,9</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-2,1%</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-0,1%</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20,1%</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14,8%</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Pr>
                <w:rFonts w:ascii="Arial" w:eastAsia="Times New Roman" w:hAnsi="Arial" w:cs="Arial"/>
                <w:bCs/>
                <w:sz w:val="16"/>
                <w:szCs w:val="16"/>
                <w:lang w:eastAsia="fr-FR"/>
              </w:rPr>
              <w:t>S</w:t>
            </w:r>
            <w:r w:rsidRPr="00AC2F5B">
              <w:rPr>
                <w:rFonts w:ascii="Arial" w:eastAsia="Times New Roman" w:hAnsi="Arial" w:cs="Arial"/>
                <w:bCs/>
                <w:sz w:val="16"/>
                <w:szCs w:val="16"/>
                <w:lang w:eastAsia="fr-FR"/>
              </w:rPr>
              <w:t>econdaire</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3638</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103,4</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110,7</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111,4</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112,0</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112,3</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0,3%</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1,4%</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8,5%</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7,1%</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Tertiaire</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2286</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104,8</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107,4</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108,3</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108,6</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108,7</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0,1%</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3,7%</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2,0%</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Durable</w:t>
            </w:r>
            <w:r>
              <w:rPr>
                <w:rStyle w:val="Appelnotedebasdep"/>
                <w:rFonts w:ascii="Arial" w:eastAsia="Times New Roman" w:hAnsi="Arial" w:cs="Arial"/>
                <w:bCs/>
                <w:sz w:val="16"/>
                <w:szCs w:val="16"/>
                <w:lang w:eastAsia="fr-FR"/>
              </w:rPr>
              <w:footnoteReference w:id="3"/>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243</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118,5</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127,9</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127,9</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128,4</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128,4</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0,0%</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0,4%</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8,4%</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7,5%</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Semi-durable</w:t>
            </w:r>
            <w:r>
              <w:rPr>
                <w:rStyle w:val="Appelnotedebasdep"/>
                <w:rFonts w:ascii="Arial" w:eastAsia="Times New Roman" w:hAnsi="Arial" w:cs="Arial"/>
                <w:bCs/>
                <w:sz w:val="16"/>
                <w:szCs w:val="16"/>
                <w:lang w:eastAsia="fr-FR"/>
              </w:rPr>
              <w:footnoteReference w:id="4"/>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1654</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102,5</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105,8</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106,7</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107,4</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108,1</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0,6%</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2,1%</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5,5%</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3,1%</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Non durable</w:t>
            </w:r>
            <w:r>
              <w:rPr>
                <w:rStyle w:val="Appelnotedebasdep"/>
                <w:rFonts w:ascii="Arial" w:eastAsia="Times New Roman" w:hAnsi="Arial" w:cs="Arial"/>
                <w:bCs/>
                <w:sz w:val="16"/>
                <w:szCs w:val="16"/>
                <w:lang w:eastAsia="fr-FR"/>
              </w:rPr>
              <w:footnoteReference w:id="5"/>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5817</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118,1</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138,9</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141,4</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141,4</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139,2</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-1,6%</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0,2%</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17,8%</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13,7%</w:t>
            </w:r>
          </w:p>
        </w:tc>
      </w:tr>
      <w:tr w:rsidR="009A58BE" w:rsidRPr="006379E3" w:rsidTr="00062A6E">
        <w:trPr>
          <w:trHeight w:val="340"/>
          <w:jc w:val="center"/>
        </w:trPr>
        <w:tc>
          <w:tcPr>
            <w:tcW w:w="1278" w:type="pct"/>
            <w:tcBorders>
              <w:top w:val="nil"/>
              <w:left w:val="single" w:sz="4" w:space="0" w:color="auto"/>
              <w:bottom w:val="single" w:sz="4" w:space="0" w:color="auto"/>
              <w:right w:val="single" w:sz="4" w:space="0" w:color="auto"/>
            </w:tcBorders>
            <w:shd w:val="clear" w:color="auto" w:fill="auto"/>
            <w:noWrap/>
            <w:vAlign w:val="center"/>
            <w:hideMark/>
          </w:tcPr>
          <w:p w:rsidR="009A58BE" w:rsidRPr="00AC2F5B" w:rsidRDefault="009A58BE" w:rsidP="009A58B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Services</w:t>
            </w:r>
          </w:p>
        </w:tc>
        <w:tc>
          <w:tcPr>
            <w:tcW w:w="377" w:type="pct"/>
            <w:tcBorders>
              <w:top w:val="nil"/>
              <w:left w:val="nil"/>
              <w:bottom w:val="single" w:sz="4" w:space="0" w:color="auto"/>
              <w:right w:val="nil"/>
            </w:tcBorders>
            <w:shd w:val="clear" w:color="auto" w:fill="auto"/>
            <w:noWrap/>
            <w:vAlign w:val="center"/>
            <w:hideMark/>
          </w:tcPr>
          <w:p w:rsidR="009A58BE" w:rsidRPr="00AC2F5B" w:rsidRDefault="009A58BE" w:rsidP="009A58B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2286</w:t>
            </w:r>
          </w:p>
        </w:tc>
        <w:tc>
          <w:tcPr>
            <w:tcW w:w="375" w:type="pct"/>
            <w:tcBorders>
              <w:top w:val="nil"/>
              <w:left w:val="single" w:sz="4" w:space="0" w:color="auto"/>
              <w:bottom w:val="single" w:sz="4" w:space="0" w:color="auto"/>
              <w:right w:val="single" w:sz="4" w:space="0" w:color="auto"/>
            </w:tcBorders>
            <w:shd w:val="clear" w:color="auto" w:fill="auto"/>
            <w:noWrap/>
            <w:vAlign w:val="center"/>
          </w:tcPr>
          <w:p w:rsidR="009A58BE" w:rsidRPr="00062A6E" w:rsidRDefault="009A58BE" w:rsidP="009A58BE">
            <w:pPr>
              <w:spacing w:after="0" w:line="240" w:lineRule="auto"/>
              <w:jc w:val="center"/>
              <w:rPr>
                <w:rFonts w:ascii="Arial" w:eastAsia="Times New Roman" w:hAnsi="Arial" w:cs="Arial"/>
                <w:color w:val="000000"/>
                <w:sz w:val="16"/>
                <w:szCs w:val="16"/>
                <w:lang w:eastAsia="fr-FR"/>
              </w:rPr>
            </w:pPr>
            <w:r w:rsidRPr="00062A6E">
              <w:rPr>
                <w:rFonts w:ascii="Arial" w:eastAsia="Times New Roman" w:hAnsi="Arial" w:cs="Arial"/>
                <w:color w:val="000000"/>
                <w:sz w:val="16"/>
                <w:szCs w:val="16"/>
                <w:lang w:eastAsia="fr-FR"/>
              </w:rPr>
              <w:t>104,8</w:t>
            </w:r>
          </w:p>
        </w:tc>
        <w:tc>
          <w:tcPr>
            <w:tcW w:w="376" w:type="pct"/>
            <w:tcBorders>
              <w:top w:val="nil"/>
              <w:left w:val="nil"/>
              <w:bottom w:val="single" w:sz="4" w:space="0" w:color="auto"/>
              <w:right w:val="single" w:sz="4" w:space="0" w:color="auto"/>
            </w:tcBorders>
            <w:shd w:val="clear" w:color="auto" w:fill="auto"/>
            <w:noWrap/>
            <w:vAlign w:val="center"/>
            <w:hideMark/>
          </w:tcPr>
          <w:p w:rsidR="009A58BE" w:rsidRPr="00C21E1F" w:rsidRDefault="009A58BE" w:rsidP="009A58B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107,4</w:t>
            </w:r>
          </w:p>
        </w:tc>
        <w:tc>
          <w:tcPr>
            <w:tcW w:w="375" w:type="pct"/>
            <w:tcBorders>
              <w:top w:val="nil"/>
              <w:left w:val="nil"/>
              <w:bottom w:val="single" w:sz="4" w:space="0" w:color="auto"/>
              <w:right w:val="single" w:sz="4" w:space="0" w:color="auto"/>
            </w:tcBorders>
            <w:shd w:val="clear" w:color="auto" w:fill="auto"/>
            <w:noWrap/>
            <w:vAlign w:val="center"/>
          </w:tcPr>
          <w:p w:rsidR="009A58BE" w:rsidRPr="0079345E" w:rsidRDefault="009A58BE" w:rsidP="009A58B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108,3</w:t>
            </w:r>
          </w:p>
        </w:tc>
        <w:tc>
          <w:tcPr>
            <w:tcW w:w="375" w:type="pct"/>
            <w:tcBorders>
              <w:top w:val="single" w:sz="4" w:space="0" w:color="auto"/>
              <w:left w:val="nil"/>
              <w:bottom w:val="single" w:sz="4" w:space="0" w:color="auto"/>
              <w:right w:val="single" w:sz="4" w:space="0" w:color="auto"/>
            </w:tcBorders>
            <w:vAlign w:val="center"/>
          </w:tcPr>
          <w:p w:rsidR="009A58BE" w:rsidRPr="00D94543" w:rsidRDefault="009A58BE" w:rsidP="009A58BE">
            <w:pPr>
              <w:spacing w:after="0" w:line="240" w:lineRule="auto"/>
              <w:jc w:val="center"/>
              <w:rPr>
                <w:rFonts w:ascii="Arial" w:eastAsia="Times New Roman" w:hAnsi="Arial" w:cs="Arial"/>
                <w:color w:val="000000"/>
                <w:sz w:val="16"/>
                <w:szCs w:val="16"/>
                <w:lang w:eastAsia="fr-FR"/>
              </w:rPr>
            </w:pPr>
            <w:r w:rsidRPr="00D94543">
              <w:rPr>
                <w:rFonts w:ascii="Arial" w:eastAsia="Times New Roman" w:hAnsi="Arial" w:cs="Arial"/>
                <w:color w:val="000000"/>
                <w:sz w:val="16"/>
                <w:szCs w:val="16"/>
                <w:lang w:eastAsia="fr-FR"/>
              </w:rPr>
              <w:t>108,6</w:t>
            </w:r>
          </w:p>
        </w:tc>
        <w:tc>
          <w:tcPr>
            <w:tcW w:w="377" w:type="pct"/>
            <w:tcBorders>
              <w:top w:val="nil"/>
              <w:left w:val="single" w:sz="4" w:space="0" w:color="auto"/>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108,7</w:t>
            </w:r>
          </w:p>
        </w:tc>
        <w:tc>
          <w:tcPr>
            <w:tcW w:w="374"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0,1%</w:t>
            </w:r>
          </w:p>
        </w:tc>
        <w:tc>
          <w:tcPr>
            <w:tcW w:w="350"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1,2%</w:t>
            </w:r>
          </w:p>
        </w:tc>
        <w:tc>
          <w:tcPr>
            <w:tcW w:w="377" w:type="pct"/>
            <w:tcBorders>
              <w:top w:val="nil"/>
              <w:left w:val="nil"/>
              <w:bottom w:val="single" w:sz="4" w:space="0" w:color="auto"/>
              <w:right w:val="single" w:sz="4" w:space="0" w:color="auto"/>
            </w:tcBorders>
            <w:shd w:val="clear" w:color="auto" w:fill="auto"/>
            <w:noWrap/>
            <w:vAlign w:val="center"/>
          </w:tcPr>
          <w:p w:rsidR="009A58BE" w:rsidRPr="00734BA9" w:rsidRDefault="009A58BE" w:rsidP="009A58BE">
            <w:pPr>
              <w:spacing w:after="0" w:line="240" w:lineRule="auto"/>
              <w:jc w:val="center"/>
              <w:rPr>
                <w:rFonts w:ascii="Arial" w:eastAsia="Times New Roman" w:hAnsi="Arial" w:cs="Arial"/>
                <w:color w:val="000000"/>
                <w:sz w:val="16"/>
                <w:szCs w:val="16"/>
                <w:lang w:eastAsia="fr-FR"/>
              </w:rPr>
            </w:pPr>
            <w:r w:rsidRPr="00734BA9">
              <w:rPr>
                <w:rFonts w:ascii="Arial" w:eastAsia="Times New Roman" w:hAnsi="Arial" w:cs="Arial"/>
                <w:color w:val="000000"/>
                <w:sz w:val="16"/>
                <w:szCs w:val="16"/>
                <w:lang w:eastAsia="fr-FR"/>
              </w:rPr>
              <w:t>3,7%</w:t>
            </w:r>
          </w:p>
        </w:tc>
        <w:tc>
          <w:tcPr>
            <w:tcW w:w="366" w:type="pct"/>
            <w:tcBorders>
              <w:top w:val="nil"/>
              <w:left w:val="nil"/>
              <w:bottom w:val="single" w:sz="4" w:space="0" w:color="auto"/>
              <w:right w:val="single" w:sz="4" w:space="0" w:color="auto"/>
            </w:tcBorders>
            <w:vAlign w:val="center"/>
          </w:tcPr>
          <w:p w:rsidR="009A58BE" w:rsidRPr="009A58BE" w:rsidRDefault="009A58BE" w:rsidP="009A58BE">
            <w:pPr>
              <w:spacing w:after="0" w:line="240" w:lineRule="auto"/>
              <w:jc w:val="center"/>
              <w:rPr>
                <w:rFonts w:ascii="Arial" w:eastAsia="Times New Roman" w:hAnsi="Arial" w:cs="Arial"/>
                <w:color w:val="000000"/>
                <w:sz w:val="16"/>
                <w:szCs w:val="16"/>
                <w:lang w:eastAsia="fr-FR"/>
              </w:rPr>
            </w:pPr>
            <w:r w:rsidRPr="009A58BE">
              <w:rPr>
                <w:rFonts w:ascii="Arial" w:eastAsia="Times New Roman" w:hAnsi="Arial" w:cs="Arial"/>
                <w:color w:val="000000"/>
                <w:sz w:val="16"/>
                <w:szCs w:val="16"/>
                <w:lang w:eastAsia="fr-FR"/>
              </w:rPr>
              <w:t>2,0%</w:t>
            </w:r>
          </w:p>
        </w:tc>
      </w:tr>
    </w:tbl>
    <w:p w:rsidR="00126912" w:rsidRPr="005B7992" w:rsidRDefault="00126912" w:rsidP="00126912">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rsidR="00E70C38" w:rsidRDefault="00E70C38" w:rsidP="00A96E5F"/>
    <w:p w:rsidR="005C1AF9" w:rsidRDefault="005C1AF9" w:rsidP="00A96E5F"/>
    <w:p w:rsidR="005C1AF9" w:rsidRDefault="005C1AF9" w:rsidP="00A96E5F"/>
    <w:p w:rsidR="005C1AF9" w:rsidRDefault="005C1AF9" w:rsidP="00A96E5F"/>
    <w:p w:rsidR="003B7749" w:rsidRDefault="003B7749" w:rsidP="003B7749">
      <w:pPr>
        <w:spacing w:after="0" w:line="240" w:lineRule="auto"/>
        <w:rPr>
          <w:rFonts w:ascii="Arial" w:eastAsia="Times New Roman" w:hAnsi="Arial" w:cs="Arial"/>
          <w:b/>
          <w:bCs/>
          <w:sz w:val="16"/>
          <w:szCs w:val="16"/>
          <w:lang w:eastAsia="fr-FR"/>
        </w:rPr>
      </w:pPr>
    </w:p>
    <w:p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sz w:val="16"/>
          <w:szCs w:val="16"/>
        </w:rPr>
        <w:t xml:space="preserve">Agence Nationale de </w:t>
      </w:r>
      <w:smartTag w:uri="urn:schemas-microsoft-com:office:smarttags" w:element="PersonName">
        <w:smartTagPr>
          <w:attr w:name="ProductID" w:val="la Statistique"/>
        </w:smartTagPr>
        <w:r w:rsidRPr="0061068A">
          <w:rPr>
            <w:rFonts w:ascii="Arial" w:hAnsi="Arial" w:cs="Arial"/>
            <w:sz w:val="16"/>
            <w:szCs w:val="16"/>
          </w:rPr>
          <w:t>la Statistique</w:t>
        </w:r>
      </w:smartTag>
      <w:r w:rsidRPr="0061068A">
        <w:rPr>
          <w:rFonts w:ascii="Arial" w:hAnsi="Arial" w:cs="Arial"/>
          <w:sz w:val="16"/>
          <w:szCs w:val="16"/>
        </w:rPr>
        <w:t xml:space="preserve"> et de </w:t>
      </w:r>
      <w:smartTag w:uri="urn:schemas-microsoft-com:office:smarttags" w:element="PersonName">
        <w:smartTagPr>
          <w:attr w:name="ProductID" w:val="la D￩mographie"/>
        </w:smartTagPr>
        <w:r w:rsidRPr="0061068A">
          <w:rPr>
            <w:rFonts w:ascii="Arial" w:hAnsi="Arial" w:cs="Arial"/>
            <w:sz w:val="16"/>
            <w:szCs w:val="16"/>
          </w:rPr>
          <w:t>la Démographie</w:t>
        </w:r>
      </w:smartTag>
      <w:r w:rsidRPr="0061068A">
        <w:rPr>
          <w:rFonts w:ascii="Arial" w:hAnsi="Arial" w:cs="Arial"/>
          <w:sz w:val="16"/>
          <w:szCs w:val="16"/>
        </w:rPr>
        <w:t xml:space="preserve">, </w:t>
      </w:r>
      <w:r w:rsidRPr="0061068A">
        <w:rPr>
          <w:sz w:val="16"/>
          <w:szCs w:val="16"/>
        </w:rPr>
        <w:t xml:space="preserve">Rocade </w:t>
      </w:r>
      <w:proofErr w:type="spellStart"/>
      <w:r w:rsidRPr="0061068A">
        <w:rPr>
          <w:sz w:val="16"/>
          <w:szCs w:val="16"/>
        </w:rPr>
        <w:t>Fann</w:t>
      </w:r>
      <w:proofErr w:type="spellEnd"/>
      <w:r w:rsidRPr="0061068A">
        <w:rPr>
          <w:sz w:val="16"/>
          <w:szCs w:val="16"/>
        </w:rPr>
        <w:t xml:space="preserve"> </w:t>
      </w:r>
      <w:proofErr w:type="spellStart"/>
      <w:r w:rsidRPr="0061068A">
        <w:rPr>
          <w:sz w:val="16"/>
          <w:szCs w:val="16"/>
        </w:rPr>
        <w:t>Bel-air</w:t>
      </w:r>
      <w:proofErr w:type="spellEnd"/>
      <w:r w:rsidRPr="0061068A">
        <w:rPr>
          <w:sz w:val="16"/>
          <w:szCs w:val="16"/>
        </w:rPr>
        <w:t xml:space="preserve"> Cerf-volant. BP 116 Dakar RP - SENEGAL      </w:t>
      </w:r>
    </w:p>
    <w:p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sz w:val="16"/>
          <w:szCs w:val="16"/>
        </w:rPr>
        <w:t xml:space="preserve">Tél. : (221) 33 869 21 39   Fax : (221) 33 824 36 15 </w:t>
      </w:r>
    </w:p>
    <w:p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w:t>
      </w:r>
      <w:r>
        <w:rPr>
          <w:rFonts w:ascii="Arial" w:hAnsi="Arial" w:cs="Arial"/>
          <w:b/>
          <w:bCs/>
          <w:sz w:val="16"/>
          <w:szCs w:val="16"/>
        </w:rPr>
        <w:t>g</w:t>
      </w:r>
      <w:r w:rsidRPr="0061068A">
        <w:rPr>
          <w:rFonts w:ascii="Arial" w:hAnsi="Arial" w:cs="Arial"/>
          <w:b/>
          <w:bCs/>
          <w:sz w:val="16"/>
          <w:szCs w:val="16"/>
        </w:rPr>
        <w:t>énéral</w:t>
      </w:r>
      <w:r w:rsidRPr="0061068A">
        <w:rPr>
          <w:rFonts w:ascii="Arial" w:hAnsi="Arial" w:cs="Arial"/>
          <w:sz w:val="16"/>
          <w:szCs w:val="16"/>
        </w:rPr>
        <w:t xml:space="preserve"> : </w:t>
      </w:r>
      <w:r w:rsidR="00405F2E">
        <w:rPr>
          <w:rFonts w:ascii="Arial" w:hAnsi="Arial" w:cs="Arial"/>
          <w:sz w:val="16"/>
          <w:szCs w:val="16"/>
        </w:rPr>
        <w:t>Aboubacar Sédikh BEYE</w:t>
      </w:r>
    </w:p>
    <w:p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w:t>
      </w:r>
      <w:r>
        <w:rPr>
          <w:rFonts w:ascii="Arial" w:hAnsi="Arial" w:cs="Arial"/>
          <w:b/>
          <w:bCs/>
          <w:sz w:val="16"/>
          <w:szCs w:val="16"/>
        </w:rPr>
        <w:t>g</w:t>
      </w:r>
      <w:r w:rsidRPr="0061068A">
        <w:rPr>
          <w:rFonts w:ascii="Arial" w:hAnsi="Arial" w:cs="Arial"/>
          <w:b/>
          <w:bCs/>
          <w:sz w:val="16"/>
          <w:szCs w:val="16"/>
        </w:rPr>
        <w:t>énéral Adjoint</w:t>
      </w:r>
      <w:r w:rsidRPr="0061068A">
        <w:rPr>
          <w:rFonts w:ascii="Arial" w:hAnsi="Arial" w:cs="Arial"/>
          <w:sz w:val="16"/>
          <w:szCs w:val="16"/>
        </w:rPr>
        <w:t xml:space="preserve"> : </w:t>
      </w:r>
      <w:r>
        <w:rPr>
          <w:rFonts w:ascii="Arial" w:hAnsi="Arial" w:cs="Arial"/>
          <w:sz w:val="16"/>
          <w:szCs w:val="16"/>
        </w:rPr>
        <w:t>Abdou DIOUF</w:t>
      </w:r>
    </w:p>
    <w:p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des Statistiques </w:t>
      </w:r>
      <w:r>
        <w:rPr>
          <w:rFonts w:ascii="Arial" w:hAnsi="Arial" w:cs="Arial"/>
          <w:b/>
          <w:bCs/>
          <w:sz w:val="16"/>
          <w:szCs w:val="16"/>
        </w:rPr>
        <w:t>é</w:t>
      </w:r>
      <w:r w:rsidRPr="0061068A">
        <w:rPr>
          <w:rFonts w:ascii="Arial" w:hAnsi="Arial" w:cs="Arial"/>
          <w:b/>
          <w:bCs/>
          <w:sz w:val="16"/>
          <w:szCs w:val="16"/>
        </w:rPr>
        <w:t xml:space="preserve">conomiques et de la Comptabilité </w:t>
      </w:r>
      <w:r>
        <w:rPr>
          <w:rFonts w:ascii="Arial" w:hAnsi="Arial" w:cs="Arial"/>
          <w:b/>
          <w:bCs/>
          <w:sz w:val="16"/>
          <w:szCs w:val="16"/>
        </w:rPr>
        <w:t>n</w:t>
      </w:r>
      <w:r w:rsidRPr="0061068A">
        <w:rPr>
          <w:rFonts w:ascii="Arial" w:hAnsi="Arial" w:cs="Arial"/>
          <w:b/>
          <w:bCs/>
          <w:sz w:val="16"/>
          <w:szCs w:val="16"/>
        </w:rPr>
        <w:t xml:space="preserve">ationale </w:t>
      </w:r>
      <w:r w:rsidRPr="0061068A">
        <w:rPr>
          <w:rFonts w:ascii="Arial" w:hAnsi="Arial" w:cs="Arial"/>
          <w:sz w:val="16"/>
          <w:szCs w:val="16"/>
        </w:rPr>
        <w:t>: M</w:t>
      </w:r>
      <w:r>
        <w:rPr>
          <w:rFonts w:ascii="Arial" w:hAnsi="Arial" w:cs="Arial"/>
          <w:sz w:val="16"/>
          <w:szCs w:val="16"/>
        </w:rPr>
        <w:t>amadou Ngalgou KANE</w:t>
      </w:r>
    </w:p>
    <w:p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Chef de la Division des Statistiques </w:t>
      </w:r>
      <w:r>
        <w:rPr>
          <w:rFonts w:ascii="Arial" w:hAnsi="Arial" w:cs="Arial"/>
          <w:b/>
          <w:bCs/>
          <w:sz w:val="16"/>
          <w:szCs w:val="16"/>
        </w:rPr>
        <w:t>c</w:t>
      </w:r>
      <w:r w:rsidR="00372846">
        <w:rPr>
          <w:rFonts w:ascii="Arial" w:hAnsi="Arial" w:cs="Arial"/>
          <w:b/>
          <w:bCs/>
          <w:sz w:val="16"/>
          <w:szCs w:val="16"/>
        </w:rPr>
        <w:t>onjoncturelles</w:t>
      </w:r>
      <w:r>
        <w:rPr>
          <w:rFonts w:ascii="Arial" w:hAnsi="Arial" w:cs="Arial"/>
          <w:b/>
          <w:bCs/>
          <w:sz w:val="16"/>
          <w:szCs w:val="16"/>
        </w:rPr>
        <w:t xml:space="preserve"> </w:t>
      </w:r>
      <w:r w:rsidRPr="0061068A">
        <w:rPr>
          <w:rFonts w:ascii="Arial" w:hAnsi="Arial" w:cs="Arial"/>
          <w:b/>
          <w:bCs/>
          <w:sz w:val="16"/>
          <w:szCs w:val="16"/>
        </w:rPr>
        <w:t xml:space="preserve">: </w:t>
      </w:r>
      <w:r>
        <w:rPr>
          <w:rFonts w:ascii="Arial" w:hAnsi="Arial" w:cs="Arial"/>
          <w:bCs/>
          <w:sz w:val="16"/>
          <w:szCs w:val="16"/>
        </w:rPr>
        <w:t>Amath DIAGO</w:t>
      </w:r>
    </w:p>
    <w:p w:rsidR="003B7749" w:rsidRPr="00651652"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Pr>
          <w:rFonts w:ascii="Arial" w:hAnsi="Arial" w:cs="Arial"/>
          <w:b/>
          <w:bCs/>
          <w:sz w:val="16"/>
          <w:szCs w:val="16"/>
        </w:rPr>
        <w:t>Chef du Bureau des Prix</w:t>
      </w:r>
      <w:r w:rsidRPr="0061068A">
        <w:rPr>
          <w:rFonts w:ascii="Arial" w:hAnsi="Arial" w:cs="Arial"/>
          <w:sz w:val="16"/>
          <w:szCs w:val="16"/>
        </w:rPr>
        <w:t xml:space="preserve"> : </w:t>
      </w:r>
      <w:r w:rsidRPr="00651652">
        <w:rPr>
          <w:rFonts w:ascii="Arial" w:hAnsi="Arial" w:cs="Arial"/>
          <w:sz w:val="16"/>
          <w:szCs w:val="16"/>
        </w:rPr>
        <w:t>El Hadji Malick CISSE</w:t>
      </w:r>
    </w:p>
    <w:p w:rsidR="003B7749"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Pr>
          <w:rFonts w:ascii="Arial" w:hAnsi="Arial" w:cs="Arial"/>
          <w:b/>
          <w:sz w:val="16"/>
          <w:szCs w:val="16"/>
        </w:rPr>
        <w:t xml:space="preserve">Comité de rédaction </w:t>
      </w:r>
      <w:r w:rsidRPr="00651652">
        <w:rPr>
          <w:rFonts w:ascii="Arial" w:hAnsi="Arial" w:cs="Arial"/>
          <w:b/>
          <w:sz w:val="16"/>
          <w:szCs w:val="16"/>
        </w:rPr>
        <w:t>:</w:t>
      </w:r>
      <w:r w:rsidRPr="00651652">
        <w:rPr>
          <w:rFonts w:ascii="Arial" w:hAnsi="Arial" w:cs="Arial"/>
          <w:sz w:val="16"/>
          <w:szCs w:val="16"/>
        </w:rPr>
        <w:t xml:space="preserve"> El Hadji Malick CISSE</w:t>
      </w:r>
      <w:r>
        <w:rPr>
          <w:rFonts w:ascii="Arial" w:hAnsi="Arial" w:cs="Arial"/>
          <w:sz w:val="16"/>
          <w:szCs w:val="16"/>
        </w:rPr>
        <w:t>,</w:t>
      </w:r>
      <w:r w:rsidRPr="00651652">
        <w:rPr>
          <w:rFonts w:ascii="Arial" w:hAnsi="Arial" w:cs="Arial"/>
          <w:sz w:val="16"/>
          <w:szCs w:val="16"/>
        </w:rPr>
        <w:t xml:space="preserve"> Ndèye Mareme DIOP</w:t>
      </w:r>
      <w:r>
        <w:rPr>
          <w:rFonts w:ascii="Arial" w:hAnsi="Arial" w:cs="Arial"/>
          <w:sz w:val="16"/>
          <w:szCs w:val="16"/>
        </w:rPr>
        <w:t xml:space="preserve">, </w:t>
      </w:r>
      <w:r w:rsidRPr="00651652">
        <w:rPr>
          <w:rFonts w:ascii="Arial" w:hAnsi="Arial" w:cs="Arial"/>
          <w:sz w:val="16"/>
          <w:szCs w:val="16"/>
        </w:rPr>
        <w:t>Modou Ndoumbé Dame DIOP</w:t>
      </w:r>
      <w:r>
        <w:rPr>
          <w:rFonts w:ascii="Arial" w:hAnsi="Arial" w:cs="Arial"/>
          <w:sz w:val="16"/>
          <w:szCs w:val="16"/>
        </w:rPr>
        <w:t>, Ibrahima THIAM</w:t>
      </w:r>
    </w:p>
    <w:p w:rsidR="003B7749" w:rsidRPr="00A307BB"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A307BB">
        <w:rPr>
          <w:rFonts w:ascii="Arial" w:hAnsi="Arial" w:cs="Arial"/>
          <w:b/>
          <w:sz w:val="16"/>
          <w:szCs w:val="16"/>
        </w:rPr>
        <w:t>Collaborateurs </w:t>
      </w:r>
      <w:r w:rsidRPr="00A307BB">
        <w:rPr>
          <w:rFonts w:ascii="Arial" w:hAnsi="Arial" w:cs="Arial"/>
          <w:sz w:val="16"/>
          <w:szCs w:val="16"/>
        </w:rPr>
        <w:t xml:space="preserve">: Khoudia WADE, </w:t>
      </w:r>
      <w:r w:rsidR="00DA0ECD">
        <w:rPr>
          <w:rFonts w:ascii="Arial" w:hAnsi="Arial" w:cs="Arial"/>
          <w:sz w:val="16"/>
          <w:szCs w:val="16"/>
        </w:rPr>
        <w:t>Ndiassé WADE</w:t>
      </w:r>
      <w:r w:rsidRPr="00A307BB">
        <w:rPr>
          <w:rFonts w:ascii="Arial" w:hAnsi="Arial" w:cs="Arial"/>
          <w:sz w:val="16"/>
          <w:szCs w:val="16"/>
        </w:rPr>
        <w:t>, Serigne THIAM, Saliou MBENGUE, Alioune TAMBOURA</w:t>
      </w:r>
    </w:p>
    <w:p w:rsidR="003B7749" w:rsidRPr="00F43AB7"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Distribution</w:t>
      </w:r>
      <w:r w:rsidR="00405F2E">
        <w:rPr>
          <w:rFonts w:ascii="Arial" w:hAnsi="Arial" w:cs="Arial"/>
          <w:sz w:val="16"/>
          <w:szCs w:val="16"/>
        </w:rPr>
        <w:t xml:space="preserve"> : Division de la Diffusion</w:t>
      </w:r>
      <w:r w:rsidRPr="0061068A">
        <w:rPr>
          <w:rFonts w:ascii="Arial" w:hAnsi="Arial" w:cs="Arial"/>
          <w:sz w:val="16"/>
          <w:szCs w:val="16"/>
        </w:rPr>
        <w:t>, El Hadji Malick GUEYE</w:t>
      </w:r>
      <w:r w:rsidR="00405F2E">
        <w:rPr>
          <w:rFonts w:ascii="Arial" w:hAnsi="Arial" w:cs="Arial"/>
          <w:sz w:val="16"/>
          <w:szCs w:val="16"/>
        </w:rPr>
        <w:t xml:space="preserve"> et</w:t>
      </w:r>
      <w:r>
        <w:rPr>
          <w:rFonts w:ascii="Arial" w:hAnsi="Arial" w:cs="Arial"/>
          <w:sz w:val="16"/>
          <w:szCs w:val="16"/>
        </w:rPr>
        <w:t xml:space="preserve"> Alain François DIATTA</w:t>
      </w:r>
    </w:p>
    <w:p w:rsidR="00A96E5F" w:rsidRPr="00A96E5F" w:rsidRDefault="00A96E5F" w:rsidP="00A96E5F">
      <w:pPr>
        <w:tabs>
          <w:tab w:val="left" w:pos="2745"/>
        </w:tabs>
      </w:pPr>
    </w:p>
    <w:sectPr w:rsidR="00A96E5F" w:rsidRPr="00A96E5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FD4" w:rsidRDefault="00742FD4" w:rsidP="00A96E5F">
      <w:pPr>
        <w:spacing w:after="0" w:line="240" w:lineRule="auto"/>
      </w:pPr>
      <w:r>
        <w:separator/>
      </w:r>
    </w:p>
  </w:endnote>
  <w:endnote w:type="continuationSeparator" w:id="0">
    <w:p w:rsidR="00742FD4" w:rsidRDefault="00742FD4" w:rsidP="00A9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494040"/>
      <w:docPartObj>
        <w:docPartGallery w:val="Page Numbers (Bottom of Page)"/>
        <w:docPartUnique/>
      </w:docPartObj>
    </w:sdtPr>
    <w:sdtEndPr/>
    <w:sdtContent>
      <w:p w:rsidR="005C1AF9" w:rsidRDefault="005C1AF9">
        <w:pPr>
          <w:pStyle w:val="Pieddepage"/>
          <w:jc w:val="right"/>
        </w:pPr>
        <w:r>
          <w:fldChar w:fldCharType="begin"/>
        </w:r>
        <w:r>
          <w:instrText>PAGE   \* MERGEFORMAT</w:instrText>
        </w:r>
        <w:r>
          <w:fldChar w:fldCharType="separate"/>
        </w:r>
        <w:r w:rsidR="00E86324">
          <w:rPr>
            <w:noProof/>
          </w:rPr>
          <w:t>1</w:t>
        </w:r>
        <w:r>
          <w:fldChar w:fldCharType="end"/>
        </w:r>
      </w:p>
    </w:sdtContent>
  </w:sdt>
  <w:p w:rsidR="005C1AF9" w:rsidRDefault="005C1AF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FD4" w:rsidRDefault="00742FD4" w:rsidP="00A96E5F">
      <w:pPr>
        <w:spacing w:after="0" w:line="240" w:lineRule="auto"/>
      </w:pPr>
      <w:r>
        <w:separator/>
      </w:r>
    </w:p>
  </w:footnote>
  <w:footnote w:type="continuationSeparator" w:id="0">
    <w:p w:rsidR="00742FD4" w:rsidRDefault="00742FD4" w:rsidP="00A96E5F">
      <w:pPr>
        <w:spacing w:after="0" w:line="240" w:lineRule="auto"/>
      </w:pPr>
      <w:r>
        <w:continuationSeparator/>
      </w:r>
    </w:p>
  </w:footnote>
  <w:footnote w:id="1">
    <w:p w:rsidR="00A96E5F" w:rsidRPr="009239D6" w:rsidRDefault="00A96E5F" w:rsidP="00A96E5F">
      <w:pPr>
        <w:pStyle w:val="Notedebasdepage"/>
        <w:rPr>
          <w:rFonts w:ascii="Arial" w:hAnsi="Arial" w:cs="Arial"/>
          <w:sz w:val="16"/>
          <w:szCs w:val="16"/>
        </w:rPr>
      </w:pPr>
      <w:r>
        <w:rPr>
          <w:rStyle w:val="Appelnotedebasdep"/>
        </w:rPr>
        <w:footnoteRef/>
      </w:r>
      <w:r>
        <w:t xml:space="preserve"> </w:t>
      </w:r>
      <w:r w:rsidRPr="009239D6">
        <w:rPr>
          <w:rFonts w:ascii="Arial" w:hAnsi="Arial" w:cs="Arial"/>
          <w:sz w:val="16"/>
          <w:szCs w:val="16"/>
        </w:rPr>
        <w:t xml:space="preserve">Nomenclature de classification (Classification of </w:t>
      </w:r>
      <w:proofErr w:type="spellStart"/>
      <w:r w:rsidRPr="009239D6">
        <w:rPr>
          <w:rFonts w:ascii="Arial" w:hAnsi="Arial" w:cs="Arial"/>
          <w:sz w:val="16"/>
          <w:szCs w:val="16"/>
        </w:rPr>
        <w:t>individual</w:t>
      </w:r>
      <w:proofErr w:type="spellEnd"/>
      <w:r w:rsidRPr="009239D6">
        <w:rPr>
          <w:rFonts w:ascii="Arial" w:hAnsi="Arial" w:cs="Arial"/>
          <w:sz w:val="16"/>
          <w:szCs w:val="16"/>
        </w:rPr>
        <w:t xml:space="preserve"> consomption by </w:t>
      </w:r>
      <w:proofErr w:type="spellStart"/>
      <w:r w:rsidRPr="009239D6">
        <w:rPr>
          <w:rFonts w:ascii="Arial" w:hAnsi="Arial" w:cs="Arial"/>
          <w:sz w:val="16"/>
          <w:szCs w:val="16"/>
        </w:rPr>
        <w:t>purpose</w:t>
      </w:r>
      <w:proofErr w:type="spellEnd"/>
      <w:r w:rsidRPr="009239D6">
        <w:rPr>
          <w:rFonts w:ascii="Arial" w:hAnsi="Arial" w:cs="Arial"/>
          <w:sz w:val="16"/>
          <w:szCs w:val="16"/>
        </w:rPr>
        <w:t>), qui est structurée de façon emboîtée en fonctions, groupes, sous-groupes et postes.</w:t>
      </w:r>
    </w:p>
  </w:footnote>
  <w:footnote w:id="2">
    <w:p w:rsidR="006A5ED2" w:rsidRPr="004855D9" w:rsidRDefault="006A5ED2" w:rsidP="006A5ED2">
      <w:pPr>
        <w:pStyle w:val="Notedebasdepage"/>
        <w:spacing w:line="276" w:lineRule="auto"/>
        <w:rPr>
          <w:rFonts w:ascii="Arial" w:hAnsi="Arial" w:cs="Arial"/>
          <w:sz w:val="18"/>
        </w:rPr>
      </w:pPr>
      <w:r w:rsidRPr="004855D9">
        <w:rPr>
          <w:rStyle w:val="Appelnotedebasdep"/>
          <w:rFonts w:ascii="Arial" w:hAnsi="Arial" w:cs="Arial"/>
          <w:sz w:val="18"/>
        </w:rPr>
        <w:footnoteRef/>
      </w:r>
      <w:r w:rsidRPr="004855D9">
        <w:rPr>
          <w:rFonts w:ascii="Arial" w:hAnsi="Arial" w:cs="Arial"/>
          <w:sz w:val="18"/>
        </w:rPr>
        <w:t xml:space="preserve"> </w:t>
      </w:r>
      <w:r w:rsidRPr="009239D6">
        <w:rPr>
          <w:rFonts w:ascii="Arial" w:hAnsi="Arial" w:cs="Arial"/>
          <w:sz w:val="16"/>
          <w:szCs w:val="16"/>
        </w:rPr>
        <w:t xml:space="preserve">Classification permettant de suivre le niveau de l’inflation qui serait obtenu en dehors des phénomènes perturbateurs que sont les produits saisonniers et les produits énergétiques : Indice </w:t>
      </w:r>
      <w:r w:rsidRPr="009239D6">
        <w:rPr>
          <w:rFonts w:ascii="Arial" w:hAnsi="Arial" w:cs="Arial"/>
          <w:bCs/>
          <w:sz w:val="16"/>
          <w:szCs w:val="16"/>
        </w:rPr>
        <w:t xml:space="preserve">hors énergie et </w:t>
      </w:r>
      <w:r w:rsidR="005C1AF9" w:rsidRPr="009239D6">
        <w:rPr>
          <w:rFonts w:ascii="Arial" w:hAnsi="Arial" w:cs="Arial"/>
          <w:bCs/>
          <w:sz w:val="16"/>
          <w:szCs w:val="16"/>
        </w:rPr>
        <w:t>produits</w:t>
      </w:r>
      <w:r w:rsidRPr="009239D6">
        <w:rPr>
          <w:rFonts w:ascii="Arial" w:hAnsi="Arial" w:cs="Arial"/>
          <w:bCs/>
          <w:sz w:val="16"/>
          <w:szCs w:val="16"/>
        </w:rPr>
        <w:t xml:space="preserve"> frais</w:t>
      </w:r>
      <w:r w:rsidRPr="009239D6">
        <w:rPr>
          <w:rFonts w:ascii="Arial" w:hAnsi="Arial" w:cs="Arial"/>
          <w:sz w:val="16"/>
          <w:szCs w:val="16"/>
        </w:rPr>
        <w:t>.</w:t>
      </w:r>
    </w:p>
  </w:footnote>
  <w:footnote w:id="3">
    <w:p w:rsidR="009A58BE" w:rsidRPr="009A4C89" w:rsidRDefault="009A58BE" w:rsidP="005C1AF9">
      <w:pPr>
        <w:pStyle w:val="Notedebasdepage"/>
        <w:rPr>
          <w:rFonts w:ascii="Arial" w:hAnsi="Arial" w:cs="Arial"/>
          <w:sz w:val="16"/>
          <w:szCs w:val="16"/>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 xml:space="preserve">Bien durable : </w:t>
      </w:r>
      <w:r w:rsidRPr="009A4C89">
        <w:rPr>
          <w:rFonts w:ascii="Arial" w:hAnsi="Arial" w:cs="Arial"/>
          <w:sz w:val="16"/>
          <w:szCs w:val="16"/>
        </w:rPr>
        <w:t xml:space="preserve">qui </w:t>
      </w:r>
      <w:r w:rsidRPr="009A4C89">
        <w:rPr>
          <w:rFonts w:ascii="Arial" w:hAnsi="Arial" w:cs="Arial"/>
          <w:sz w:val="16"/>
          <w:szCs w:val="16"/>
          <w:lang w:val="fr-FR"/>
        </w:rPr>
        <w:t>a</w:t>
      </w:r>
      <w:r w:rsidRPr="009A4C89">
        <w:rPr>
          <w:rFonts w:ascii="Arial" w:hAnsi="Arial" w:cs="Arial"/>
          <w:sz w:val="16"/>
          <w:szCs w:val="16"/>
        </w:rPr>
        <w:t xml:space="preserve"> pour</w:t>
      </w:r>
      <w:r w:rsidRPr="009A4C89">
        <w:rPr>
          <w:rFonts w:ascii="Arial" w:hAnsi="Arial" w:cs="Arial"/>
          <w:sz w:val="16"/>
          <w:szCs w:val="16"/>
          <w:lang w:val="fr-FR"/>
        </w:rPr>
        <w:t xml:space="preserve"> </w:t>
      </w:r>
      <w:r w:rsidRPr="009A4C89">
        <w:rPr>
          <w:rFonts w:ascii="Arial" w:hAnsi="Arial" w:cs="Arial"/>
          <w:sz w:val="16"/>
          <w:szCs w:val="16"/>
        </w:rPr>
        <w:t>caractéristique de résister à l’usage</w:t>
      </w:r>
    </w:p>
  </w:footnote>
  <w:footnote w:id="4">
    <w:p w:rsidR="009A58BE" w:rsidRPr="009A4C89" w:rsidRDefault="009A58BE" w:rsidP="005C1AF9">
      <w:pPr>
        <w:pStyle w:val="Notedebasdepage"/>
        <w:rPr>
          <w:rFonts w:ascii="Arial" w:hAnsi="Arial" w:cs="Arial"/>
          <w:sz w:val="16"/>
          <w:szCs w:val="16"/>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Bien semi-durable : qui</w:t>
      </w:r>
      <w:r w:rsidRPr="009A4C89">
        <w:rPr>
          <w:rFonts w:ascii="Arial" w:hAnsi="Arial" w:cs="Arial"/>
          <w:sz w:val="16"/>
          <w:szCs w:val="16"/>
        </w:rPr>
        <w:t xml:space="preserve"> </w:t>
      </w:r>
      <w:r w:rsidRPr="009A4C89">
        <w:rPr>
          <w:rFonts w:ascii="Arial" w:hAnsi="Arial" w:cs="Arial"/>
          <w:sz w:val="16"/>
          <w:szCs w:val="16"/>
          <w:lang w:val="fr-FR"/>
        </w:rPr>
        <w:t xml:space="preserve">a </w:t>
      </w:r>
      <w:r w:rsidRPr="009A4C89">
        <w:rPr>
          <w:rFonts w:ascii="Arial" w:hAnsi="Arial" w:cs="Arial"/>
          <w:sz w:val="16"/>
          <w:szCs w:val="16"/>
        </w:rPr>
        <w:t>une durée de vie prévue relativement moyenne</w:t>
      </w:r>
      <w:r w:rsidRPr="009A4C89">
        <w:rPr>
          <w:rFonts w:ascii="Arial" w:hAnsi="Arial" w:cs="Arial"/>
          <w:sz w:val="16"/>
          <w:szCs w:val="16"/>
          <w:lang w:val="fr-FR"/>
        </w:rPr>
        <w:t xml:space="preserve"> tels que les vêtements, les chaussures ou les articles de ménage en textiles.</w:t>
      </w:r>
    </w:p>
  </w:footnote>
  <w:footnote w:id="5">
    <w:p w:rsidR="009A58BE" w:rsidRPr="0078654D" w:rsidRDefault="009A58BE" w:rsidP="005C1AF9">
      <w:pPr>
        <w:pStyle w:val="Notedebasdepage"/>
        <w:rPr>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Bien non durable : bien à usage unique (utilisable une seule fois)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5F"/>
    <w:rsid w:val="00004EFF"/>
    <w:rsid w:val="0002247D"/>
    <w:rsid w:val="0002528E"/>
    <w:rsid w:val="00027914"/>
    <w:rsid w:val="000527BE"/>
    <w:rsid w:val="00062A6E"/>
    <w:rsid w:val="0006782D"/>
    <w:rsid w:val="000A2C0C"/>
    <w:rsid w:val="000B3CE7"/>
    <w:rsid w:val="000B727C"/>
    <w:rsid w:val="000C1C7A"/>
    <w:rsid w:val="000F0E52"/>
    <w:rsid w:val="00101717"/>
    <w:rsid w:val="00102B5C"/>
    <w:rsid w:val="00126912"/>
    <w:rsid w:val="00144D39"/>
    <w:rsid w:val="001A650C"/>
    <w:rsid w:val="001D35C4"/>
    <w:rsid w:val="001F4C9C"/>
    <w:rsid w:val="0020202C"/>
    <w:rsid w:val="002B3E41"/>
    <w:rsid w:val="00357F57"/>
    <w:rsid w:val="00372846"/>
    <w:rsid w:val="003751F2"/>
    <w:rsid w:val="0038707B"/>
    <w:rsid w:val="00387421"/>
    <w:rsid w:val="003B635E"/>
    <w:rsid w:val="003B7749"/>
    <w:rsid w:val="003E2D12"/>
    <w:rsid w:val="003F11AC"/>
    <w:rsid w:val="00405F2E"/>
    <w:rsid w:val="00411914"/>
    <w:rsid w:val="004472C2"/>
    <w:rsid w:val="00467C2E"/>
    <w:rsid w:val="00491BAA"/>
    <w:rsid w:val="0049468E"/>
    <w:rsid w:val="004B0C35"/>
    <w:rsid w:val="004C4FA7"/>
    <w:rsid w:val="004D0836"/>
    <w:rsid w:val="004D10E5"/>
    <w:rsid w:val="00500585"/>
    <w:rsid w:val="00507D16"/>
    <w:rsid w:val="005149B0"/>
    <w:rsid w:val="00533561"/>
    <w:rsid w:val="005724A2"/>
    <w:rsid w:val="00585EA0"/>
    <w:rsid w:val="00591EA5"/>
    <w:rsid w:val="005B13DB"/>
    <w:rsid w:val="005C1AF9"/>
    <w:rsid w:val="00644CEB"/>
    <w:rsid w:val="00660B97"/>
    <w:rsid w:val="00663954"/>
    <w:rsid w:val="0069012A"/>
    <w:rsid w:val="00694CEE"/>
    <w:rsid w:val="006A5ED2"/>
    <w:rsid w:val="006E34BF"/>
    <w:rsid w:val="007010B1"/>
    <w:rsid w:val="00701CFD"/>
    <w:rsid w:val="007038BF"/>
    <w:rsid w:val="00706433"/>
    <w:rsid w:val="00714592"/>
    <w:rsid w:val="00734BA9"/>
    <w:rsid w:val="00737740"/>
    <w:rsid w:val="00742FD4"/>
    <w:rsid w:val="0079345E"/>
    <w:rsid w:val="007D5BBD"/>
    <w:rsid w:val="007E7CE4"/>
    <w:rsid w:val="00827E16"/>
    <w:rsid w:val="00857C43"/>
    <w:rsid w:val="008C4C42"/>
    <w:rsid w:val="00920979"/>
    <w:rsid w:val="009239D6"/>
    <w:rsid w:val="00935810"/>
    <w:rsid w:val="00936175"/>
    <w:rsid w:val="009762CD"/>
    <w:rsid w:val="009A4C89"/>
    <w:rsid w:val="009A58BE"/>
    <w:rsid w:val="009B1B1D"/>
    <w:rsid w:val="009C3AB1"/>
    <w:rsid w:val="009D2996"/>
    <w:rsid w:val="009F4B03"/>
    <w:rsid w:val="00A00A56"/>
    <w:rsid w:val="00A049DD"/>
    <w:rsid w:val="00A305CF"/>
    <w:rsid w:val="00A307BB"/>
    <w:rsid w:val="00A37886"/>
    <w:rsid w:val="00A40F75"/>
    <w:rsid w:val="00A80758"/>
    <w:rsid w:val="00A80826"/>
    <w:rsid w:val="00A9011E"/>
    <w:rsid w:val="00A96E5F"/>
    <w:rsid w:val="00AD6E2A"/>
    <w:rsid w:val="00AF4571"/>
    <w:rsid w:val="00AF52A1"/>
    <w:rsid w:val="00AF69FF"/>
    <w:rsid w:val="00B21780"/>
    <w:rsid w:val="00B23D82"/>
    <w:rsid w:val="00B37ED4"/>
    <w:rsid w:val="00B436A0"/>
    <w:rsid w:val="00B50F3A"/>
    <w:rsid w:val="00B6123F"/>
    <w:rsid w:val="00B627FC"/>
    <w:rsid w:val="00B90F0F"/>
    <w:rsid w:val="00BB3C55"/>
    <w:rsid w:val="00BD29AD"/>
    <w:rsid w:val="00BD4CD1"/>
    <w:rsid w:val="00BD5BDD"/>
    <w:rsid w:val="00BF7004"/>
    <w:rsid w:val="00C116D2"/>
    <w:rsid w:val="00C21E1F"/>
    <w:rsid w:val="00C33480"/>
    <w:rsid w:val="00C41A0A"/>
    <w:rsid w:val="00C46780"/>
    <w:rsid w:val="00C637A1"/>
    <w:rsid w:val="00C8664D"/>
    <w:rsid w:val="00CD0964"/>
    <w:rsid w:val="00CE755E"/>
    <w:rsid w:val="00CF30B1"/>
    <w:rsid w:val="00D73623"/>
    <w:rsid w:val="00D932FA"/>
    <w:rsid w:val="00D94543"/>
    <w:rsid w:val="00DA0ECD"/>
    <w:rsid w:val="00DC072C"/>
    <w:rsid w:val="00DD6BBF"/>
    <w:rsid w:val="00E61B14"/>
    <w:rsid w:val="00E70C38"/>
    <w:rsid w:val="00E8073E"/>
    <w:rsid w:val="00E86324"/>
    <w:rsid w:val="00F13079"/>
    <w:rsid w:val="00F43331"/>
    <w:rsid w:val="00F54876"/>
    <w:rsid w:val="00F55327"/>
    <w:rsid w:val="00F92E39"/>
    <w:rsid w:val="00F93C23"/>
    <w:rsid w:val="00FA513D"/>
    <w:rsid w:val="00FC5E35"/>
    <w:rsid w:val="00FD21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8E51590-3A15-4B76-AC8A-6F202F6C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5F"/>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6E5F"/>
    <w:pPr>
      <w:spacing w:after="0" w:line="240" w:lineRule="auto"/>
    </w:pPr>
    <w:rPr>
      <w:rFonts w:ascii="Calibri" w:eastAsia="Times New Roman" w:hAnsi="Calibri" w:cs="Times New Roman"/>
    </w:rPr>
  </w:style>
  <w:style w:type="character" w:customStyle="1" w:styleId="SansinterligneCar">
    <w:name w:val="Sans interligne Car"/>
    <w:link w:val="Sansinterligne"/>
    <w:uiPriority w:val="1"/>
    <w:rsid w:val="00A96E5F"/>
    <w:rPr>
      <w:rFonts w:ascii="Calibri" w:eastAsia="Times New Roman" w:hAnsi="Calibri" w:cs="Times New Roman"/>
    </w:rPr>
  </w:style>
  <w:style w:type="paragraph" w:styleId="Notedebasdepage">
    <w:name w:val="footnote text"/>
    <w:basedOn w:val="Normal"/>
    <w:link w:val="NotedebasdepageCar"/>
    <w:rsid w:val="00A96E5F"/>
    <w:pPr>
      <w:widowControl w:val="0"/>
      <w:overflowPunct w:val="0"/>
      <w:autoSpaceDE w:val="0"/>
      <w:autoSpaceDN w:val="0"/>
      <w:adjustRightInd w:val="0"/>
      <w:spacing w:after="0" w:line="240" w:lineRule="auto"/>
      <w:jc w:val="both"/>
      <w:textAlignment w:val="baseline"/>
    </w:pPr>
    <w:rPr>
      <w:rFonts w:ascii="Times New Roman" w:eastAsia="Times New Roman" w:hAnsi="Times New Roman"/>
      <w:sz w:val="20"/>
      <w:szCs w:val="20"/>
      <w:lang w:val="x-none" w:eastAsia="fr-FR"/>
    </w:rPr>
  </w:style>
  <w:style w:type="character" w:customStyle="1" w:styleId="NotedebasdepageCar">
    <w:name w:val="Note de bas de page Car"/>
    <w:basedOn w:val="Policepardfaut"/>
    <w:link w:val="Notedebasdepage"/>
    <w:rsid w:val="00A96E5F"/>
    <w:rPr>
      <w:rFonts w:ascii="Times New Roman" w:eastAsia="Times New Roman" w:hAnsi="Times New Roman" w:cs="Times New Roman"/>
      <w:sz w:val="20"/>
      <w:szCs w:val="20"/>
      <w:lang w:val="x-none" w:eastAsia="fr-FR"/>
    </w:rPr>
  </w:style>
  <w:style w:type="character" w:styleId="Appelnotedebasdep">
    <w:name w:val="footnote reference"/>
    <w:rsid w:val="00A96E5F"/>
    <w:rPr>
      <w:vertAlign w:val="superscript"/>
    </w:rPr>
  </w:style>
  <w:style w:type="character" w:styleId="Lienhypertexte">
    <w:name w:val="Hyperlink"/>
    <w:basedOn w:val="Policepardfaut"/>
    <w:uiPriority w:val="99"/>
    <w:semiHidden/>
    <w:unhideWhenUsed/>
    <w:rsid w:val="00E70C38"/>
    <w:rPr>
      <w:color w:val="0563C1"/>
      <w:u w:val="single"/>
    </w:rPr>
  </w:style>
  <w:style w:type="paragraph" w:styleId="Textedebulles">
    <w:name w:val="Balloon Text"/>
    <w:basedOn w:val="Normal"/>
    <w:link w:val="TextedebullesCar"/>
    <w:uiPriority w:val="99"/>
    <w:semiHidden/>
    <w:unhideWhenUsed/>
    <w:rsid w:val="002B3E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3E41"/>
    <w:rPr>
      <w:rFonts w:ascii="Segoe UI" w:eastAsia="Calibri" w:hAnsi="Segoe UI" w:cs="Segoe UI"/>
      <w:sz w:val="18"/>
      <w:szCs w:val="18"/>
    </w:rPr>
  </w:style>
  <w:style w:type="paragraph" w:styleId="En-tte">
    <w:name w:val="header"/>
    <w:basedOn w:val="Normal"/>
    <w:link w:val="En-tteCar"/>
    <w:uiPriority w:val="99"/>
    <w:unhideWhenUsed/>
    <w:rsid w:val="005C1AF9"/>
    <w:pPr>
      <w:tabs>
        <w:tab w:val="center" w:pos="4536"/>
        <w:tab w:val="right" w:pos="9072"/>
      </w:tabs>
      <w:spacing w:after="0" w:line="240" w:lineRule="auto"/>
    </w:pPr>
  </w:style>
  <w:style w:type="character" w:customStyle="1" w:styleId="En-tteCar">
    <w:name w:val="En-tête Car"/>
    <w:basedOn w:val="Policepardfaut"/>
    <w:link w:val="En-tte"/>
    <w:uiPriority w:val="99"/>
    <w:rsid w:val="005C1AF9"/>
    <w:rPr>
      <w:rFonts w:ascii="Calibri" w:eastAsia="Calibri" w:hAnsi="Calibri" w:cs="Times New Roman"/>
    </w:rPr>
  </w:style>
  <w:style w:type="paragraph" w:styleId="Pieddepage">
    <w:name w:val="footer"/>
    <w:basedOn w:val="Normal"/>
    <w:link w:val="PieddepageCar"/>
    <w:uiPriority w:val="99"/>
    <w:unhideWhenUsed/>
    <w:rsid w:val="005C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1AF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746771">
      <w:bodyDiv w:val="1"/>
      <w:marLeft w:val="0"/>
      <w:marRight w:val="0"/>
      <w:marTop w:val="0"/>
      <w:marBottom w:val="0"/>
      <w:divBdr>
        <w:top w:val="none" w:sz="0" w:space="0" w:color="auto"/>
        <w:left w:val="none" w:sz="0" w:space="0" w:color="auto"/>
        <w:bottom w:val="none" w:sz="0" w:space="0" w:color="auto"/>
        <w:right w:val="none" w:sz="0" w:space="0" w:color="auto"/>
      </w:divBdr>
    </w:div>
    <w:div w:id="21469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D:\CISSE\1-IHPC%20&amp;%20INDICE%20NATIONAL\3-TRAVAUX%20INPC%20&amp;%20IHPC%202014\1-DONNEES\2-TRAITEMENT\I-BASE%20100%202014\BASE%20INHPC_2014%20S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3439911797133407"/>
          <c:y val="8.3464566929133885E-2"/>
          <c:w val="0.46637265711135617"/>
          <c:h val="0.73228346456692917"/>
        </c:manualLayout>
      </c:layout>
      <c:barChart>
        <c:barDir val="bar"/>
        <c:grouping val="clustered"/>
        <c:varyColors val="0"/>
        <c:ser>
          <c:idx val="0"/>
          <c:order val="0"/>
          <c:tx>
            <c:strRef>
              <c:f>Tables!$CG$33</c:f>
              <c:strCache>
                <c:ptCount val="1"/>
                <c:pt idx="0">
                  <c:v>nov-22</c:v>
                </c:pt>
              </c:strCache>
            </c:strRef>
          </c:tx>
          <c:spPr>
            <a:solidFill>
              <a:srgbClr val="FFFF00"/>
            </a:solidFill>
            <a:ln>
              <a:solidFill>
                <a:srgbClr val="FFC000"/>
              </a:solidFill>
            </a:ln>
          </c:spPr>
          <c:invertIfNegative val="0"/>
          <c:cat>
            <c:strRef>
              <c:f>Tables!$A$34:$A$46</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Tables!$CG$34:$CG$46</c:f>
              <c:numCache>
                <c:formatCode>0.0%</c:formatCode>
                <c:ptCount val="13"/>
                <c:pt idx="0">
                  <c:v>-1.1240629456350515E-3</c:v>
                </c:pt>
                <c:pt idx="1">
                  <c:v>5.1194589021541503E-4</c:v>
                </c:pt>
                <c:pt idx="2">
                  <c:v>3.0864977723008558E-3</c:v>
                </c:pt>
                <c:pt idx="3">
                  <c:v>7.3308210249183325E-3</c:v>
                </c:pt>
                <c:pt idx="4">
                  <c:v>7.6376069630992305E-3</c:v>
                </c:pt>
                <c:pt idx="5">
                  <c:v>1.8302053611287672E-3</c:v>
                </c:pt>
                <c:pt idx="6">
                  <c:v>2.1727493469034798E-3</c:v>
                </c:pt>
                <c:pt idx="7">
                  <c:v>1.2267284113941734E-2</c:v>
                </c:pt>
                <c:pt idx="8">
                  <c:v>4.1087068174527897E-3</c:v>
                </c:pt>
                <c:pt idx="9">
                  <c:v>0</c:v>
                </c:pt>
                <c:pt idx="10">
                  <c:v>1.8351221437603593E-2</c:v>
                </c:pt>
                <c:pt idx="11">
                  <c:v>1.2491203532034145E-2</c:v>
                </c:pt>
                <c:pt idx="12">
                  <c:v>2.259916486587521E-3</c:v>
                </c:pt>
              </c:numCache>
            </c:numRef>
          </c:val>
        </c:ser>
        <c:ser>
          <c:idx val="1"/>
          <c:order val="1"/>
          <c:tx>
            <c:strRef>
              <c:f>Tables!$CH$33</c:f>
              <c:strCache>
                <c:ptCount val="1"/>
                <c:pt idx="0">
                  <c:v>déc-22</c:v>
                </c:pt>
              </c:strCache>
            </c:strRef>
          </c:tx>
          <c:spPr>
            <a:ln>
              <a:solidFill>
                <a:schemeClr val="tx1"/>
              </a:solidFill>
            </a:ln>
          </c:spPr>
          <c:invertIfNegative val="0"/>
          <c:cat>
            <c:strRef>
              <c:f>Tables!$A$34:$A$46</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Tables!$CH$34:$CH$46</c:f>
              <c:numCache>
                <c:formatCode>0.0%</c:formatCode>
                <c:ptCount val="13"/>
                <c:pt idx="0">
                  <c:v>-2.0619424768448025E-2</c:v>
                </c:pt>
                <c:pt idx="1">
                  <c:v>9.3269872237722318E-4</c:v>
                </c:pt>
                <c:pt idx="2">
                  <c:v>5.5967111710260031E-3</c:v>
                </c:pt>
                <c:pt idx="3">
                  <c:v>1.483596396224085E-3</c:v>
                </c:pt>
                <c:pt idx="4">
                  <c:v>3.3389960868890345E-3</c:v>
                </c:pt>
                <c:pt idx="5">
                  <c:v>6.7736717243958022E-3</c:v>
                </c:pt>
                <c:pt idx="6">
                  <c:v>2.2978659007188984E-3</c:v>
                </c:pt>
                <c:pt idx="7">
                  <c:v>-7.9411402994278291E-4</c:v>
                </c:pt>
                <c:pt idx="8">
                  <c:v>3.2367332707319285E-3</c:v>
                </c:pt>
                <c:pt idx="9">
                  <c:v>0</c:v>
                </c:pt>
                <c:pt idx="10">
                  <c:v>2.9708382875812678E-3</c:v>
                </c:pt>
                <c:pt idx="11">
                  <c:v>6.021316850318037E-3</c:v>
                </c:pt>
                <c:pt idx="12">
                  <c:v>-1.0314326858431033E-2</c:v>
                </c:pt>
              </c:numCache>
            </c:numRef>
          </c:val>
        </c:ser>
        <c:dLbls>
          <c:showLegendKey val="0"/>
          <c:showVal val="0"/>
          <c:showCatName val="0"/>
          <c:showSerName val="0"/>
          <c:showPercent val="0"/>
          <c:showBubbleSize val="0"/>
        </c:dLbls>
        <c:gapWidth val="50"/>
        <c:axId val="351577824"/>
        <c:axId val="351578944"/>
      </c:barChart>
      <c:catAx>
        <c:axId val="351577824"/>
        <c:scaling>
          <c:orientation val="minMax"/>
        </c:scaling>
        <c:delete val="0"/>
        <c:axPos val="l"/>
        <c:numFmt formatCode="General" sourceLinked="1"/>
        <c:majorTickMark val="out"/>
        <c:minorTickMark val="none"/>
        <c:tickLblPos val="low"/>
        <c:spPr>
          <a:ln>
            <a:solidFill>
              <a:schemeClr val="dk1"/>
            </a:solidFill>
          </a:ln>
        </c:spPr>
        <c:txPr>
          <a:bodyPr rot="0" vert="horz"/>
          <a:lstStyle/>
          <a:p>
            <a:pPr>
              <a:defRPr sz="700" b="0" i="0" u="none" strike="noStrike" baseline="0">
                <a:solidFill>
                  <a:srgbClr val="000000"/>
                </a:solidFill>
                <a:latin typeface="Arial"/>
                <a:ea typeface="Arial"/>
                <a:cs typeface="Arial"/>
              </a:defRPr>
            </a:pPr>
            <a:endParaRPr lang="fr-FR"/>
          </a:p>
        </c:txPr>
        <c:crossAx val="351578944"/>
        <c:crosses val="autoZero"/>
        <c:auto val="1"/>
        <c:lblAlgn val="ctr"/>
        <c:lblOffset val="100"/>
        <c:noMultiLvlLbl val="0"/>
      </c:catAx>
      <c:valAx>
        <c:axId val="351578944"/>
        <c:scaling>
          <c:orientation val="minMax"/>
          <c:min val="-5.000000000000001E-3"/>
        </c:scaling>
        <c:delete val="0"/>
        <c:axPos val="b"/>
        <c:numFmt formatCode="0.0%" sourceLinked="1"/>
        <c:majorTickMark val="out"/>
        <c:minorTickMark val="none"/>
        <c:tickLblPos val="nextTo"/>
        <c:txPr>
          <a:bodyPr rot="-2400000" vert="horz"/>
          <a:lstStyle/>
          <a:p>
            <a:pPr>
              <a:defRPr sz="800" b="0" i="0" u="none" strike="noStrike" baseline="0">
                <a:solidFill>
                  <a:srgbClr val="000000"/>
                </a:solidFill>
                <a:latin typeface="Arial"/>
                <a:ea typeface="Arial"/>
                <a:cs typeface="Arial"/>
              </a:defRPr>
            </a:pPr>
            <a:endParaRPr lang="fr-FR"/>
          </a:p>
        </c:txPr>
        <c:crossAx val="351577824"/>
        <c:crosses val="autoZero"/>
        <c:crossBetween val="between"/>
      </c:valAx>
      <c:spPr>
        <a:noFill/>
        <a:ln>
          <a:solidFill>
            <a:schemeClr val="bg1">
              <a:lumMod val="85000"/>
            </a:schemeClr>
          </a:solidFill>
        </a:ln>
      </c:spPr>
    </c:plotArea>
    <c:legend>
      <c:legendPos val="b"/>
      <c:layout>
        <c:manualLayout>
          <c:xMode val="edge"/>
          <c:yMode val="edge"/>
          <c:x val="0.40752243986030673"/>
          <c:y val="0.92015364746073414"/>
          <c:w val="0.18495546734344154"/>
          <c:h val="6.6423363746198394E-2"/>
        </c:manualLayout>
      </c:layout>
      <c:overlay val="0"/>
      <c:txPr>
        <a:bodyPr/>
        <a:lstStyle/>
        <a:p>
          <a:pPr>
            <a:defRPr sz="825" b="0" i="0" u="none" strike="noStrike" baseline="0">
              <a:solidFill>
                <a:srgbClr val="000000"/>
              </a:solidFill>
              <a:latin typeface="Arial"/>
              <a:ea typeface="Arial"/>
              <a:cs typeface="Arial"/>
            </a:defRPr>
          </a:pPr>
          <a:endParaRPr lang="fr-FR"/>
        </a:p>
      </c:txPr>
    </c:legend>
    <c:plotVisOnly val="1"/>
    <c:dispBlanksAs val="gap"/>
    <c:showDLblsOverMax val="0"/>
  </c:chart>
  <c:spPr>
    <a:solidFill>
      <a:schemeClr val="lt1"/>
    </a:solidFill>
    <a:ln w="25400" cap="flat" cmpd="sng" algn="ctr">
      <a:solidFill>
        <a:schemeClr val="tx1"/>
      </a:solidFill>
      <a:prstDash val="solid"/>
    </a:ln>
    <a:effectLst/>
  </c:spPr>
  <c:txPr>
    <a:bodyPr/>
    <a:lstStyle/>
    <a:p>
      <a:pPr>
        <a:defRPr sz="1000" b="0" i="0" u="none" strike="noStrike" baseline="0">
          <a:solidFill>
            <a:srgbClr val="000000"/>
          </a:solidFill>
          <a:latin typeface="Calibri"/>
          <a:ea typeface="Calibri"/>
          <a:cs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0DA59-05F9-4135-8BAA-942E6B225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882</Words>
  <Characters>4854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THIAM</dc:creator>
  <cp:keywords/>
  <dc:description/>
  <cp:lastModifiedBy>El Hadji Malick CISSE</cp:lastModifiedBy>
  <cp:revision>14</cp:revision>
  <cp:lastPrinted>2023-01-10T13:05:00Z</cp:lastPrinted>
  <dcterms:created xsi:type="dcterms:W3CDTF">2023-01-10T08:38:00Z</dcterms:created>
  <dcterms:modified xsi:type="dcterms:W3CDTF">2023-01-10T13:08:00Z</dcterms:modified>
</cp:coreProperties>
</file>