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549AB" w14:textId="77777777" w:rsidR="00A96E5F" w:rsidRPr="0061068A" w:rsidRDefault="00A96E5F" w:rsidP="00A96E5F">
      <w:pPr>
        <w:pStyle w:val="Sansinterligne"/>
        <w:rPr>
          <w:rFonts w:ascii="Cambria" w:hAnsi="Cambria"/>
          <w:b/>
          <w:color w:val="1F497D"/>
          <w:sz w:val="36"/>
          <w:szCs w:val="36"/>
        </w:rPr>
      </w:pPr>
      <w:r w:rsidRPr="0061068A">
        <w:rPr>
          <w:noProof/>
          <w:lang w:eastAsia="fr-FR"/>
        </w:rPr>
        <w:drawing>
          <wp:anchor distT="0" distB="0" distL="114300" distR="114300" simplePos="0" relativeHeight="251659264" behindDoc="0" locked="0" layoutInCell="1" allowOverlap="1" wp14:anchorId="19683853" wp14:editId="4E458E49">
            <wp:simplePos x="0" y="0"/>
            <wp:positionH relativeFrom="column">
              <wp:posOffset>2229485</wp:posOffset>
            </wp:positionH>
            <wp:positionV relativeFrom="paragraph">
              <wp:posOffset>0</wp:posOffset>
            </wp:positionV>
            <wp:extent cx="937895" cy="835025"/>
            <wp:effectExtent l="0" t="0" r="0" b="3175"/>
            <wp:wrapTight wrapText="bothSides">
              <wp:wrapPolygon edited="0">
                <wp:start x="0" y="0"/>
                <wp:lineTo x="0" y="21189"/>
                <wp:lineTo x="21059" y="21189"/>
                <wp:lineTo x="2105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7895" cy="835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7DD9E" w14:textId="77777777" w:rsidR="00A96E5F" w:rsidRDefault="00A96E5F" w:rsidP="00A96E5F">
      <w:pPr>
        <w:pStyle w:val="Sansinterligne"/>
        <w:jc w:val="center"/>
        <w:rPr>
          <w:rFonts w:ascii="Cambria" w:hAnsi="Cambria"/>
          <w:b/>
          <w:color w:val="1F497D"/>
          <w:sz w:val="36"/>
          <w:szCs w:val="36"/>
        </w:rPr>
      </w:pPr>
    </w:p>
    <w:p w14:paraId="717DCE96" w14:textId="77777777" w:rsidR="00A96E5F" w:rsidRDefault="00A96E5F" w:rsidP="00A96E5F">
      <w:pPr>
        <w:pStyle w:val="Sansinterligne"/>
        <w:jc w:val="center"/>
        <w:rPr>
          <w:rFonts w:ascii="Cambria" w:hAnsi="Cambria"/>
          <w:b/>
          <w:color w:val="1F497D"/>
          <w:sz w:val="36"/>
          <w:szCs w:val="36"/>
        </w:rPr>
      </w:pPr>
    </w:p>
    <w:p w14:paraId="026B48AE" w14:textId="77777777" w:rsidR="00A96E5F" w:rsidRPr="0061068A" w:rsidRDefault="00A96E5F" w:rsidP="00A96E5F">
      <w:pPr>
        <w:pStyle w:val="Sansinterligne"/>
        <w:jc w:val="center"/>
        <w:rPr>
          <w:rFonts w:ascii="Cambria" w:hAnsi="Cambria"/>
          <w:b/>
          <w:color w:val="1F497D"/>
          <w:sz w:val="36"/>
          <w:szCs w:val="36"/>
        </w:rPr>
      </w:pPr>
    </w:p>
    <w:p w14:paraId="68CFFC2C" w14:textId="77777777" w:rsidR="00A96E5F" w:rsidRPr="0061068A" w:rsidRDefault="00A96E5F" w:rsidP="00A96E5F">
      <w:pPr>
        <w:widowControl w:val="0"/>
        <w:pBdr>
          <w:top w:val="double" w:sz="6" w:space="2" w:color="auto" w:shadow="1"/>
          <w:left w:val="double" w:sz="6" w:space="3" w:color="auto" w:shadow="1"/>
          <w:bottom w:val="double" w:sz="6" w:space="1" w:color="auto" w:shadow="1"/>
          <w:right w:val="double" w:sz="6" w:space="2" w:color="auto" w:shadow="1"/>
        </w:pBdr>
        <w:overflowPunct w:val="0"/>
        <w:autoSpaceDE w:val="0"/>
        <w:autoSpaceDN w:val="0"/>
        <w:adjustRightInd w:val="0"/>
        <w:spacing w:after="0" w:line="240" w:lineRule="auto"/>
        <w:ind w:left="2268" w:right="2978"/>
        <w:jc w:val="center"/>
        <w:textAlignment w:val="baseline"/>
        <w:rPr>
          <w:rFonts w:ascii="Times New Roman" w:eastAsia="Times New Roman" w:hAnsi="Times New Roman"/>
          <w:sz w:val="20"/>
          <w:szCs w:val="20"/>
          <w:lang w:eastAsia="fr-FR"/>
        </w:rPr>
      </w:pPr>
      <w:r w:rsidRPr="0061068A">
        <w:rPr>
          <w:rFonts w:ascii="Times New Roman" w:eastAsia="Times New Roman" w:hAnsi="Times New Roman"/>
          <w:b/>
          <w:lang w:eastAsia="fr-FR"/>
        </w:rPr>
        <w:t>INDICE HARMONISE DES PRIX À LA</w:t>
      </w:r>
      <w:r w:rsidRPr="0061068A">
        <w:rPr>
          <w:rFonts w:ascii="Times New Roman" w:eastAsia="Times New Roman" w:hAnsi="Times New Roman"/>
          <w:b/>
          <w:sz w:val="24"/>
          <w:szCs w:val="20"/>
          <w:lang w:eastAsia="fr-FR"/>
        </w:rPr>
        <w:t xml:space="preserve"> </w:t>
      </w:r>
      <w:r w:rsidRPr="0061068A">
        <w:rPr>
          <w:rFonts w:ascii="Times New Roman" w:eastAsia="Times New Roman" w:hAnsi="Times New Roman"/>
          <w:b/>
          <w:lang w:eastAsia="fr-FR"/>
        </w:rPr>
        <w:t>CONSOMMATION</w:t>
      </w:r>
      <w:r w:rsidRPr="0061068A">
        <w:rPr>
          <w:rFonts w:ascii="Times New Roman" w:eastAsia="Times New Roman" w:hAnsi="Times New Roman"/>
          <w:sz w:val="24"/>
          <w:szCs w:val="20"/>
          <w:lang w:eastAsia="fr-FR"/>
        </w:rPr>
        <w:t xml:space="preserve"> </w:t>
      </w:r>
      <w:r w:rsidRPr="0061068A">
        <w:rPr>
          <w:rFonts w:ascii="Times New Roman" w:eastAsia="Times New Roman" w:hAnsi="Times New Roman"/>
          <w:b/>
          <w:sz w:val="20"/>
          <w:szCs w:val="20"/>
          <w:lang w:eastAsia="fr-FR"/>
        </w:rPr>
        <w:t xml:space="preserve"> </w:t>
      </w:r>
      <w:r w:rsidRPr="0061068A">
        <w:rPr>
          <w:rFonts w:ascii="Times New Roman" w:eastAsia="Times New Roman" w:hAnsi="Times New Roman"/>
          <w:b/>
          <w:lang w:eastAsia="fr-FR"/>
        </w:rPr>
        <w:t>(I.H.P.C.)</w:t>
      </w:r>
    </w:p>
    <w:p w14:paraId="0E0A1056" w14:textId="77777777" w:rsidR="00A96E5F" w:rsidRPr="0061068A" w:rsidRDefault="00A96E5F" w:rsidP="00A96E5F">
      <w:pPr>
        <w:widowControl w:val="0"/>
        <w:pBdr>
          <w:top w:val="double" w:sz="6" w:space="2" w:color="auto" w:shadow="1"/>
          <w:left w:val="double" w:sz="6" w:space="3" w:color="auto" w:shadow="1"/>
          <w:bottom w:val="double" w:sz="6" w:space="1" w:color="auto" w:shadow="1"/>
          <w:right w:val="double" w:sz="6" w:space="2" w:color="auto" w:shadow="1"/>
        </w:pBdr>
        <w:overflowPunct w:val="0"/>
        <w:autoSpaceDE w:val="0"/>
        <w:autoSpaceDN w:val="0"/>
        <w:adjustRightInd w:val="0"/>
        <w:spacing w:after="0" w:line="240" w:lineRule="auto"/>
        <w:ind w:left="2268" w:right="2978"/>
        <w:jc w:val="center"/>
        <w:textAlignment w:val="baseline"/>
        <w:rPr>
          <w:rFonts w:ascii="Times New Roman" w:eastAsia="Times New Roman" w:hAnsi="Times New Roman"/>
          <w:lang w:eastAsia="fr-FR"/>
        </w:rPr>
      </w:pPr>
      <w:r w:rsidRPr="0061068A">
        <w:rPr>
          <w:rFonts w:ascii="Times New Roman" w:eastAsia="Times New Roman" w:hAnsi="Times New Roman"/>
          <w:b/>
          <w:lang w:eastAsia="fr-FR"/>
        </w:rPr>
        <w:t xml:space="preserve">(Base 100 en 2014) </w:t>
      </w:r>
    </w:p>
    <w:p w14:paraId="33217063" w14:textId="77777777" w:rsidR="00A96E5F" w:rsidRPr="0061068A" w:rsidRDefault="00A96E5F" w:rsidP="00A96E5F">
      <w:pPr>
        <w:widowControl w:val="0"/>
        <w:pBdr>
          <w:top w:val="double" w:sz="6" w:space="2" w:color="auto" w:shadow="1"/>
          <w:left w:val="double" w:sz="6" w:space="3" w:color="auto" w:shadow="1"/>
          <w:bottom w:val="double" w:sz="6" w:space="1" w:color="auto" w:shadow="1"/>
          <w:right w:val="double" w:sz="6" w:space="2" w:color="auto" w:shadow="1"/>
        </w:pBdr>
        <w:overflowPunct w:val="0"/>
        <w:autoSpaceDE w:val="0"/>
        <w:autoSpaceDN w:val="0"/>
        <w:adjustRightInd w:val="0"/>
        <w:spacing w:after="0" w:line="240" w:lineRule="auto"/>
        <w:ind w:left="2268" w:right="2978"/>
        <w:jc w:val="center"/>
        <w:textAlignment w:val="baseline"/>
        <w:rPr>
          <w:rFonts w:ascii="Times New Roman" w:eastAsia="Times New Roman" w:hAnsi="Times New Roman"/>
          <w:b/>
          <w:lang w:eastAsia="fr-FR"/>
        </w:rPr>
      </w:pPr>
      <w:r w:rsidRPr="0061068A">
        <w:rPr>
          <w:rFonts w:ascii="Times New Roman" w:eastAsia="Times New Roman" w:hAnsi="Times New Roman"/>
          <w:b/>
          <w:sz w:val="24"/>
          <w:szCs w:val="24"/>
          <w:lang w:eastAsia="fr-FR"/>
        </w:rPr>
        <w:t>FLASH -</w:t>
      </w:r>
      <w:r w:rsidRPr="0061068A">
        <w:rPr>
          <w:rFonts w:ascii="Times New Roman" w:eastAsia="Times New Roman" w:hAnsi="Times New Roman"/>
          <w:b/>
          <w:lang w:eastAsia="fr-FR"/>
        </w:rPr>
        <w:t xml:space="preserve"> </w:t>
      </w:r>
      <w:r w:rsidR="00CF02BE">
        <w:rPr>
          <w:rFonts w:ascii="Times New Roman" w:eastAsia="Times New Roman" w:hAnsi="Times New Roman"/>
          <w:b/>
          <w:lang w:eastAsia="fr-FR"/>
        </w:rPr>
        <w:t>Février</w:t>
      </w:r>
      <w:r w:rsidRPr="0061068A">
        <w:rPr>
          <w:rFonts w:ascii="Times New Roman" w:eastAsia="Times New Roman" w:hAnsi="Times New Roman"/>
          <w:b/>
          <w:lang w:eastAsia="fr-FR"/>
        </w:rPr>
        <w:t xml:space="preserve"> 20</w:t>
      </w:r>
      <w:r w:rsidR="00CF02BE">
        <w:rPr>
          <w:rFonts w:ascii="Times New Roman" w:eastAsia="Times New Roman" w:hAnsi="Times New Roman"/>
          <w:b/>
          <w:lang w:eastAsia="fr-FR"/>
        </w:rPr>
        <w:t>23</w:t>
      </w:r>
    </w:p>
    <w:p w14:paraId="24E141D6" w14:textId="77777777" w:rsidR="00A96E5F" w:rsidRPr="0061068A" w:rsidRDefault="00A96E5F" w:rsidP="00A96E5F">
      <w:pPr>
        <w:widowControl w:val="0"/>
        <w:overflowPunct w:val="0"/>
        <w:autoSpaceDE w:val="0"/>
        <w:autoSpaceDN w:val="0"/>
        <w:adjustRightInd w:val="0"/>
        <w:spacing w:after="0" w:line="240" w:lineRule="auto"/>
        <w:jc w:val="both"/>
        <w:textAlignment w:val="baseline"/>
        <w:rPr>
          <w:rFonts w:ascii="Arial" w:eastAsia="Times New Roman" w:hAnsi="Arial" w:cs="Arial"/>
          <w:b/>
          <w:bCs/>
          <w:lang w:eastAsia="fr-FR"/>
        </w:rPr>
      </w:pPr>
    </w:p>
    <w:p w14:paraId="70A7673C" w14:textId="77777777" w:rsidR="00A96E5F" w:rsidRPr="0061068A" w:rsidRDefault="00A96E5F" w:rsidP="00A96E5F">
      <w:pPr>
        <w:widowControl w:val="0"/>
        <w:pBdr>
          <w:top w:val="thinThickSmallGap" w:sz="24" w:space="1" w:color="auto"/>
          <w:left w:val="thinThickSmallGap" w:sz="24" w:space="4" w:color="auto"/>
          <w:bottom w:val="thickThinSmallGap" w:sz="24" w:space="1" w:color="auto"/>
          <w:right w:val="thickThinSmallGap" w:sz="24" w:space="4" w:color="auto"/>
        </w:pBdr>
        <w:overflowPunct w:val="0"/>
        <w:autoSpaceDE w:val="0"/>
        <w:autoSpaceDN w:val="0"/>
        <w:adjustRightInd w:val="0"/>
        <w:spacing w:after="0" w:line="240" w:lineRule="auto"/>
        <w:jc w:val="both"/>
        <w:textAlignment w:val="baseline"/>
        <w:rPr>
          <w:rFonts w:ascii="Arial" w:eastAsia="Times New Roman" w:hAnsi="Arial" w:cs="Arial"/>
          <w:b/>
          <w:bCs/>
          <w:sz w:val="18"/>
          <w:szCs w:val="18"/>
          <w:lang w:eastAsia="fr-FR"/>
        </w:rPr>
      </w:pPr>
      <w:r w:rsidRPr="0061068A">
        <w:rPr>
          <w:rFonts w:ascii="Arial" w:eastAsia="Times New Roman" w:hAnsi="Arial" w:cs="Arial"/>
          <w:b/>
          <w:bCs/>
          <w:sz w:val="18"/>
          <w:szCs w:val="18"/>
          <w:lang w:eastAsia="fr-FR"/>
        </w:rPr>
        <w:t xml:space="preserve">L’Agence </w:t>
      </w:r>
      <w:r>
        <w:rPr>
          <w:rFonts w:ascii="Arial" w:eastAsia="Times New Roman" w:hAnsi="Arial" w:cs="Arial"/>
          <w:b/>
          <w:bCs/>
          <w:sz w:val="18"/>
          <w:szCs w:val="18"/>
          <w:lang w:eastAsia="fr-FR"/>
        </w:rPr>
        <w:t>n</w:t>
      </w:r>
      <w:r w:rsidRPr="0061068A">
        <w:rPr>
          <w:rFonts w:ascii="Arial" w:eastAsia="Times New Roman" w:hAnsi="Arial" w:cs="Arial"/>
          <w:b/>
          <w:bCs/>
          <w:sz w:val="18"/>
          <w:szCs w:val="18"/>
          <w:lang w:eastAsia="fr-FR"/>
        </w:rPr>
        <w:t>ationale de la Statistique et de la Démographie (ANSD) publie la note mensuelle « flash » de l’Indice Harmonisé des Prix à la Consommation (IHPC). Cet indice base 100 en 2014, mesure l’évolution des prix à la consommation au plan national. Les indices sont de type Laspeyres et la principale source identifiée pour les pondérations est la deuxième Enquête de Suivi de la Pauvreté au Sénégal (ESPS-II) de 2011. Le champ couvert par l’indice harmonisé des prix à la consommation est l’ensemble du pays découpé en zones écologiques/économiques, à savoir le Sud, le Nord, le Centre Nord, l’Ouest et le Centre Sud. Ces cinq zones sont représentées respectivement par Kolda, Saint Louis, Diourbel, Dakar et Kaolack. La collecte des prix se fait dans les zones urbaines et rurales</w:t>
      </w:r>
      <w:r>
        <w:rPr>
          <w:rFonts w:ascii="Arial" w:eastAsia="Times New Roman" w:hAnsi="Arial" w:cs="Arial"/>
          <w:b/>
          <w:bCs/>
          <w:sz w:val="18"/>
          <w:szCs w:val="18"/>
          <w:lang w:eastAsia="fr-FR"/>
        </w:rPr>
        <w:t xml:space="preserve"> de ces régions. L’IHPC</w:t>
      </w:r>
      <w:r w:rsidRPr="0061068A">
        <w:rPr>
          <w:rFonts w:ascii="Arial" w:eastAsia="Times New Roman" w:hAnsi="Arial" w:cs="Arial"/>
          <w:b/>
          <w:bCs/>
          <w:sz w:val="18"/>
          <w:szCs w:val="18"/>
          <w:lang w:eastAsia="fr-FR"/>
        </w:rPr>
        <w:t xml:space="preserve"> est publié selon la classification des fonctions de consommation des ménages à 12 fonctions (COICOP</w:t>
      </w:r>
      <w:r w:rsidRPr="0061068A">
        <w:rPr>
          <w:rFonts w:ascii="Arial" w:eastAsia="Times New Roman" w:hAnsi="Arial" w:cs="Arial"/>
          <w:b/>
          <w:bCs/>
          <w:sz w:val="18"/>
          <w:szCs w:val="18"/>
          <w:vertAlign w:val="superscript"/>
          <w:lang w:eastAsia="fr-FR"/>
        </w:rPr>
        <w:footnoteReference w:id="1"/>
      </w:r>
      <w:r>
        <w:rPr>
          <w:rFonts w:ascii="Arial" w:eastAsia="Times New Roman" w:hAnsi="Arial" w:cs="Arial"/>
          <w:b/>
          <w:bCs/>
          <w:sz w:val="18"/>
          <w:szCs w:val="18"/>
          <w:lang w:eastAsia="fr-FR"/>
        </w:rPr>
        <w:t>)</w:t>
      </w:r>
      <w:r w:rsidRPr="0061068A">
        <w:rPr>
          <w:rFonts w:ascii="Arial" w:eastAsia="Times New Roman" w:hAnsi="Arial" w:cs="Arial"/>
          <w:b/>
          <w:bCs/>
          <w:sz w:val="18"/>
          <w:szCs w:val="18"/>
          <w:lang w:eastAsia="fr-FR"/>
        </w:rPr>
        <w:t>. La note « flash » est publiée au plus tard 10 jours après le mois sous revue. Elle est suivie d’une analyse détaillée qui sera publiée 15 jours après celle-ci.</w:t>
      </w:r>
    </w:p>
    <w:p w14:paraId="61306759" w14:textId="77777777" w:rsidR="00A96E5F" w:rsidRPr="0061068A" w:rsidRDefault="00A96E5F" w:rsidP="00B23D82">
      <w:pPr>
        <w:widowControl w:val="0"/>
        <w:overflowPunct w:val="0"/>
        <w:autoSpaceDE w:val="0"/>
        <w:autoSpaceDN w:val="0"/>
        <w:adjustRightInd w:val="0"/>
        <w:spacing w:after="0" w:line="240" w:lineRule="auto"/>
        <w:jc w:val="both"/>
        <w:textAlignment w:val="baseline"/>
        <w:rPr>
          <w:rFonts w:ascii="Arial" w:eastAsia="Times New Roman" w:hAnsi="Arial" w:cs="Arial"/>
          <w:b/>
          <w:bCs/>
          <w:lang w:eastAsia="fr-FR"/>
        </w:rPr>
      </w:pPr>
    </w:p>
    <w:p w14:paraId="18F9B998" w14:textId="77777777" w:rsidR="00A96E5F" w:rsidRPr="009C3D4B" w:rsidRDefault="00714592" w:rsidP="00467C2E">
      <w:pPr>
        <w:spacing w:after="120"/>
        <w:ind w:right="1"/>
        <w:jc w:val="both"/>
        <w:rPr>
          <w:rFonts w:ascii="Arial" w:hAnsi="Arial" w:cs="Arial"/>
          <w:b/>
          <w:bCs/>
          <w:sz w:val="18"/>
          <w:szCs w:val="18"/>
        </w:rPr>
      </w:pPr>
      <w:r>
        <w:rPr>
          <w:rFonts w:ascii="Arial" w:hAnsi="Arial" w:cs="Arial"/>
          <w:bCs/>
          <w:sz w:val="18"/>
          <w:szCs w:val="18"/>
        </w:rPr>
        <w:t xml:space="preserve">Les prix à la consommation </w:t>
      </w:r>
      <w:r w:rsidR="00A96E5F" w:rsidRPr="004E2938">
        <w:rPr>
          <w:rFonts w:ascii="Arial" w:hAnsi="Arial" w:cs="Arial"/>
          <w:bCs/>
          <w:sz w:val="18"/>
          <w:szCs w:val="18"/>
        </w:rPr>
        <w:t xml:space="preserve">du mois </w:t>
      </w:r>
      <w:r w:rsidR="00FD2169">
        <w:rPr>
          <w:rFonts w:ascii="Arial" w:hAnsi="Arial" w:cs="Arial"/>
          <w:bCs/>
          <w:sz w:val="18"/>
          <w:szCs w:val="18"/>
        </w:rPr>
        <w:t xml:space="preserve">de </w:t>
      </w:r>
      <w:r w:rsidR="00DA6532">
        <w:rPr>
          <w:rFonts w:ascii="Arial" w:hAnsi="Arial" w:cs="Arial"/>
          <w:bCs/>
          <w:sz w:val="18"/>
          <w:szCs w:val="18"/>
        </w:rPr>
        <w:t>février</w:t>
      </w:r>
      <w:r w:rsidR="00E8073E">
        <w:rPr>
          <w:rFonts w:ascii="Arial" w:hAnsi="Arial" w:cs="Arial"/>
          <w:bCs/>
          <w:sz w:val="18"/>
          <w:szCs w:val="18"/>
        </w:rPr>
        <w:t xml:space="preserve"> 202</w:t>
      </w:r>
      <w:r w:rsidR="00DA6532">
        <w:rPr>
          <w:rFonts w:ascii="Arial" w:hAnsi="Arial" w:cs="Arial"/>
          <w:bCs/>
          <w:sz w:val="18"/>
          <w:szCs w:val="18"/>
        </w:rPr>
        <w:t>3</w:t>
      </w:r>
      <w:r w:rsidR="007010B1">
        <w:rPr>
          <w:rFonts w:ascii="Arial" w:hAnsi="Arial" w:cs="Arial"/>
          <w:bCs/>
          <w:sz w:val="18"/>
          <w:szCs w:val="18"/>
        </w:rPr>
        <w:t xml:space="preserve"> </w:t>
      </w:r>
      <w:r w:rsidR="00DA6532">
        <w:rPr>
          <w:rFonts w:ascii="Arial" w:hAnsi="Arial" w:cs="Arial"/>
          <w:bCs/>
          <w:sz w:val="18"/>
          <w:szCs w:val="18"/>
        </w:rPr>
        <w:t>ont augmenté</w:t>
      </w:r>
      <w:r w:rsidR="00FD2169">
        <w:rPr>
          <w:rFonts w:ascii="Arial" w:hAnsi="Arial" w:cs="Arial"/>
          <w:bCs/>
          <w:sz w:val="18"/>
          <w:szCs w:val="18"/>
        </w:rPr>
        <w:t xml:space="preserve"> </w:t>
      </w:r>
      <w:r w:rsidR="00E96591">
        <w:rPr>
          <w:rFonts w:ascii="Arial" w:hAnsi="Arial" w:cs="Arial"/>
          <w:bCs/>
          <w:sz w:val="18"/>
          <w:szCs w:val="18"/>
        </w:rPr>
        <w:t xml:space="preserve">de </w:t>
      </w:r>
      <w:r w:rsidR="00DA6532">
        <w:rPr>
          <w:rFonts w:ascii="Arial" w:hAnsi="Arial" w:cs="Arial"/>
          <w:bCs/>
          <w:sz w:val="18"/>
          <w:szCs w:val="18"/>
        </w:rPr>
        <w:t>0</w:t>
      </w:r>
      <w:r w:rsidR="00A96E5F" w:rsidRPr="004E2938">
        <w:rPr>
          <w:rFonts w:ascii="Arial" w:hAnsi="Arial" w:cs="Arial"/>
          <w:bCs/>
          <w:sz w:val="18"/>
          <w:szCs w:val="18"/>
        </w:rPr>
        <w:t>,</w:t>
      </w:r>
      <w:r w:rsidR="00DA6532">
        <w:rPr>
          <w:rFonts w:ascii="Arial" w:hAnsi="Arial" w:cs="Arial"/>
          <w:bCs/>
          <w:sz w:val="18"/>
          <w:szCs w:val="18"/>
        </w:rPr>
        <w:t>4</w:t>
      </w:r>
      <w:r w:rsidR="00A96E5F" w:rsidRPr="004E2938">
        <w:rPr>
          <w:rFonts w:ascii="Arial" w:hAnsi="Arial" w:cs="Arial"/>
          <w:bCs/>
          <w:sz w:val="18"/>
          <w:szCs w:val="18"/>
        </w:rPr>
        <w:t>%</w:t>
      </w:r>
      <w:r w:rsidR="00737740">
        <w:rPr>
          <w:rFonts w:ascii="Arial" w:hAnsi="Arial" w:cs="Arial"/>
          <w:bCs/>
          <w:sz w:val="18"/>
          <w:szCs w:val="18"/>
        </w:rPr>
        <w:t>,</w:t>
      </w:r>
      <w:r w:rsidR="00A96E5F" w:rsidRPr="004E2938">
        <w:rPr>
          <w:rFonts w:ascii="Arial" w:hAnsi="Arial" w:cs="Arial"/>
          <w:bCs/>
          <w:sz w:val="18"/>
          <w:szCs w:val="18"/>
        </w:rPr>
        <w:t xml:space="preserve"> comparé</w:t>
      </w:r>
      <w:r>
        <w:rPr>
          <w:rFonts w:ascii="Arial" w:hAnsi="Arial" w:cs="Arial"/>
          <w:bCs/>
          <w:sz w:val="18"/>
          <w:szCs w:val="18"/>
        </w:rPr>
        <w:t>s</w:t>
      </w:r>
      <w:r w:rsidR="00A96E5F" w:rsidRPr="004E2938">
        <w:rPr>
          <w:rFonts w:ascii="Arial" w:hAnsi="Arial" w:cs="Arial"/>
          <w:bCs/>
          <w:sz w:val="18"/>
          <w:szCs w:val="18"/>
        </w:rPr>
        <w:t xml:space="preserve"> à </w:t>
      </w:r>
      <w:r>
        <w:rPr>
          <w:rFonts w:ascii="Arial" w:hAnsi="Arial" w:cs="Arial"/>
          <w:bCs/>
          <w:sz w:val="18"/>
          <w:szCs w:val="18"/>
        </w:rPr>
        <w:t>ceux</w:t>
      </w:r>
      <w:r w:rsidR="00A96E5F" w:rsidRPr="004E2938">
        <w:rPr>
          <w:rFonts w:ascii="Arial" w:hAnsi="Arial" w:cs="Arial"/>
          <w:bCs/>
          <w:sz w:val="18"/>
          <w:szCs w:val="18"/>
        </w:rPr>
        <w:t xml:space="preserve"> du mois précédent. </w:t>
      </w:r>
      <w:r w:rsidR="00A96E5F" w:rsidRPr="00960D2E">
        <w:rPr>
          <w:rFonts w:ascii="Arial" w:hAnsi="Arial" w:cs="Arial"/>
          <w:b/>
          <w:bCs/>
          <w:sz w:val="18"/>
          <w:szCs w:val="18"/>
        </w:rPr>
        <w:t xml:space="preserve">Cette </w:t>
      </w:r>
      <w:r w:rsidR="00FD2169">
        <w:rPr>
          <w:rFonts w:ascii="Arial" w:hAnsi="Arial" w:cs="Arial"/>
          <w:b/>
          <w:bCs/>
          <w:sz w:val="18"/>
          <w:szCs w:val="18"/>
        </w:rPr>
        <w:t>évolution résulte</w:t>
      </w:r>
      <w:r w:rsidR="00E96591">
        <w:rPr>
          <w:rFonts w:ascii="Arial" w:hAnsi="Arial" w:cs="Arial"/>
          <w:b/>
          <w:bCs/>
          <w:sz w:val="18"/>
          <w:szCs w:val="18"/>
        </w:rPr>
        <w:t>,</w:t>
      </w:r>
      <w:r w:rsidR="00FD2169">
        <w:rPr>
          <w:rFonts w:ascii="Arial" w:hAnsi="Arial" w:cs="Arial"/>
          <w:b/>
          <w:bCs/>
          <w:sz w:val="18"/>
          <w:szCs w:val="18"/>
        </w:rPr>
        <w:t xml:space="preserve"> </w:t>
      </w:r>
      <w:r w:rsidR="00A96E5F">
        <w:rPr>
          <w:rFonts w:ascii="Arial" w:hAnsi="Arial" w:cs="Arial"/>
          <w:b/>
          <w:bCs/>
          <w:sz w:val="18"/>
          <w:szCs w:val="18"/>
        </w:rPr>
        <w:t>principalement</w:t>
      </w:r>
      <w:r w:rsidR="00E96591">
        <w:rPr>
          <w:rFonts w:ascii="Arial" w:hAnsi="Arial" w:cs="Arial"/>
          <w:b/>
          <w:bCs/>
          <w:sz w:val="18"/>
          <w:szCs w:val="18"/>
        </w:rPr>
        <w:t>,</w:t>
      </w:r>
      <w:r w:rsidR="00A96E5F">
        <w:rPr>
          <w:rFonts w:ascii="Arial" w:hAnsi="Arial" w:cs="Arial"/>
          <w:b/>
          <w:bCs/>
          <w:sz w:val="18"/>
          <w:szCs w:val="18"/>
        </w:rPr>
        <w:t xml:space="preserve"> </w:t>
      </w:r>
      <w:r w:rsidR="00310B8E">
        <w:rPr>
          <w:rFonts w:ascii="Arial" w:hAnsi="Arial" w:cs="Arial"/>
          <w:b/>
          <w:bCs/>
          <w:sz w:val="18"/>
          <w:szCs w:val="18"/>
        </w:rPr>
        <w:t>de la hau</w:t>
      </w:r>
      <w:r w:rsidR="000A2C0C">
        <w:rPr>
          <w:rFonts w:ascii="Arial" w:hAnsi="Arial" w:cs="Arial"/>
          <w:b/>
          <w:bCs/>
          <w:sz w:val="18"/>
          <w:szCs w:val="18"/>
        </w:rPr>
        <w:t xml:space="preserve">sse des prix des </w:t>
      </w:r>
      <w:r w:rsidR="00FD2169">
        <w:rPr>
          <w:rFonts w:ascii="Arial" w:hAnsi="Arial" w:cs="Arial"/>
          <w:b/>
          <w:bCs/>
          <w:sz w:val="18"/>
          <w:szCs w:val="18"/>
        </w:rPr>
        <w:t>« </w:t>
      </w:r>
      <w:r w:rsidR="000A2C0C" w:rsidRPr="00960D2E">
        <w:rPr>
          <w:rFonts w:ascii="Arial" w:hAnsi="Arial" w:cs="Arial"/>
          <w:b/>
          <w:bCs/>
          <w:sz w:val="18"/>
          <w:szCs w:val="18"/>
        </w:rPr>
        <w:t>produits aliment</w:t>
      </w:r>
      <w:r w:rsidR="000A2C0C" w:rsidRPr="000F50AE">
        <w:rPr>
          <w:rFonts w:ascii="Arial" w:hAnsi="Arial" w:cs="Arial"/>
          <w:b/>
          <w:bCs/>
          <w:sz w:val="18"/>
          <w:szCs w:val="18"/>
        </w:rPr>
        <w:t>aires et boissons non alcoolisées</w:t>
      </w:r>
      <w:r w:rsidR="000A2C0C">
        <w:rPr>
          <w:rFonts w:ascii="Arial" w:hAnsi="Arial" w:cs="Arial"/>
          <w:b/>
          <w:bCs/>
          <w:sz w:val="18"/>
          <w:szCs w:val="18"/>
        </w:rPr>
        <w:t xml:space="preserve"> </w:t>
      </w:r>
      <w:r w:rsidR="00FD2169">
        <w:rPr>
          <w:rFonts w:ascii="Arial" w:hAnsi="Arial" w:cs="Arial"/>
          <w:b/>
          <w:bCs/>
          <w:sz w:val="18"/>
          <w:szCs w:val="18"/>
        </w:rPr>
        <w:t xml:space="preserve">» </w:t>
      </w:r>
      <w:r w:rsidR="00FD2169" w:rsidRPr="000F50AE">
        <w:rPr>
          <w:rFonts w:ascii="Arial" w:hAnsi="Arial" w:cs="Arial"/>
          <w:b/>
          <w:bCs/>
          <w:sz w:val="18"/>
          <w:szCs w:val="18"/>
        </w:rPr>
        <w:t>(</w:t>
      </w:r>
      <w:r w:rsidR="00DA6532">
        <w:rPr>
          <w:rFonts w:ascii="Arial" w:hAnsi="Arial" w:cs="Arial"/>
          <w:b/>
          <w:bCs/>
          <w:sz w:val="18"/>
          <w:szCs w:val="18"/>
        </w:rPr>
        <w:t>+0</w:t>
      </w:r>
      <w:r w:rsidR="00FD2169" w:rsidRPr="000F50AE">
        <w:rPr>
          <w:rFonts w:ascii="Arial" w:hAnsi="Arial" w:cs="Arial"/>
          <w:b/>
          <w:bCs/>
          <w:sz w:val="18"/>
          <w:szCs w:val="18"/>
        </w:rPr>
        <w:t>,</w:t>
      </w:r>
      <w:r w:rsidR="00DA6532">
        <w:rPr>
          <w:rFonts w:ascii="Arial" w:hAnsi="Arial" w:cs="Arial"/>
          <w:b/>
          <w:bCs/>
          <w:sz w:val="18"/>
          <w:szCs w:val="18"/>
        </w:rPr>
        <w:t>5</w:t>
      </w:r>
      <w:r w:rsidR="00FD2169">
        <w:rPr>
          <w:rFonts w:ascii="Arial" w:hAnsi="Arial" w:cs="Arial"/>
          <w:b/>
          <w:bCs/>
          <w:sz w:val="18"/>
          <w:szCs w:val="18"/>
        </w:rPr>
        <w:t>%)</w:t>
      </w:r>
      <w:r w:rsidR="000A2C0C">
        <w:rPr>
          <w:rFonts w:ascii="Arial" w:hAnsi="Arial" w:cs="Arial"/>
          <w:b/>
          <w:bCs/>
          <w:sz w:val="18"/>
          <w:szCs w:val="18"/>
        </w:rPr>
        <w:t xml:space="preserve">, </w:t>
      </w:r>
      <w:r w:rsidR="00DA6532">
        <w:rPr>
          <w:rFonts w:ascii="Arial" w:hAnsi="Arial" w:cs="Arial"/>
          <w:b/>
          <w:bCs/>
          <w:sz w:val="18"/>
          <w:szCs w:val="18"/>
        </w:rPr>
        <w:t xml:space="preserve">des services de « transports » </w:t>
      </w:r>
      <w:r w:rsidR="00DA6532" w:rsidRPr="000F50AE">
        <w:rPr>
          <w:rFonts w:ascii="Arial" w:hAnsi="Arial" w:cs="Arial"/>
          <w:b/>
          <w:bCs/>
          <w:sz w:val="18"/>
          <w:szCs w:val="18"/>
        </w:rPr>
        <w:t>(</w:t>
      </w:r>
      <w:r w:rsidR="00DA6532">
        <w:rPr>
          <w:rFonts w:ascii="Arial" w:hAnsi="Arial" w:cs="Arial"/>
          <w:b/>
          <w:bCs/>
          <w:sz w:val="18"/>
          <w:szCs w:val="18"/>
        </w:rPr>
        <w:t>+0</w:t>
      </w:r>
      <w:r w:rsidR="00DA6532" w:rsidRPr="000F50AE">
        <w:rPr>
          <w:rFonts w:ascii="Arial" w:hAnsi="Arial" w:cs="Arial"/>
          <w:b/>
          <w:bCs/>
          <w:sz w:val="18"/>
          <w:szCs w:val="18"/>
        </w:rPr>
        <w:t>,</w:t>
      </w:r>
      <w:r w:rsidR="00310B8E">
        <w:rPr>
          <w:rFonts w:ascii="Arial" w:hAnsi="Arial" w:cs="Arial"/>
          <w:b/>
          <w:bCs/>
          <w:sz w:val="18"/>
          <w:szCs w:val="18"/>
        </w:rPr>
        <w:t>5</w:t>
      </w:r>
      <w:r w:rsidR="00DA6532">
        <w:rPr>
          <w:rFonts w:ascii="Arial" w:hAnsi="Arial" w:cs="Arial"/>
          <w:b/>
          <w:bCs/>
          <w:sz w:val="18"/>
          <w:szCs w:val="18"/>
        </w:rPr>
        <w:t>%) et des « m</w:t>
      </w:r>
      <w:r w:rsidR="00DA6532" w:rsidRPr="00DA6532">
        <w:rPr>
          <w:rFonts w:ascii="Arial" w:hAnsi="Arial" w:cs="Arial"/>
          <w:b/>
          <w:bCs/>
          <w:sz w:val="18"/>
          <w:szCs w:val="18"/>
        </w:rPr>
        <w:t>eubles, articles de ménage et entretien courant du foyer</w:t>
      </w:r>
      <w:r w:rsidR="00DA6532">
        <w:rPr>
          <w:rFonts w:ascii="Arial" w:hAnsi="Arial" w:cs="Arial"/>
          <w:b/>
          <w:bCs/>
          <w:sz w:val="18"/>
          <w:szCs w:val="18"/>
        </w:rPr>
        <w:t xml:space="preserve"> » </w:t>
      </w:r>
      <w:r w:rsidR="00DA6532" w:rsidRPr="000F50AE">
        <w:rPr>
          <w:rFonts w:ascii="Arial" w:hAnsi="Arial" w:cs="Arial"/>
          <w:b/>
          <w:bCs/>
          <w:sz w:val="18"/>
          <w:szCs w:val="18"/>
        </w:rPr>
        <w:t>(</w:t>
      </w:r>
      <w:r w:rsidR="00DA6532">
        <w:rPr>
          <w:rFonts w:ascii="Arial" w:hAnsi="Arial" w:cs="Arial"/>
          <w:b/>
          <w:bCs/>
          <w:sz w:val="18"/>
          <w:szCs w:val="18"/>
        </w:rPr>
        <w:t>+0</w:t>
      </w:r>
      <w:r w:rsidR="00DA6532" w:rsidRPr="000F50AE">
        <w:rPr>
          <w:rFonts w:ascii="Arial" w:hAnsi="Arial" w:cs="Arial"/>
          <w:b/>
          <w:bCs/>
          <w:sz w:val="18"/>
          <w:szCs w:val="18"/>
        </w:rPr>
        <w:t>,</w:t>
      </w:r>
      <w:r w:rsidR="00310B8E">
        <w:rPr>
          <w:rFonts w:ascii="Arial" w:hAnsi="Arial" w:cs="Arial"/>
          <w:b/>
          <w:bCs/>
          <w:sz w:val="18"/>
          <w:szCs w:val="18"/>
        </w:rPr>
        <w:t>5</w:t>
      </w:r>
      <w:r w:rsidR="00DA6532">
        <w:rPr>
          <w:rFonts w:ascii="Arial" w:hAnsi="Arial" w:cs="Arial"/>
          <w:b/>
          <w:bCs/>
          <w:sz w:val="18"/>
          <w:szCs w:val="18"/>
        </w:rPr>
        <w:t>%)</w:t>
      </w:r>
      <w:r w:rsidR="00B21780">
        <w:rPr>
          <w:rFonts w:ascii="Arial" w:hAnsi="Arial" w:cs="Arial"/>
          <w:b/>
          <w:bCs/>
          <w:sz w:val="18"/>
          <w:szCs w:val="18"/>
        </w:rPr>
        <w:t xml:space="preserve">. </w:t>
      </w:r>
      <w:r w:rsidR="00E96591">
        <w:rPr>
          <w:rFonts w:ascii="Arial" w:hAnsi="Arial" w:cs="Arial"/>
          <w:b/>
          <w:bCs/>
          <w:sz w:val="18"/>
          <w:szCs w:val="18"/>
        </w:rPr>
        <w:t>De même, l’accroissement</w:t>
      </w:r>
      <w:r w:rsidR="00DA6532">
        <w:rPr>
          <w:rFonts w:ascii="Arial" w:hAnsi="Arial" w:cs="Arial"/>
          <w:b/>
          <w:bCs/>
          <w:sz w:val="18"/>
          <w:szCs w:val="18"/>
        </w:rPr>
        <w:t xml:space="preserve"> de 0,4% des prix des services de </w:t>
      </w:r>
      <w:r w:rsidR="00A96E5F" w:rsidRPr="00960D2E">
        <w:rPr>
          <w:rFonts w:ascii="Arial" w:hAnsi="Arial" w:cs="Arial"/>
          <w:b/>
          <w:bCs/>
          <w:sz w:val="18"/>
          <w:szCs w:val="18"/>
        </w:rPr>
        <w:t>« </w:t>
      </w:r>
      <w:r w:rsidR="00DA6532">
        <w:rPr>
          <w:rFonts w:ascii="Arial" w:hAnsi="Arial" w:cs="Arial"/>
          <w:b/>
          <w:bCs/>
          <w:sz w:val="18"/>
          <w:szCs w:val="18"/>
        </w:rPr>
        <w:t>restaurants et h</w:t>
      </w:r>
      <w:r w:rsidR="00DA6532" w:rsidRPr="00DA6532">
        <w:rPr>
          <w:rFonts w:ascii="Arial" w:hAnsi="Arial" w:cs="Arial"/>
          <w:b/>
          <w:bCs/>
          <w:sz w:val="18"/>
          <w:szCs w:val="18"/>
        </w:rPr>
        <w:t>ôtels</w:t>
      </w:r>
      <w:r w:rsidR="00DA6532">
        <w:rPr>
          <w:rFonts w:ascii="Arial" w:hAnsi="Arial" w:cs="Arial"/>
          <w:b/>
          <w:bCs/>
          <w:sz w:val="18"/>
          <w:szCs w:val="18"/>
        </w:rPr>
        <w:t xml:space="preserve"> </w:t>
      </w:r>
      <w:r w:rsidR="00A96E5F" w:rsidRPr="000F50AE">
        <w:rPr>
          <w:rFonts w:ascii="Arial" w:hAnsi="Arial" w:cs="Arial"/>
          <w:b/>
          <w:bCs/>
          <w:sz w:val="18"/>
          <w:szCs w:val="18"/>
        </w:rPr>
        <w:t xml:space="preserve">» </w:t>
      </w:r>
      <w:r w:rsidR="000A2C0C">
        <w:rPr>
          <w:rFonts w:ascii="Arial" w:hAnsi="Arial" w:cs="Arial"/>
          <w:b/>
          <w:bCs/>
          <w:sz w:val="18"/>
          <w:szCs w:val="18"/>
        </w:rPr>
        <w:t>ainsi que des « b</w:t>
      </w:r>
      <w:r w:rsidR="000A2C0C" w:rsidRPr="000A2C0C">
        <w:rPr>
          <w:rFonts w:ascii="Arial" w:hAnsi="Arial" w:cs="Arial"/>
          <w:b/>
          <w:bCs/>
          <w:sz w:val="18"/>
          <w:szCs w:val="18"/>
        </w:rPr>
        <w:t>iens et services divers</w:t>
      </w:r>
      <w:r w:rsidR="000A2C0C">
        <w:rPr>
          <w:rFonts w:ascii="Arial" w:hAnsi="Arial" w:cs="Arial"/>
          <w:b/>
          <w:bCs/>
          <w:sz w:val="18"/>
          <w:szCs w:val="18"/>
        </w:rPr>
        <w:t xml:space="preserve"> » </w:t>
      </w:r>
      <w:r w:rsidR="00DA6532">
        <w:rPr>
          <w:rFonts w:ascii="Arial" w:hAnsi="Arial" w:cs="Arial"/>
          <w:b/>
          <w:bCs/>
          <w:sz w:val="18"/>
          <w:szCs w:val="18"/>
        </w:rPr>
        <w:t>a concouru</w:t>
      </w:r>
      <w:r w:rsidR="001333BF">
        <w:rPr>
          <w:rFonts w:ascii="Arial" w:hAnsi="Arial" w:cs="Arial"/>
          <w:b/>
          <w:bCs/>
          <w:sz w:val="18"/>
          <w:szCs w:val="18"/>
        </w:rPr>
        <w:t xml:space="preserve"> </w:t>
      </w:r>
      <w:r w:rsidR="00DA6532">
        <w:rPr>
          <w:rFonts w:ascii="Arial" w:hAnsi="Arial" w:cs="Arial"/>
          <w:b/>
          <w:bCs/>
          <w:sz w:val="18"/>
          <w:szCs w:val="18"/>
        </w:rPr>
        <w:t>à cette tendance haussière</w:t>
      </w:r>
      <w:r w:rsidR="00B21780">
        <w:rPr>
          <w:rFonts w:ascii="Arial" w:hAnsi="Arial" w:cs="Arial"/>
          <w:b/>
          <w:bCs/>
          <w:sz w:val="18"/>
          <w:szCs w:val="18"/>
        </w:rPr>
        <w:t xml:space="preserve">. </w:t>
      </w:r>
      <w:r w:rsidR="00F17F57" w:rsidRPr="00F17F57">
        <w:rPr>
          <w:rFonts w:ascii="Arial" w:hAnsi="Arial" w:cs="Arial"/>
          <w:bCs/>
          <w:sz w:val="18"/>
          <w:szCs w:val="18"/>
        </w:rPr>
        <w:t>P</w:t>
      </w:r>
      <w:r w:rsidR="00040AB1">
        <w:rPr>
          <w:rFonts w:ascii="Arial" w:hAnsi="Arial" w:cs="Arial"/>
          <w:bCs/>
          <w:sz w:val="18"/>
          <w:szCs w:val="18"/>
        </w:rPr>
        <w:t xml:space="preserve">ar rapport au mois de </w:t>
      </w:r>
      <w:r w:rsidR="00F17F57">
        <w:rPr>
          <w:rFonts w:ascii="Arial" w:hAnsi="Arial" w:cs="Arial"/>
          <w:bCs/>
          <w:sz w:val="18"/>
          <w:szCs w:val="18"/>
        </w:rPr>
        <w:t>février</w:t>
      </w:r>
      <w:r w:rsidR="00040AB1">
        <w:rPr>
          <w:rFonts w:ascii="Arial" w:hAnsi="Arial" w:cs="Arial"/>
          <w:bCs/>
          <w:sz w:val="18"/>
          <w:szCs w:val="18"/>
        </w:rPr>
        <w:t xml:space="preserve"> 202</w:t>
      </w:r>
      <w:r w:rsidR="00F17F57">
        <w:rPr>
          <w:rFonts w:ascii="Arial" w:hAnsi="Arial" w:cs="Arial"/>
          <w:bCs/>
          <w:sz w:val="18"/>
          <w:szCs w:val="18"/>
        </w:rPr>
        <w:t>2</w:t>
      </w:r>
      <w:r w:rsidR="00040AB1" w:rsidRPr="00DB6D12">
        <w:rPr>
          <w:rFonts w:ascii="Arial" w:hAnsi="Arial" w:cs="Arial"/>
          <w:bCs/>
          <w:sz w:val="18"/>
          <w:szCs w:val="18"/>
        </w:rPr>
        <w:t xml:space="preserve">, les prix à la consommation </w:t>
      </w:r>
      <w:r w:rsidR="00040AB1">
        <w:rPr>
          <w:rFonts w:ascii="Arial" w:hAnsi="Arial" w:cs="Arial"/>
          <w:bCs/>
          <w:sz w:val="18"/>
          <w:szCs w:val="18"/>
        </w:rPr>
        <w:t xml:space="preserve">se sont accrus de </w:t>
      </w:r>
      <w:r w:rsidR="00F17F57">
        <w:rPr>
          <w:rFonts w:ascii="Arial" w:hAnsi="Arial" w:cs="Arial"/>
          <w:bCs/>
          <w:sz w:val="18"/>
          <w:szCs w:val="18"/>
        </w:rPr>
        <w:t>9</w:t>
      </w:r>
      <w:r w:rsidR="00040AB1" w:rsidRPr="00DB6D12">
        <w:rPr>
          <w:rFonts w:ascii="Arial" w:hAnsi="Arial" w:cs="Arial"/>
          <w:bCs/>
          <w:sz w:val="18"/>
          <w:szCs w:val="18"/>
        </w:rPr>
        <w:t>,</w:t>
      </w:r>
      <w:r w:rsidR="00F17F57">
        <w:rPr>
          <w:rFonts w:ascii="Arial" w:hAnsi="Arial" w:cs="Arial"/>
          <w:bCs/>
          <w:sz w:val="18"/>
          <w:szCs w:val="18"/>
        </w:rPr>
        <w:t>4</w:t>
      </w:r>
      <w:r w:rsidR="00040AB1" w:rsidRPr="00DB6D12">
        <w:rPr>
          <w:rFonts w:ascii="Arial" w:hAnsi="Arial" w:cs="Arial"/>
          <w:bCs/>
          <w:sz w:val="18"/>
          <w:szCs w:val="18"/>
        </w:rPr>
        <w:t>%.</w:t>
      </w:r>
    </w:p>
    <w:p w14:paraId="3F51C426" w14:textId="77777777" w:rsidR="006A5ED2" w:rsidRDefault="006A5ED2" w:rsidP="006A5ED2">
      <w:pPr>
        <w:spacing w:after="0"/>
        <w:ind w:right="1"/>
        <w:jc w:val="both"/>
        <w:rPr>
          <w:rFonts w:ascii="Arial" w:hAnsi="Arial" w:cs="Arial"/>
          <w:bCs/>
          <w:sz w:val="18"/>
          <w:szCs w:val="18"/>
        </w:rPr>
      </w:pPr>
      <w:r w:rsidRPr="004E2938">
        <w:rPr>
          <w:rFonts w:ascii="Arial" w:hAnsi="Arial" w:cs="Arial"/>
          <w:bCs/>
          <w:sz w:val="18"/>
          <w:szCs w:val="18"/>
        </w:rPr>
        <w:t>L’inflation sous-jacente</w:t>
      </w:r>
      <w:r w:rsidRPr="004E2938">
        <w:rPr>
          <w:rStyle w:val="Appelnotedebasdep"/>
          <w:rFonts w:ascii="Arial" w:hAnsi="Arial" w:cs="Arial"/>
          <w:bCs/>
          <w:sz w:val="18"/>
          <w:szCs w:val="18"/>
        </w:rPr>
        <w:footnoteReference w:id="2"/>
      </w:r>
      <w:r w:rsidRPr="004E2938">
        <w:rPr>
          <w:rFonts w:ascii="Arial" w:hAnsi="Arial" w:cs="Arial"/>
          <w:bCs/>
          <w:sz w:val="18"/>
          <w:szCs w:val="18"/>
        </w:rPr>
        <w:t xml:space="preserve"> </w:t>
      </w:r>
      <w:r w:rsidR="00A80758">
        <w:rPr>
          <w:rFonts w:ascii="Arial" w:hAnsi="Arial" w:cs="Arial"/>
          <w:bCs/>
          <w:sz w:val="18"/>
          <w:szCs w:val="18"/>
        </w:rPr>
        <w:t xml:space="preserve">s’est appréciée </w:t>
      </w:r>
      <w:r w:rsidR="00467C2E">
        <w:rPr>
          <w:rFonts w:ascii="Arial" w:hAnsi="Arial" w:cs="Arial"/>
          <w:bCs/>
          <w:sz w:val="18"/>
          <w:szCs w:val="18"/>
        </w:rPr>
        <w:t xml:space="preserve">de </w:t>
      </w:r>
      <w:r w:rsidR="00CE755E">
        <w:rPr>
          <w:rFonts w:ascii="Arial" w:hAnsi="Arial" w:cs="Arial"/>
          <w:bCs/>
          <w:sz w:val="18"/>
          <w:szCs w:val="18"/>
        </w:rPr>
        <w:t>0</w:t>
      </w:r>
      <w:r w:rsidR="00A80758">
        <w:rPr>
          <w:rFonts w:ascii="Arial" w:hAnsi="Arial" w:cs="Arial"/>
          <w:bCs/>
          <w:sz w:val="18"/>
          <w:szCs w:val="18"/>
        </w:rPr>
        <w:t>,</w:t>
      </w:r>
      <w:r w:rsidR="00F17F57">
        <w:rPr>
          <w:rFonts w:ascii="Arial" w:hAnsi="Arial" w:cs="Arial"/>
          <w:bCs/>
          <w:sz w:val="18"/>
          <w:szCs w:val="18"/>
        </w:rPr>
        <w:t>3</w:t>
      </w:r>
      <w:r>
        <w:rPr>
          <w:rFonts w:ascii="Arial" w:hAnsi="Arial" w:cs="Arial"/>
          <w:bCs/>
          <w:sz w:val="18"/>
          <w:szCs w:val="18"/>
        </w:rPr>
        <w:t xml:space="preserve">% </w:t>
      </w:r>
      <w:r w:rsidRPr="004E2938">
        <w:rPr>
          <w:rFonts w:ascii="Arial" w:hAnsi="Arial" w:cs="Arial"/>
          <w:bCs/>
          <w:sz w:val="18"/>
          <w:szCs w:val="18"/>
        </w:rPr>
        <w:t xml:space="preserve">en rythme mensuel et </w:t>
      </w:r>
      <w:r>
        <w:rPr>
          <w:rFonts w:ascii="Arial" w:hAnsi="Arial" w:cs="Arial"/>
          <w:bCs/>
          <w:sz w:val="18"/>
          <w:szCs w:val="18"/>
        </w:rPr>
        <w:t xml:space="preserve">de </w:t>
      </w:r>
      <w:r w:rsidR="00F17F57">
        <w:rPr>
          <w:rFonts w:ascii="Arial" w:hAnsi="Arial" w:cs="Arial"/>
          <w:bCs/>
          <w:sz w:val="18"/>
          <w:szCs w:val="18"/>
        </w:rPr>
        <w:t>6</w:t>
      </w:r>
      <w:r w:rsidRPr="004E2938">
        <w:rPr>
          <w:rFonts w:ascii="Arial" w:hAnsi="Arial" w:cs="Arial"/>
          <w:bCs/>
          <w:sz w:val="18"/>
          <w:szCs w:val="18"/>
        </w:rPr>
        <w:t>,</w:t>
      </w:r>
      <w:r w:rsidR="00027914">
        <w:rPr>
          <w:rFonts w:ascii="Arial" w:hAnsi="Arial" w:cs="Arial"/>
          <w:bCs/>
          <w:sz w:val="18"/>
          <w:szCs w:val="18"/>
        </w:rPr>
        <w:t>1</w:t>
      </w:r>
      <w:r w:rsidRPr="004E2938">
        <w:rPr>
          <w:rFonts w:ascii="Arial" w:hAnsi="Arial" w:cs="Arial"/>
          <w:bCs/>
          <w:sz w:val="18"/>
          <w:szCs w:val="18"/>
        </w:rPr>
        <w:t xml:space="preserve">% </w:t>
      </w:r>
      <w:r w:rsidR="00C637A1">
        <w:rPr>
          <w:rFonts w:ascii="Arial" w:hAnsi="Arial" w:cs="Arial"/>
          <w:bCs/>
          <w:sz w:val="18"/>
          <w:szCs w:val="18"/>
        </w:rPr>
        <w:t xml:space="preserve">par rapport au mois </w:t>
      </w:r>
      <w:r w:rsidR="00B21780">
        <w:rPr>
          <w:rFonts w:ascii="Arial" w:hAnsi="Arial" w:cs="Arial"/>
          <w:bCs/>
          <w:sz w:val="18"/>
          <w:szCs w:val="18"/>
        </w:rPr>
        <w:t xml:space="preserve">de </w:t>
      </w:r>
      <w:r w:rsidR="00F17F57">
        <w:rPr>
          <w:rFonts w:ascii="Arial" w:hAnsi="Arial" w:cs="Arial"/>
          <w:bCs/>
          <w:sz w:val="18"/>
          <w:szCs w:val="18"/>
        </w:rPr>
        <w:t>février</w:t>
      </w:r>
      <w:r w:rsidR="00B21780">
        <w:rPr>
          <w:rFonts w:ascii="Arial" w:hAnsi="Arial" w:cs="Arial"/>
          <w:bCs/>
          <w:sz w:val="18"/>
          <w:szCs w:val="18"/>
        </w:rPr>
        <w:t xml:space="preserve"> 20</w:t>
      </w:r>
      <w:r>
        <w:rPr>
          <w:rFonts w:ascii="Arial" w:hAnsi="Arial" w:cs="Arial"/>
          <w:bCs/>
          <w:sz w:val="18"/>
          <w:szCs w:val="18"/>
        </w:rPr>
        <w:t>2</w:t>
      </w:r>
      <w:r w:rsidR="00F17F57">
        <w:rPr>
          <w:rFonts w:ascii="Arial" w:hAnsi="Arial" w:cs="Arial"/>
          <w:bCs/>
          <w:sz w:val="18"/>
          <w:szCs w:val="18"/>
        </w:rPr>
        <w:t>2</w:t>
      </w:r>
      <w:r w:rsidRPr="004E2938">
        <w:rPr>
          <w:rFonts w:ascii="Arial" w:hAnsi="Arial" w:cs="Arial"/>
          <w:bCs/>
          <w:sz w:val="18"/>
          <w:szCs w:val="18"/>
        </w:rPr>
        <w:t xml:space="preserve">. </w:t>
      </w:r>
    </w:p>
    <w:p w14:paraId="3EDECE08" w14:textId="77777777" w:rsidR="006A5ED2" w:rsidRDefault="006A5ED2" w:rsidP="006A5ED2">
      <w:pPr>
        <w:spacing w:after="0"/>
        <w:ind w:right="1"/>
        <w:jc w:val="both"/>
        <w:rPr>
          <w:rFonts w:ascii="Arial" w:hAnsi="Arial" w:cs="Arial"/>
          <w:bCs/>
          <w:sz w:val="18"/>
          <w:szCs w:val="18"/>
        </w:rPr>
      </w:pPr>
      <w:r>
        <w:rPr>
          <w:rFonts w:ascii="Arial" w:hAnsi="Arial" w:cs="Arial"/>
          <w:bCs/>
          <w:sz w:val="18"/>
          <w:szCs w:val="18"/>
        </w:rPr>
        <w:t>Selon l’origine, l</w:t>
      </w:r>
      <w:r w:rsidRPr="004E2938">
        <w:rPr>
          <w:rFonts w:ascii="Arial" w:hAnsi="Arial" w:cs="Arial"/>
          <w:bCs/>
          <w:sz w:val="18"/>
          <w:szCs w:val="18"/>
        </w:rPr>
        <w:t xml:space="preserve">es prix des produits </w:t>
      </w:r>
      <w:r w:rsidR="00467C2E">
        <w:rPr>
          <w:rFonts w:ascii="Arial" w:hAnsi="Arial" w:cs="Arial"/>
          <w:bCs/>
          <w:sz w:val="18"/>
          <w:szCs w:val="18"/>
        </w:rPr>
        <w:t xml:space="preserve">locaux </w:t>
      </w:r>
      <w:r w:rsidR="002E4178">
        <w:rPr>
          <w:rFonts w:ascii="Arial" w:hAnsi="Arial" w:cs="Arial"/>
          <w:bCs/>
          <w:sz w:val="18"/>
          <w:szCs w:val="18"/>
        </w:rPr>
        <w:t xml:space="preserve">et importés </w:t>
      </w:r>
      <w:r w:rsidR="00714592">
        <w:rPr>
          <w:rFonts w:ascii="Arial" w:hAnsi="Arial" w:cs="Arial"/>
          <w:bCs/>
          <w:sz w:val="18"/>
          <w:szCs w:val="18"/>
        </w:rPr>
        <w:t xml:space="preserve">ont </w:t>
      </w:r>
      <w:r w:rsidR="002E4178">
        <w:rPr>
          <w:rFonts w:ascii="Arial" w:hAnsi="Arial" w:cs="Arial"/>
          <w:bCs/>
          <w:sz w:val="18"/>
          <w:szCs w:val="18"/>
        </w:rPr>
        <w:t>progressé</w:t>
      </w:r>
      <w:r w:rsidR="00E96591">
        <w:rPr>
          <w:rFonts w:ascii="Arial" w:hAnsi="Arial" w:cs="Arial"/>
          <w:bCs/>
          <w:sz w:val="18"/>
          <w:szCs w:val="18"/>
        </w:rPr>
        <w:t>,</w:t>
      </w:r>
      <w:r w:rsidR="002E4178">
        <w:rPr>
          <w:rFonts w:ascii="Arial" w:hAnsi="Arial" w:cs="Arial"/>
          <w:bCs/>
          <w:sz w:val="18"/>
          <w:szCs w:val="18"/>
        </w:rPr>
        <w:t xml:space="preserve"> respectivement</w:t>
      </w:r>
      <w:r w:rsidR="00E96591">
        <w:rPr>
          <w:rFonts w:ascii="Arial" w:hAnsi="Arial" w:cs="Arial"/>
          <w:bCs/>
          <w:sz w:val="18"/>
          <w:szCs w:val="18"/>
        </w:rPr>
        <w:t>,</w:t>
      </w:r>
      <w:r w:rsidR="002E4178">
        <w:rPr>
          <w:rFonts w:ascii="Arial" w:hAnsi="Arial" w:cs="Arial"/>
          <w:bCs/>
          <w:sz w:val="18"/>
          <w:szCs w:val="18"/>
        </w:rPr>
        <w:t xml:space="preserve"> de 0</w:t>
      </w:r>
      <w:r w:rsidR="00467C2E">
        <w:rPr>
          <w:rFonts w:ascii="Arial" w:hAnsi="Arial" w:cs="Arial"/>
          <w:bCs/>
          <w:sz w:val="18"/>
          <w:szCs w:val="18"/>
        </w:rPr>
        <w:t>,</w:t>
      </w:r>
      <w:r w:rsidR="002E4178">
        <w:rPr>
          <w:rFonts w:ascii="Arial" w:hAnsi="Arial" w:cs="Arial"/>
          <w:bCs/>
          <w:sz w:val="18"/>
          <w:szCs w:val="18"/>
        </w:rPr>
        <w:t>5</w:t>
      </w:r>
      <w:r w:rsidR="00467C2E">
        <w:rPr>
          <w:rFonts w:ascii="Arial" w:hAnsi="Arial" w:cs="Arial"/>
          <w:bCs/>
          <w:sz w:val="18"/>
          <w:szCs w:val="18"/>
        </w:rPr>
        <w:t>%</w:t>
      </w:r>
      <w:r>
        <w:rPr>
          <w:rFonts w:ascii="Arial" w:hAnsi="Arial" w:cs="Arial"/>
          <w:bCs/>
          <w:sz w:val="18"/>
          <w:szCs w:val="18"/>
        </w:rPr>
        <w:t xml:space="preserve"> </w:t>
      </w:r>
      <w:r w:rsidR="00714592">
        <w:rPr>
          <w:rFonts w:ascii="Arial" w:hAnsi="Arial" w:cs="Arial"/>
          <w:bCs/>
          <w:sz w:val="18"/>
          <w:szCs w:val="18"/>
        </w:rPr>
        <w:t xml:space="preserve">et </w:t>
      </w:r>
      <w:r w:rsidR="002E4178">
        <w:rPr>
          <w:rFonts w:ascii="Arial" w:hAnsi="Arial" w:cs="Arial"/>
          <w:bCs/>
          <w:sz w:val="18"/>
          <w:szCs w:val="18"/>
        </w:rPr>
        <w:t xml:space="preserve">0,3% </w:t>
      </w:r>
      <w:r>
        <w:rPr>
          <w:rFonts w:ascii="Arial" w:hAnsi="Arial" w:cs="Arial"/>
          <w:bCs/>
          <w:sz w:val="18"/>
          <w:szCs w:val="18"/>
        </w:rPr>
        <w:t xml:space="preserve">en </w:t>
      </w:r>
      <w:r w:rsidR="002E4178">
        <w:rPr>
          <w:rFonts w:ascii="Arial" w:hAnsi="Arial" w:cs="Arial"/>
          <w:bCs/>
          <w:sz w:val="18"/>
          <w:szCs w:val="18"/>
        </w:rPr>
        <w:t>février</w:t>
      </w:r>
      <w:r w:rsidR="00714592">
        <w:rPr>
          <w:rFonts w:ascii="Arial" w:hAnsi="Arial" w:cs="Arial"/>
          <w:bCs/>
          <w:sz w:val="18"/>
          <w:szCs w:val="18"/>
        </w:rPr>
        <w:t xml:space="preserve"> </w:t>
      </w:r>
      <w:r w:rsidR="002E4178">
        <w:rPr>
          <w:rFonts w:ascii="Arial" w:hAnsi="Arial" w:cs="Arial"/>
          <w:bCs/>
          <w:sz w:val="18"/>
          <w:szCs w:val="18"/>
        </w:rPr>
        <w:t>2023</w:t>
      </w:r>
      <w:r>
        <w:rPr>
          <w:rFonts w:ascii="Arial" w:hAnsi="Arial" w:cs="Arial"/>
          <w:bCs/>
          <w:sz w:val="18"/>
          <w:szCs w:val="18"/>
        </w:rPr>
        <w:t xml:space="preserve">, </w:t>
      </w:r>
      <w:r w:rsidR="00DD6BBF">
        <w:rPr>
          <w:rFonts w:ascii="Arial" w:hAnsi="Arial" w:cs="Arial"/>
          <w:bCs/>
          <w:sz w:val="18"/>
          <w:szCs w:val="18"/>
        </w:rPr>
        <w:t>par rapport</w:t>
      </w:r>
      <w:r>
        <w:rPr>
          <w:rFonts w:ascii="Arial" w:hAnsi="Arial" w:cs="Arial"/>
          <w:bCs/>
          <w:sz w:val="18"/>
          <w:szCs w:val="18"/>
        </w:rPr>
        <w:t xml:space="preserve"> au mois précédent. </w:t>
      </w:r>
      <w:r w:rsidRPr="004E2938">
        <w:rPr>
          <w:rFonts w:ascii="Arial" w:hAnsi="Arial" w:cs="Arial"/>
          <w:bCs/>
          <w:sz w:val="18"/>
          <w:szCs w:val="18"/>
        </w:rPr>
        <w:t xml:space="preserve">En variation annuelle, </w:t>
      </w:r>
      <w:r>
        <w:rPr>
          <w:rFonts w:ascii="Arial" w:hAnsi="Arial" w:cs="Arial"/>
          <w:bCs/>
          <w:sz w:val="18"/>
          <w:szCs w:val="18"/>
        </w:rPr>
        <w:t xml:space="preserve">ils se sont </w:t>
      </w:r>
      <w:r w:rsidR="00C637A1">
        <w:rPr>
          <w:rFonts w:ascii="Arial" w:hAnsi="Arial" w:cs="Arial"/>
          <w:bCs/>
          <w:sz w:val="18"/>
          <w:szCs w:val="18"/>
        </w:rPr>
        <w:t>accrus</w:t>
      </w:r>
      <w:r>
        <w:rPr>
          <w:rFonts w:ascii="Arial" w:hAnsi="Arial" w:cs="Arial"/>
          <w:bCs/>
          <w:sz w:val="18"/>
          <w:szCs w:val="18"/>
        </w:rPr>
        <w:t xml:space="preserve">, </w:t>
      </w:r>
      <w:r w:rsidRPr="004E2938">
        <w:rPr>
          <w:rFonts w:ascii="Arial" w:hAnsi="Arial" w:cs="Arial"/>
          <w:bCs/>
          <w:sz w:val="18"/>
          <w:szCs w:val="18"/>
        </w:rPr>
        <w:t>respective</w:t>
      </w:r>
      <w:r w:rsidR="00C637A1">
        <w:rPr>
          <w:rFonts w:ascii="Arial" w:hAnsi="Arial" w:cs="Arial"/>
          <w:bCs/>
          <w:sz w:val="18"/>
          <w:szCs w:val="18"/>
        </w:rPr>
        <w:t xml:space="preserve">ment, de </w:t>
      </w:r>
      <w:r w:rsidR="00A80826">
        <w:rPr>
          <w:rFonts w:ascii="Arial" w:hAnsi="Arial" w:cs="Arial"/>
          <w:bCs/>
          <w:sz w:val="18"/>
          <w:szCs w:val="18"/>
        </w:rPr>
        <w:t>1</w:t>
      </w:r>
      <w:r w:rsidR="002E4178">
        <w:rPr>
          <w:rFonts w:ascii="Arial" w:hAnsi="Arial" w:cs="Arial"/>
          <w:bCs/>
          <w:sz w:val="18"/>
          <w:szCs w:val="18"/>
        </w:rPr>
        <w:t>0</w:t>
      </w:r>
      <w:r>
        <w:rPr>
          <w:rFonts w:ascii="Arial" w:hAnsi="Arial" w:cs="Arial"/>
          <w:bCs/>
          <w:sz w:val="18"/>
          <w:szCs w:val="18"/>
        </w:rPr>
        <w:t>,</w:t>
      </w:r>
      <w:r w:rsidR="002E4178">
        <w:rPr>
          <w:rFonts w:ascii="Arial" w:hAnsi="Arial" w:cs="Arial"/>
          <w:bCs/>
          <w:sz w:val="18"/>
          <w:szCs w:val="18"/>
        </w:rPr>
        <w:t>0</w:t>
      </w:r>
      <w:r w:rsidRPr="004E2938">
        <w:rPr>
          <w:rFonts w:ascii="Arial" w:hAnsi="Arial" w:cs="Arial"/>
          <w:bCs/>
          <w:sz w:val="18"/>
          <w:szCs w:val="18"/>
        </w:rPr>
        <w:t xml:space="preserve">% et </w:t>
      </w:r>
      <w:r w:rsidR="002E4178">
        <w:rPr>
          <w:rFonts w:ascii="Arial" w:hAnsi="Arial" w:cs="Arial"/>
          <w:bCs/>
          <w:sz w:val="18"/>
          <w:szCs w:val="18"/>
        </w:rPr>
        <w:t>7</w:t>
      </w:r>
      <w:r w:rsidRPr="004E2938">
        <w:rPr>
          <w:rFonts w:ascii="Arial" w:hAnsi="Arial" w:cs="Arial"/>
          <w:bCs/>
          <w:sz w:val="18"/>
          <w:szCs w:val="18"/>
        </w:rPr>
        <w:t>,</w:t>
      </w:r>
      <w:r w:rsidR="002E4178">
        <w:rPr>
          <w:rFonts w:ascii="Arial" w:hAnsi="Arial" w:cs="Arial"/>
          <w:bCs/>
          <w:sz w:val="18"/>
          <w:szCs w:val="18"/>
        </w:rPr>
        <w:t>9</w:t>
      </w:r>
      <w:r w:rsidRPr="004E2938">
        <w:rPr>
          <w:rFonts w:ascii="Arial" w:hAnsi="Arial" w:cs="Arial"/>
          <w:bCs/>
          <w:sz w:val="18"/>
          <w:szCs w:val="18"/>
        </w:rPr>
        <w:t>%.</w:t>
      </w:r>
    </w:p>
    <w:p w14:paraId="0492D5C9" w14:textId="77777777" w:rsidR="00A96E5F" w:rsidRDefault="00A96E5F" w:rsidP="00101717">
      <w:pPr>
        <w:spacing w:after="0" w:line="240" w:lineRule="auto"/>
        <w:ind w:right="1"/>
        <w:jc w:val="both"/>
        <w:rPr>
          <w:rFonts w:ascii="Arial" w:hAnsi="Arial" w:cs="Arial"/>
          <w:bCs/>
          <w:sz w:val="18"/>
          <w:szCs w:val="18"/>
        </w:rPr>
      </w:pPr>
    </w:p>
    <w:p w14:paraId="1020416F" w14:textId="77777777" w:rsidR="00A96E5F" w:rsidRDefault="00A96E5F" w:rsidP="00A96E5F">
      <w:pPr>
        <w:spacing w:after="0" w:line="240" w:lineRule="auto"/>
        <w:ind w:right="1"/>
        <w:jc w:val="both"/>
        <w:rPr>
          <w:rFonts w:ascii="Arial" w:hAnsi="Arial" w:cs="Arial"/>
          <w:b/>
          <w:sz w:val="18"/>
          <w:szCs w:val="18"/>
        </w:rPr>
      </w:pPr>
      <w:r w:rsidRPr="00E63391">
        <w:rPr>
          <w:rFonts w:ascii="Arial" w:hAnsi="Arial" w:cs="Arial"/>
          <w:b/>
          <w:sz w:val="18"/>
          <w:szCs w:val="18"/>
        </w:rPr>
        <w:t xml:space="preserve">Graphique </w:t>
      </w:r>
      <w:r w:rsidRPr="00E63391">
        <w:rPr>
          <w:rFonts w:ascii="Arial" w:hAnsi="Arial" w:cs="Arial"/>
          <w:b/>
          <w:sz w:val="18"/>
          <w:szCs w:val="18"/>
        </w:rPr>
        <w:fldChar w:fldCharType="begin"/>
      </w:r>
      <w:r w:rsidRPr="00E63391">
        <w:rPr>
          <w:rFonts w:ascii="Arial" w:hAnsi="Arial" w:cs="Arial"/>
          <w:b/>
          <w:sz w:val="18"/>
          <w:szCs w:val="18"/>
        </w:rPr>
        <w:instrText xml:space="preserve"> SEQ Figure \* ARABIC </w:instrText>
      </w:r>
      <w:r w:rsidRPr="00E63391">
        <w:rPr>
          <w:rFonts w:ascii="Arial" w:hAnsi="Arial" w:cs="Arial"/>
          <w:b/>
          <w:sz w:val="18"/>
          <w:szCs w:val="18"/>
        </w:rPr>
        <w:fldChar w:fldCharType="separate"/>
      </w:r>
      <w:r w:rsidR="00CF02BE">
        <w:rPr>
          <w:rFonts w:ascii="Arial" w:hAnsi="Arial" w:cs="Arial"/>
          <w:b/>
          <w:noProof/>
          <w:sz w:val="18"/>
          <w:szCs w:val="18"/>
        </w:rPr>
        <w:t>1</w:t>
      </w:r>
      <w:r w:rsidRPr="00E63391">
        <w:rPr>
          <w:rFonts w:ascii="Arial" w:hAnsi="Arial" w:cs="Arial"/>
          <w:b/>
          <w:sz w:val="18"/>
          <w:szCs w:val="18"/>
        </w:rPr>
        <w:fldChar w:fldCharType="end"/>
      </w:r>
      <w:r w:rsidRPr="00E63391">
        <w:rPr>
          <w:rFonts w:ascii="Arial" w:hAnsi="Arial" w:cs="Arial"/>
          <w:b/>
          <w:sz w:val="18"/>
          <w:szCs w:val="18"/>
        </w:rPr>
        <w:t> : Evolution des douze fonctions de consommation</w:t>
      </w:r>
    </w:p>
    <w:p w14:paraId="407B08C1" w14:textId="77777777" w:rsidR="002E4178" w:rsidRDefault="002E4178" w:rsidP="00A96E5F">
      <w:pPr>
        <w:spacing w:after="0" w:line="240" w:lineRule="auto"/>
        <w:ind w:right="1"/>
        <w:jc w:val="both"/>
        <w:rPr>
          <w:rFonts w:ascii="Arial" w:hAnsi="Arial" w:cs="Arial"/>
          <w:b/>
          <w:sz w:val="18"/>
          <w:szCs w:val="18"/>
        </w:rPr>
      </w:pPr>
      <w:r>
        <w:rPr>
          <w:noProof/>
          <w:lang w:eastAsia="fr-FR"/>
        </w:rPr>
        <w:drawing>
          <wp:inline distT="0" distB="0" distL="0" distR="0" wp14:anchorId="5D7060F5" wp14:editId="3B447A0F">
            <wp:extent cx="5760720" cy="2390775"/>
            <wp:effectExtent l="0" t="0" r="11430"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0BAE40" w14:textId="77777777" w:rsidR="00A96E5F" w:rsidRPr="00126912" w:rsidRDefault="00A96E5F" w:rsidP="00126912">
      <w:pPr>
        <w:pStyle w:val="Sansinterligne"/>
        <w:rPr>
          <w:rFonts w:ascii="Arial" w:hAnsi="Arial" w:cs="Arial"/>
          <w:bCs/>
          <w:sz w:val="16"/>
          <w:szCs w:val="20"/>
        </w:rPr>
      </w:pPr>
      <w:r w:rsidRPr="00602850">
        <w:rPr>
          <w:rFonts w:ascii="Arial" w:hAnsi="Arial" w:cs="Arial"/>
          <w:bCs/>
          <w:sz w:val="16"/>
          <w:szCs w:val="20"/>
          <w:u w:val="single"/>
        </w:rPr>
        <w:t>Source</w:t>
      </w:r>
      <w:r w:rsidRPr="00602850">
        <w:rPr>
          <w:rFonts w:ascii="Arial" w:hAnsi="Arial" w:cs="Arial"/>
          <w:bCs/>
          <w:sz w:val="16"/>
          <w:szCs w:val="20"/>
        </w:rPr>
        <w:t> : ANSD/DSECN/DSC/BP</w:t>
      </w:r>
    </w:p>
    <w:p w14:paraId="1A28BACC" w14:textId="77777777" w:rsidR="00B90F0F" w:rsidRPr="00E63391" w:rsidRDefault="00B90F0F" w:rsidP="00B90F0F">
      <w:pPr>
        <w:spacing w:after="0" w:line="240" w:lineRule="auto"/>
        <w:ind w:right="1"/>
        <w:jc w:val="both"/>
        <w:rPr>
          <w:rFonts w:ascii="Arial" w:hAnsi="Arial" w:cs="Arial"/>
          <w:b/>
          <w:sz w:val="18"/>
          <w:szCs w:val="18"/>
        </w:rPr>
      </w:pPr>
      <w:r w:rsidRPr="00E63391">
        <w:rPr>
          <w:rFonts w:ascii="Arial" w:hAnsi="Arial" w:cs="Arial"/>
          <w:b/>
          <w:sz w:val="18"/>
          <w:szCs w:val="18"/>
        </w:rPr>
        <w:lastRenderedPageBreak/>
        <w:t>Graphique 2 : Evolution de l’indice global et de la fonction « produits alimentaires et boissons non alcoolisées »</w:t>
      </w:r>
    </w:p>
    <w:p w14:paraId="2792ED04" w14:textId="77777777" w:rsidR="00A96E5F" w:rsidRPr="005149B0" w:rsidRDefault="002E4178" w:rsidP="005149B0">
      <w:pPr>
        <w:spacing w:after="0" w:line="240" w:lineRule="auto"/>
        <w:rPr>
          <w:rFonts w:ascii="Arial" w:eastAsia="Times New Roman" w:hAnsi="Arial" w:cs="Arial"/>
          <w:bCs/>
          <w:sz w:val="16"/>
          <w:szCs w:val="16"/>
          <w:lang w:eastAsia="fr-FR"/>
        </w:rPr>
      </w:pPr>
      <w:r w:rsidRPr="002E4178">
        <w:rPr>
          <w:rFonts w:ascii="Arial" w:eastAsia="Times New Roman" w:hAnsi="Arial" w:cs="Arial"/>
          <w:bCs/>
          <w:noProof/>
          <w:sz w:val="16"/>
          <w:szCs w:val="16"/>
          <w:lang w:eastAsia="fr-FR"/>
        </w:rPr>
        <w:drawing>
          <wp:inline distT="0" distB="0" distL="0" distR="0" wp14:anchorId="4D0B703C" wp14:editId="4ADD7F05">
            <wp:extent cx="5760720" cy="376186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761862"/>
                    </a:xfrm>
                    <a:prstGeom prst="rect">
                      <a:avLst/>
                    </a:prstGeom>
                    <a:noFill/>
                    <a:ln>
                      <a:noFill/>
                    </a:ln>
                  </pic:spPr>
                </pic:pic>
              </a:graphicData>
            </a:graphic>
          </wp:inline>
        </w:drawing>
      </w:r>
    </w:p>
    <w:p w14:paraId="4A9B822D" w14:textId="77777777" w:rsidR="00B90F0F" w:rsidRPr="005149B0" w:rsidRDefault="00B90F0F" w:rsidP="005149B0">
      <w:pPr>
        <w:spacing w:after="0" w:line="240" w:lineRule="auto"/>
        <w:rPr>
          <w:rFonts w:ascii="Arial" w:eastAsia="Times New Roman" w:hAnsi="Arial" w:cs="Arial"/>
          <w:bCs/>
          <w:sz w:val="16"/>
          <w:szCs w:val="16"/>
          <w:lang w:eastAsia="fr-FR"/>
        </w:rPr>
      </w:pPr>
      <w:r w:rsidRPr="005149B0">
        <w:rPr>
          <w:rFonts w:ascii="Arial" w:eastAsia="Times New Roman" w:hAnsi="Arial" w:cs="Arial"/>
          <w:bCs/>
          <w:sz w:val="16"/>
          <w:szCs w:val="16"/>
          <w:u w:val="single"/>
          <w:lang w:eastAsia="fr-FR"/>
        </w:rPr>
        <w:t>Source</w:t>
      </w:r>
      <w:r w:rsidRPr="005149B0">
        <w:rPr>
          <w:rFonts w:ascii="Arial" w:eastAsia="Times New Roman" w:hAnsi="Arial" w:cs="Arial"/>
          <w:bCs/>
          <w:sz w:val="16"/>
          <w:szCs w:val="16"/>
          <w:lang w:eastAsia="fr-FR"/>
        </w:rPr>
        <w:t> : ANSD/DSECN/DSC/BP</w:t>
      </w:r>
    </w:p>
    <w:p w14:paraId="4ADDDC60" w14:textId="77777777" w:rsidR="00A96E5F" w:rsidRDefault="00A96E5F" w:rsidP="00A96E5F"/>
    <w:p w14:paraId="3C5C3B86" w14:textId="77777777" w:rsidR="00E70C38" w:rsidRDefault="00E70C38" w:rsidP="00E70C38">
      <w:pPr>
        <w:pStyle w:val="Sansinterligne"/>
        <w:rPr>
          <w:rFonts w:ascii="Arial" w:hAnsi="Arial" w:cs="Arial"/>
          <w:b/>
          <w:bCs/>
          <w:sz w:val="18"/>
          <w:szCs w:val="18"/>
        </w:rPr>
      </w:pPr>
      <w:r>
        <w:rPr>
          <w:rFonts w:ascii="Arial" w:hAnsi="Arial" w:cs="Arial"/>
          <w:b/>
          <w:bCs/>
          <w:sz w:val="18"/>
          <w:szCs w:val="18"/>
        </w:rPr>
        <w:t>Tableau 1 : L’Indice global et les 12 fonctions de consommation de l’IHPC</w:t>
      </w:r>
      <w:r w:rsidRPr="00E63391">
        <w:rPr>
          <w:rFonts w:ascii="Arial" w:hAnsi="Arial" w:cs="Arial"/>
          <w:b/>
          <w:bCs/>
          <w:sz w:val="18"/>
          <w:szCs w:val="18"/>
        </w:rPr>
        <w:t xml:space="preserve"> </w:t>
      </w:r>
      <w:r>
        <w:rPr>
          <w:rFonts w:ascii="Arial" w:hAnsi="Arial" w:cs="Arial"/>
          <w:b/>
          <w:bCs/>
          <w:sz w:val="18"/>
          <w:szCs w:val="18"/>
        </w:rPr>
        <w:t>(</w:t>
      </w:r>
      <w:r w:rsidRPr="00E63391">
        <w:rPr>
          <w:rFonts w:ascii="Arial" w:hAnsi="Arial" w:cs="Arial"/>
          <w:b/>
          <w:bCs/>
          <w:sz w:val="18"/>
          <w:szCs w:val="18"/>
        </w:rPr>
        <w:t>Base 100 en 2014</w:t>
      </w:r>
      <w:r>
        <w:rPr>
          <w:rFonts w:ascii="Arial" w:hAnsi="Arial" w:cs="Arial"/>
          <w:b/>
          <w:bCs/>
          <w:sz w:val="18"/>
          <w:szCs w:val="18"/>
        </w:rPr>
        <w:t>)</w:t>
      </w:r>
    </w:p>
    <w:tbl>
      <w:tblPr>
        <w:tblpPr w:leftFromText="141" w:rightFromText="141" w:vertAnchor="text" w:horzAnchor="margin" w:tblpXSpec="center" w:tblpY="12"/>
        <w:tblW w:w="5163" w:type="pct"/>
        <w:jc w:val="center"/>
        <w:tblLayout w:type="fixed"/>
        <w:tblCellMar>
          <w:left w:w="70" w:type="dxa"/>
          <w:right w:w="70" w:type="dxa"/>
        </w:tblCellMar>
        <w:tblLook w:val="04A0" w:firstRow="1" w:lastRow="0" w:firstColumn="1" w:lastColumn="0" w:noHBand="0" w:noVBand="1"/>
      </w:tblPr>
      <w:tblGrid>
        <w:gridCol w:w="2976"/>
        <w:gridCol w:w="711"/>
        <w:gridCol w:w="711"/>
        <w:gridCol w:w="707"/>
        <w:gridCol w:w="707"/>
        <w:gridCol w:w="709"/>
        <w:gridCol w:w="711"/>
        <w:gridCol w:w="700"/>
        <w:gridCol w:w="719"/>
        <w:gridCol w:w="706"/>
      </w:tblGrid>
      <w:tr w:rsidR="0091334D" w:rsidRPr="0061068A" w14:paraId="00EE891F" w14:textId="77777777" w:rsidTr="0091334D">
        <w:trPr>
          <w:trHeight w:val="340"/>
          <w:jc w:val="center"/>
        </w:trPr>
        <w:tc>
          <w:tcPr>
            <w:tcW w:w="159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445B1" w14:textId="77777777" w:rsidR="0091334D" w:rsidRPr="0061068A" w:rsidRDefault="0091334D" w:rsidP="00D66237">
            <w:pPr>
              <w:spacing w:after="0" w:line="240" w:lineRule="auto"/>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Libellés</w:t>
            </w:r>
          </w:p>
        </w:tc>
        <w:tc>
          <w:tcPr>
            <w:tcW w:w="380" w:type="pct"/>
            <w:vMerge w:val="restart"/>
            <w:tcBorders>
              <w:top w:val="single" w:sz="4" w:space="0" w:color="auto"/>
              <w:left w:val="nil"/>
              <w:right w:val="single" w:sz="4" w:space="0" w:color="auto"/>
            </w:tcBorders>
            <w:shd w:val="clear" w:color="auto" w:fill="auto"/>
            <w:noWrap/>
            <w:vAlign w:val="center"/>
            <w:hideMark/>
          </w:tcPr>
          <w:p w14:paraId="56D2721D" w14:textId="77777777" w:rsidR="0091334D" w:rsidRPr="0061068A" w:rsidRDefault="0091334D" w:rsidP="00D66237">
            <w:pPr>
              <w:spacing w:after="0" w:line="240" w:lineRule="auto"/>
              <w:jc w:val="center"/>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Poids</w:t>
            </w:r>
          </w:p>
          <w:p w14:paraId="6270A211" w14:textId="77777777" w:rsidR="0091334D" w:rsidRPr="0061068A" w:rsidRDefault="0091334D" w:rsidP="00F7004A">
            <w:pPr>
              <w:spacing w:after="0" w:line="240" w:lineRule="auto"/>
              <w:jc w:val="center"/>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 </w:t>
            </w:r>
          </w:p>
        </w:tc>
        <w:tc>
          <w:tcPr>
            <w:tcW w:w="380" w:type="pct"/>
            <w:tcBorders>
              <w:top w:val="single" w:sz="4" w:space="0" w:color="auto"/>
              <w:left w:val="nil"/>
              <w:bottom w:val="single" w:sz="4" w:space="0" w:color="auto"/>
              <w:right w:val="nil"/>
            </w:tcBorders>
            <w:vAlign w:val="center"/>
          </w:tcPr>
          <w:p w14:paraId="160656B9" w14:textId="77777777" w:rsidR="0091334D" w:rsidRPr="0061068A" w:rsidRDefault="0091334D" w:rsidP="00D66237">
            <w:pPr>
              <w:spacing w:after="0" w:line="240" w:lineRule="auto"/>
              <w:jc w:val="center"/>
              <w:rPr>
                <w:rFonts w:ascii="Arial" w:eastAsia="Times New Roman" w:hAnsi="Arial" w:cs="Arial"/>
                <w:sz w:val="16"/>
                <w:szCs w:val="16"/>
                <w:lang w:eastAsia="fr-FR"/>
              </w:rPr>
            </w:pPr>
          </w:p>
        </w:tc>
        <w:tc>
          <w:tcPr>
            <w:tcW w:w="1514" w:type="pct"/>
            <w:gridSpan w:val="4"/>
            <w:tcBorders>
              <w:top w:val="single" w:sz="4" w:space="0" w:color="auto"/>
              <w:left w:val="nil"/>
              <w:bottom w:val="single" w:sz="4" w:space="0" w:color="auto"/>
              <w:right w:val="single" w:sz="4" w:space="0" w:color="auto"/>
            </w:tcBorders>
            <w:shd w:val="clear" w:color="auto" w:fill="auto"/>
            <w:noWrap/>
            <w:vAlign w:val="center"/>
            <w:hideMark/>
          </w:tcPr>
          <w:p w14:paraId="0C39A3F1" w14:textId="77777777" w:rsidR="0091334D" w:rsidRPr="00F43331" w:rsidRDefault="0091334D" w:rsidP="00D66237">
            <w:pPr>
              <w:spacing w:after="0" w:line="240" w:lineRule="auto"/>
              <w:jc w:val="center"/>
              <w:rPr>
                <w:rFonts w:ascii="Arial" w:eastAsia="Times New Roman" w:hAnsi="Arial" w:cs="Arial"/>
                <w:b/>
                <w:sz w:val="16"/>
                <w:szCs w:val="16"/>
                <w:lang w:eastAsia="fr-FR"/>
              </w:rPr>
            </w:pPr>
            <w:r w:rsidRPr="00F43331">
              <w:rPr>
                <w:rFonts w:ascii="Arial" w:eastAsia="Times New Roman" w:hAnsi="Arial" w:cs="Arial"/>
                <w:b/>
                <w:sz w:val="16"/>
                <w:szCs w:val="16"/>
                <w:lang w:eastAsia="fr-FR"/>
              </w:rPr>
              <w:t>Indices du mois</w:t>
            </w:r>
          </w:p>
        </w:tc>
        <w:tc>
          <w:tcPr>
            <w:tcW w:w="1136" w:type="pct"/>
            <w:gridSpan w:val="3"/>
            <w:tcBorders>
              <w:top w:val="single" w:sz="4" w:space="0" w:color="auto"/>
              <w:left w:val="nil"/>
              <w:bottom w:val="single" w:sz="4" w:space="0" w:color="auto"/>
              <w:right w:val="single" w:sz="4" w:space="0" w:color="auto"/>
            </w:tcBorders>
            <w:shd w:val="clear" w:color="auto" w:fill="auto"/>
            <w:noWrap/>
            <w:vAlign w:val="center"/>
            <w:hideMark/>
          </w:tcPr>
          <w:p w14:paraId="1A5318E3" w14:textId="77777777" w:rsidR="0091334D" w:rsidRPr="00F43331" w:rsidRDefault="0091334D" w:rsidP="00D66237">
            <w:pPr>
              <w:spacing w:after="0" w:line="240" w:lineRule="auto"/>
              <w:jc w:val="center"/>
              <w:rPr>
                <w:rFonts w:ascii="Arial" w:eastAsia="Times New Roman" w:hAnsi="Arial" w:cs="Arial"/>
                <w:b/>
                <w:sz w:val="16"/>
                <w:szCs w:val="16"/>
                <w:lang w:eastAsia="fr-FR"/>
              </w:rPr>
            </w:pPr>
            <w:r w:rsidRPr="00F43331">
              <w:rPr>
                <w:rFonts w:ascii="Arial" w:eastAsia="Times New Roman" w:hAnsi="Arial" w:cs="Arial"/>
                <w:b/>
                <w:sz w:val="16"/>
                <w:szCs w:val="16"/>
                <w:lang w:eastAsia="fr-FR"/>
              </w:rPr>
              <w:t>Variation sur</w:t>
            </w:r>
          </w:p>
        </w:tc>
      </w:tr>
      <w:tr w:rsidR="0091334D" w:rsidRPr="0061068A" w14:paraId="3B26E5DA" w14:textId="77777777" w:rsidTr="0091334D">
        <w:trPr>
          <w:trHeight w:val="340"/>
          <w:jc w:val="center"/>
        </w:trPr>
        <w:tc>
          <w:tcPr>
            <w:tcW w:w="1590" w:type="pct"/>
            <w:vMerge/>
            <w:tcBorders>
              <w:top w:val="single" w:sz="4" w:space="0" w:color="auto"/>
              <w:left w:val="single" w:sz="4" w:space="0" w:color="auto"/>
              <w:bottom w:val="single" w:sz="4" w:space="0" w:color="auto"/>
              <w:right w:val="single" w:sz="4" w:space="0" w:color="auto"/>
            </w:tcBorders>
            <w:vAlign w:val="center"/>
            <w:hideMark/>
          </w:tcPr>
          <w:p w14:paraId="5A0F16C5" w14:textId="77777777" w:rsidR="0091334D" w:rsidRPr="0061068A" w:rsidRDefault="0091334D" w:rsidP="002E4178">
            <w:pPr>
              <w:spacing w:after="0" w:line="240" w:lineRule="auto"/>
              <w:rPr>
                <w:rFonts w:ascii="Arial" w:eastAsia="Times New Roman" w:hAnsi="Arial" w:cs="Arial"/>
                <w:b/>
                <w:bCs/>
                <w:sz w:val="16"/>
                <w:szCs w:val="16"/>
                <w:lang w:eastAsia="fr-FR"/>
              </w:rPr>
            </w:pPr>
          </w:p>
        </w:tc>
        <w:tc>
          <w:tcPr>
            <w:tcW w:w="380" w:type="pct"/>
            <w:vMerge/>
            <w:tcBorders>
              <w:left w:val="nil"/>
              <w:bottom w:val="single" w:sz="4" w:space="0" w:color="auto"/>
              <w:right w:val="single" w:sz="4" w:space="0" w:color="auto"/>
            </w:tcBorders>
            <w:shd w:val="clear" w:color="auto" w:fill="auto"/>
            <w:noWrap/>
            <w:vAlign w:val="center"/>
            <w:hideMark/>
          </w:tcPr>
          <w:p w14:paraId="0FE9595D" w14:textId="77777777" w:rsidR="0091334D" w:rsidRPr="0061068A" w:rsidRDefault="0091334D" w:rsidP="002E4178">
            <w:pPr>
              <w:spacing w:after="0" w:line="240" w:lineRule="auto"/>
              <w:jc w:val="center"/>
              <w:rPr>
                <w:rFonts w:ascii="Arial" w:eastAsia="Times New Roman" w:hAnsi="Arial" w:cs="Arial"/>
                <w:b/>
                <w:bCs/>
                <w:sz w:val="16"/>
                <w:szCs w:val="16"/>
                <w:lang w:eastAsia="fr-FR"/>
              </w:rPr>
            </w:pPr>
          </w:p>
        </w:tc>
        <w:tc>
          <w:tcPr>
            <w:tcW w:w="380" w:type="pct"/>
            <w:tcBorders>
              <w:top w:val="nil"/>
              <w:left w:val="nil"/>
              <w:bottom w:val="single" w:sz="4" w:space="0" w:color="auto"/>
              <w:right w:val="single" w:sz="4" w:space="0" w:color="auto"/>
            </w:tcBorders>
            <w:shd w:val="clear" w:color="auto" w:fill="auto"/>
            <w:noWrap/>
            <w:vAlign w:val="center"/>
            <w:hideMark/>
          </w:tcPr>
          <w:p w14:paraId="061602E8" w14:textId="77777777" w:rsidR="0091334D" w:rsidRPr="00E70C38" w:rsidRDefault="0091334D" w:rsidP="002E4178">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Fév.</w:t>
            </w:r>
            <w:r w:rsidRPr="00E70C38">
              <w:rPr>
                <w:rFonts w:ascii="Arial" w:eastAsia="Times New Roman" w:hAnsi="Arial" w:cs="Arial"/>
                <w:b/>
                <w:bCs/>
                <w:color w:val="000000"/>
                <w:sz w:val="14"/>
                <w:szCs w:val="14"/>
                <w:lang w:eastAsia="fr-FR"/>
              </w:rPr>
              <w:t>-21</w:t>
            </w:r>
          </w:p>
        </w:tc>
        <w:tc>
          <w:tcPr>
            <w:tcW w:w="378" w:type="pct"/>
            <w:tcBorders>
              <w:top w:val="nil"/>
              <w:left w:val="nil"/>
              <w:bottom w:val="single" w:sz="4" w:space="0" w:color="auto"/>
              <w:right w:val="single" w:sz="4" w:space="0" w:color="auto"/>
            </w:tcBorders>
            <w:shd w:val="clear" w:color="auto" w:fill="auto"/>
            <w:noWrap/>
            <w:vAlign w:val="center"/>
            <w:hideMark/>
          </w:tcPr>
          <w:p w14:paraId="157A21A6" w14:textId="77777777" w:rsidR="0091334D" w:rsidRPr="00F43331" w:rsidRDefault="0091334D" w:rsidP="002E4178">
            <w:pPr>
              <w:spacing w:after="0" w:line="240" w:lineRule="auto"/>
              <w:jc w:val="center"/>
              <w:rPr>
                <w:rFonts w:ascii="Arial" w:eastAsia="Times New Roman" w:hAnsi="Arial" w:cs="Arial"/>
                <w:b/>
                <w:bCs/>
                <w:color w:val="000000"/>
                <w:sz w:val="10"/>
                <w:szCs w:val="10"/>
                <w:lang w:eastAsia="fr-FR"/>
              </w:rPr>
            </w:pPr>
            <w:r w:rsidRPr="00F43331">
              <w:rPr>
                <w:rFonts w:ascii="Arial" w:eastAsia="Times New Roman" w:hAnsi="Arial" w:cs="Arial"/>
                <w:b/>
                <w:bCs/>
                <w:color w:val="000000"/>
                <w:sz w:val="14"/>
                <w:szCs w:val="14"/>
                <w:lang w:eastAsia="fr-FR"/>
              </w:rPr>
              <w:t>Nov.-22</w:t>
            </w:r>
          </w:p>
        </w:tc>
        <w:tc>
          <w:tcPr>
            <w:tcW w:w="378" w:type="pct"/>
            <w:tcBorders>
              <w:top w:val="nil"/>
              <w:left w:val="nil"/>
              <w:bottom w:val="single" w:sz="4" w:space="0" w:color="auto"/>
              <w:right w:val="single" w:sz="4" w:space="0" w:color="auto"/>
            </w:tcBorders>
            <w:shd w:val="clear" w:color="auto" w:fill="auto"/>
            <w:noWrap/>
            <w:vAlign w:val="center"/>
          </w:tcPr>
          <w:p w14:paraId="0969ACF5" w14:textId="77777777" w:rsidR="0091334D" w:rsidRPr="00E70C38" w:rsidRDefault="0091334D" w:rsidP="002E4178">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Déc.-22</w:t>
            </w:r>
          </w:p>
        </w:tc>
        <w:tc>
          <w:tcPr>
            <w:tcW w:w="379" w:type="pct"/>
            <w:tcBorders>
              <w:top w:val="single" w:sz="4" w:space="0" w:color="auto"/>
              <w:left w:val="nil"/>
              <w:bottom w:val="single" w:sz="4" w:space="0" w:color="auto"/>
              <w:right w:val="single" w:sz="4" w:space="0" w:color="auto"/>
            </w:tcBorders>
            <w:vAlign w:val="center"/>
          </w:tcPr>
          <w:p w14:paraId="361CE9B4" w14:textId="77777777" w:rsidR="0091334D" w:rsidRPr="00E70C38" w:rsidRDefault="0091334D" w:rsidP="002E4178">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Jan.-22</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0E3E68CC" w14:textId="77777777" w:rsidR="0091334D" w:rsidRPr="00E70C38" w:rsidRDefault="0091334D" w:rsidP="002E4178">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Fév.-22</w:t>
            </w:r>
          </w:p>
        </w:tc>
        <w:tc>
          <w:tcPr>
            <w:tcW w:w="374" w:type="pct"/>
            <w:tcBorders>
              <w:top w:val="nil"/>
              <w:left w:val="nil"/>
              <w:bottom w:val="single" w:sz="4" w:space="0" w:color="auto"/>
              <w:right w:val="single" w:sz="4" w:space="0" w:color="auto"/>
            </w:tcBorders>
            <w:shd w:val="clear" w:color="auto" w:fill="auto"/>
            <w:noWrap/>
            <w:vAlign w:val="center"/>
            <w:hideMark/>
          </w:tcPr>
          <w:p w14:paraId="0B471BC0" w14:textId="77777777" w:rsidR="0091334D" w:rsidRPr="007038BF" w:rsidRDefault="0091334D" w:rsidP="002E4178">
            <w:pPr>
              <w:spacing w:after="0" w:line="240" w:lineRule="auto"/>
              <w:jc w:val="center"/>
              <w:rPr>
                <w:rFonts w:ascii="Arial" w:eastAsia="Times New Roman" w:hAnsi="Arial" w:cs="Arial"/>
                <w:b/>
                <w:bCs/>
                <w:color w:val="000000"/>
                <w:sz w:val="14"/>
                <w:szCs w:val="14"/>
                <w:lang w:eastAsia="fr-FR"/>
              </w:rPr>
            </w:pPr>
            <w:r w:rsidRPr="007038BF">
              <w:rPr>
                <w:rFonts w:ascii="Arial" w:eastAsia="Times New Roman" w:hAnsi="Arial" w:cs="Arial"/>
                <w:b/>
                <w:bCs/>
                <w:color w:val="000000"/>
                <w:sz w:val="14"/>
                <w:szCs w:val="14"/>
                <w:lang w:eastAsia="fr-FR"/>
              </w:rPr>
              <w:t>1 mois</w:t>
            </w:r>
          </w:p>
        </w:tc>
        <w:tc>
          <w:tcPr>
            <w:tcW w:w="384" w:type="pct"/>
            <w:tcBorders>
              <w:top w:val="nil"/>
              <w:left w:val="nil"/>
              <w:bottom w:val="single" w:sz="4" w:space="0" w:color="auto"/>
              <w:right w:val="single" w:sz="4" w:space="0" w:color="auto"/>
            </w:tcBorders>
            <w:shd w:val="clear" w:color="auto" w:fill="auto"/>
            <w:noWrap/>
            <w:vAlign w:val="center"/>
            <w:hideMark/>
          </w:tcPr>
          <w:p w14:paraId="42004CB9" w14:textId="77777777" w:rsidR="0091334D" w:rsidRPr="007038BF" w:rsidRDefault="0091334D" w:rsidP="002E4178">
            <w:pPr>
              <w:spacing w:after="0" w:line="240" w:lineRule="auto"/>
              <w:jc w:val="center"/>
              <w:rPr>
                <w:rFonts w:ascii="Arial" w:eastAsia="Times New Roman" w:hAnsi="Arial" w:cs="Arial"/>
                <w:b/>
                <w:bCs/>
                <w:color w:val="000000"/>
                <w:sz w:val="14"/>
                <w:szCs w:val="14"/>
                <w:lang w:eastAsia="fr-FR"/>
              </w:rPr>
            </w:pPr>
            <w:r w:rsidRPr="007038BF">
              <w:rPr>
                <w:rFonts w:ascii="Arial" w:eastAsia="Times New Roman" w:hAnsi="Arial" w:cs="Arial"/>
                <w:b/>
                <w:bCs/>
                <w:color w:val="000000"/>
                <w:sz w:val="14"/>
                <w:szCs w:val="14"/>
                <w:lang w:eastAsia="fr-FR"/>
              </w:rPr>
              <w:t>3 mois</w:t>
            </w:r>
          </w:p>
        </w:tc>
        <w:tc>
          <w:tcPr>
            <w:tcW w:w="378" w:type="pct"/>
            <w:tcBorders>
              <w:top w:val="nil"/>
              <w:left w:val="nil"/>
              <w:bottom w:val="single" w:sz="4" w:space="0" w:color="auto"/>
              <w:right w:val="single" w:sz="4" w:space="0" w:color="auto"/>
            </w:tcBorders>
            <w:shd w:val="clear" w:color="auto" w:fill="auto"/>
            <w:noWrap/>
            <w:vAlign w:val="center"/>
            <w:hideMark/>
          </w:tcPr>
          <w:p w14:paraId="208C22FC" w14:textId="77777777" w:rsidR="0091334D" w:rsidRPr="007038BF" w:rsidRDefault="0091334D" w:rsidP="002E4178">
            <w:pPr>
              <w:spacing w:after="0" w:line="240" w:lineRule="auto"/>
              <w:jc w:val="center"/>
              <w:rPr>
                <w:rFonts w:ascii="Arial" w:eastAsia="Times New Roman" w:hAnsi="Arial" w:cs="Arial"/>
                <w:b/>
                <w:bCs/>
                <w:color w:val="000000"/>
                <w:sz w:val="14"/>
                <w:szCs w:val="14"/>
                <w:lang w:eastAsia="fr-FR"/>
              </w:rPr>
            </w:pPr>
            <w:r w:rsidRPr="007038BF">
              <w:rPr>
                <w:rFonts w:ascii="Arial" w:eastAsia="Times New Roman" w:hAnsi="Arial" w:cs="Arial"/>
                <w:b/>
                <w:bCs/>
                <w:color w:val="000000"/>
                <w:sz w:val="14"/>
                <w:szCs w:val="14"/>
                <w:lang w:eastAsia="fr-FR"/>
              </w:rPr>
              <w:t>12 mois</w:t>
            </w:r>
          </w:p>
        </w:tc>
      </w:tr>
      <w:tr w:rsidR="0091334D" w:rsidRPr="00220BAA" w14:paraId="56CCEC7A" w14:textId="77777777" w:rsidTr="0091334D">
        <w:trPr>
          <w:trHeight w:val="340"/>
          <w:jc w:val="center"/>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5E4CC0E6" w14:textId="77777777" w:rsidR="0091334D" w:rsidRPr="0061068A" w:rsidRDefault="0091334D" w:rsidP="0091334D">
            <w:pPr>
              <w:spacing w:after="0" w:line="240" w:lineRule="auto"/>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Indice global</w:t>
            </w:r>
          </w:p>
        </w:tc>
        <w:tc>
          <w:tcPr>
            <w:tcW w:w="380" w:type="pct"/>
            <w:tcBorders>
              <w:top w:val="nil"/>
              <w:left w:val="nil"/>
              <w:bottom w:val="single" w:sz="4" w:space="0" w:color="auto"/>
              <w:right w:val="nil"/>
            </w:tcBorders>
            <w:shd w:val="clear" w:color="auto" w:fill="auto"/>
            <w:noWrap/>
            <w:vAlign w:val="center"/>
            <w:hideMark/>
          </w:tcPr>
          <w:p w14:paraId="41911630" w14:textId="77777777" w:rsidR="0091334D" w:rsidRPr="0061068A" w:rsidRDefault="0091334D" w:rsidP="0091334D">
            <w:pPr>
              <w:spacing w:after="0" w:line="240" w:lineRule="auto"/>
              <w:jc w:val="center"/>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10000</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760D1915" w14:textId="77777777" w:rsidR="0091334D" w:rsidRPr="00E70C38" w:rsidRDefault="0091334D" w:rsidP="0091334D">
            <w:pPr>
              <w:spacing w:after="0" w:line="240" w:lineRule="auto"/>
              <w:jc w:val="center"/>
              <w:rPr>
                <w:rFonts w:ascii="Arial" w:eastAsia="Times New Roman" w:hAnsi="Arial" w:cs="Arial"/>
                <w:b/>
                <w:bCs/>
                <w:color w:val="000000"/>
                <w:sz w:val="16"/>
                <w:szCs w:val="16"/>
                <w:lang w:eastAsia="fr-FR"/>
              </w:rPr>
            </w:pPr>
            <w:r>
              <w:rPr>
                <w:rFonts w:ascii="Arial" w:eastAsia="Times New Roman" w:hAnsi="Arial" w:cs="Arial"/>
                <w:b/>
                <w:bCs/>
                <w:color w:val="000000"/>
                <w:sz w:val="16"/>
                <w:szCs w:val="16"/>
                <w:lang w:eastAsia="fr-FR"/>
              </w:rPr>
              <w:t>114,4</w:t>
            </w:r>
          </w:p>
        </w:tc>
        <w:tc>
          <w:tcPr>
            <w:tcW w:w="378" w:type="pct"/>
            <w:tcBorders>
              <w:top w:val="nil"/>
              <w:left w:val="nil"/>
              <w:bottom w:val="single" w:sz="4" w:space="0" w:color="auto"/>
              <w:right w:val="single" w:sz="4" w:space="0" w:color="auto"/>
            </w:tcBorders>
            <w:shd w:val="clear" w:color="auto" w:fill="auto"/>
            <w:noWrap/>
            <w:vAlign w:val="center"/>
            <w:hideMark/>
          </w:tcPr>
          <w:p w14:paraId="6F883F2D" w14:textId="77777777" w:rsidR="0091334D" w:rsidRPr="009B1B1D" w:rsidRDefault="0091334D" w:rsidP="0091334D">
            <w:pPr>
              <w:spacing w:after="0" w:line="240" w:lineRule="auto"/>
              <w:jc w:val="center"/>
              <w:rPr>
                <w:rFonts w:ascii="Arial" w:eastAsia="Times New Roman" w:hAnsi="Arial" w:cs="Arial"/>
                <w:b/>
                <w:color w:val="000000"/>
                <w:sz w:val="16"/>
                <w:szCs w:val="16"/>
                <w:lang w:eastAsia="fr-FR"/>
              </w:rPr>
            </w:pPr>
            <w:r w:rsidRPr="009B1B1D">
              <w:rPr>
                <w:rFonts w:ascii="Arial" w:eastAsia="Times New Roman" w:hAnsi="Arial" w:cs="Arial"/>
                <w:b/>
                <w:color w:val="000000"/>
                <w:sz w:val="16"/>
                <w:szCs w:val="16"/>
                <w:lang w:eastAsia="fr-FR"/>
              </w:rPr>
              <w:t>128,2</w:t>
            </w:r>
          </w:p>
        </w:tc>
        <w:tc>
          <w:tcPr>
            <w:tcW w:w="378" w:type="pct"/>
            <w:tcBorders>
              <w:top w:val="nil"/>
              <w:left w:val="nil"/>
              <w:bottom w:val="single" w:sz="4" w:space="0" w:color="auto"/>
              <w:right w:val="single" w:sz="4" w:space="0" w:color="auto"/>
            </w:tcBorders>
            <w:shd w:val="clear" w:color="auto" w:fill="auto"/>
            <w:noWrap/>
            <w:vAlign w:val="center"/>
          </w:tcPr>
          <w:p w14:paraId="58EC87A0" w14:textId="77777777" w:rsidR="0091334D" w:rsidRPr="00734BA9" w:rsidRDefault="0091334D" w:rsidP="0091334D">
            <w:pPr>
              <w:spacing w:after="0" w:line="240" w:lineRule="auto"/>
              <w:jc w:val="center"/>
              <w:rPr>
                <w:rFonts w:ascii="Arial" w:hAnsi="Arial" w:cs="Arial"/>
                <w:b/>
                <w:sz w:val="16"/>
                <w:szCs w:val="16"/>
              </w:rPr>
            </w:pPr>
            <w:r w:rsidRPr="00734BA9">
              <w:rPr>
                <w:rFonts w:ascii="Arial" w:hAnsi="Arial" w:cs="Arial"/>
                <w:b/>
                <w:sz w:val="16"/>
                <w:szCs w:val="16"/>
              </w:rPr>
              <w:t>126,9</w:t>
            </w:r>
          </w:p>
        </w:tc>
        <w:tc>
          <w:tcPr>
            <w:tcW w:w="379" w:type="pct"/>
            <w:tcBorders>
              <w:top w:val="single" w:sz="4" w:space="0" w:color="auto"/>
              <w:left w:val="nil"/>
              <w:bottom w:val="single" w:sz="4" w:space="0" w:color="auto"/>
              <w:right w:val="single" w:sz="4" w:space="0" w:color="auto"/>
            </w:tcBorders>
            <w:vAlign w:val="center"/>
          </w:tcPr>
          <w:p w14:paraId="051BDCB8" w14:textId="77777777" w:rsidR="0091334D" w:rsidRPr="0091334D" w:rsidRDefault="0091334D" w:rsidP="0091334D">
            <w:pPr>
              <w:spacing w:after="0" w:line="240" w:lineRule="auto"/>
              <w:jc w:val="center"/>
              <w:rPr>
                <w:rFonts w:ascii="Arial" w:eastAsia="Times New Roman" w:hAnsi="Arial" w:cs="Arial"/>
                <w:b/>
                <w:color w:val="000000"/>
                <w:sz w:val="16"/>
                <w:szCs w:val="16"/>
                <w:lang w:eastAsia="fr-FR"/>
              </w:rPr>
            </w:pPr>
            <w:r w:rsidRPr="0091334D">
              <w:rPr>
                <w:rFonts w:ascii="Arial" w:eastAsia="Times New Roman" w:hAnsi="Arial" w:cs="Arial"/>
                <w:b/>
                <w:color w:val="000000"/>
                <w:sz w:val="16"/>
                <w:szCs w:val="16"/>
                <w:lang w:eastAsia="fr-FR"/>
              </w:rPr>
              <w:t>124,7</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18EF3F49" w14:textId="77777777" w:rsidR="0091334D" w:rsidRPr="0091334D" w:rsidRDefault="0091334D" w:rsidP="0091334D">
            <w:pPr>
              <w:spacing w:after="0" w:line="240" w:lineRule="auto"/>
              <w:jc w:val="center"/>
              <w:rPr>
                <w:rFonts w:ascii="Arial" w:eastAsia="Times New Roman" w:hAnsi="Arial" w:cs="Arial"/>
                <w:b/>
                <w:color w:val="000000"/>
                <w:sz w:val="16"/>
                <w:szCs w:val="16"/>
                <w:lang w:eastAsia="fr-FR"/>
              </w:rPr>
            </w:pPr>
            <w:r w:rsidRPr="0091334D">
              <w:rPr>
                <w:rFonts w:ascii="Arial" w:eastAsia="Times New Roman" w:hAnsi="Arial" w:cs="Arial"/>
                <w:b/>
                <w:color w:val="000000"/>
                <w:sz w:val="16"/>
                <w:szCs w:val="16"/>
                <w:lang w:eastAsia="fr-FR"/>
              </w:rPr>
              <w:t>125,2</w:t>
            </w:r>
          </w:p>
        </w:tc>
        <w:tc>
          <w:tcPr>
            <w:tcW w:w="374" w:type="pct"/>
            <w:tcBorders>
              <w:top w:val="nil"/>
              <w:left w:val="nil"/>
              <w:bottom w:val="single" w:sz="4" w:space="0" w:color="auto"/>
              <w:right w:val="single" w:sz="4" w:space="0" w:color="auto"/>
            </w:tcBorders>
            <w:shd w:val="clear" w:color="auto" w:fill="auto"/>
            <w:noWrap/>
            <w:vAlign w:val="center"/>
          </w:tcPr>
          <w:p w14:paraId="2D5B8F17" w14:textId="77777777" w:rsidR="0091334D" w:rsidRPr="0091334D" w:rsidRDefault="0091334D" w:rsidP="0091334D">
            <w:pPr>
              <w:spacing w:after="0" w:line="240" w:lineRule="auto"/>
              <w:jc w:val="center"/>
              <w:rPr>
                <w:rFonts w:ascii="Arial" w:eastAsia="Times New Roman" w:hAnsi="Arial" w:cs="Arial"/>
                <w:b/>
                <w:color w:val="000000"/>
                <w:sz w:val="16"/>
                <w:szCs w:val="16"/>
                <w:lang w:eastAsia="fr-FR"/>
              </w:rPr>
            </w:pPr>
            <w:r w:rsidRPr="0091334D">
              <w:rPr>
                <w:rFonts w:ascii="Arial" w:eastAsia="Times New Roman" w:hAnsi="Arial" w:cs="Arial"/>
                <w:b/>
                <w:color w:val="000000"/>
                <w:sz w:val="16"/>
                <w:szCs w:val="16"/>
                <w:lang w:eastAsia="fr-FR"/>
              </w:rPr>
              <w:t>0,4%</w:t>
            </w:r>
          </w:p>
        </w:tc>
        <w:tc>
          <w:tcPr>
            <w:tcW w:w="384" w:type="pct"/>
            <w:tcBorders>
              <w:top w:val="nil"/>
              <w:left w:val="nil"/>
              <w:bottom w:val="single" w:sz="4" w:space="0" w:color="auto"/>
              <w:right w:val="single" w:sz="4" w:space="0" w:color="auto"/>
            </w:tcBorders>
            <w:shd w:val="clear" w:color="auto" w:fill="auto"/>
            <w:noWrap/>
            <w:vAlign w:val="center"/>
          </w:tcPr>
          <w:p w14:paraId="2C8D2858" w14:textId="77777777" w:rsidR="0091334D" w:rsidRPr="0091334D" w:rsidRDefault="0091334D" w:rsidP="0091334D">
            <w:pPr>
              <w:spacing w:after="0" w:line="240" w:lineRule="auto"/>
              <w:jc w:val="center"/>
              <w:rPr>
                <w:rFonts w:ascii="Arial" w:eastAsia="Times New Roman" w:hAnsi="Arial" w:cs="Arial"/>
                <w:b/>
                <w:color w:val="000000"/>
                <w:sz w:val="16"/>
                <w:szCs w:val="16"/>
                <w:lang w:eastAsia="fr-FR"/>
              </w:rPr>
            </w:pPr>
            <w:r w:rsidRPr="0091334D">
              <w:rPr>
                <w:rFonts w:ascii="Arial" w:eastAsia="Times New Roman" w:hAnsi="Arial" w:cs="Arial"/>
                <w:b/>
                <w:color w:val="000000"/>
                <w:sz w:val="16"/>
                <w:szCs w:val="16"/>
                <w:lang w:eastAsia="fr-FR"/>
              </w:rPr>
              <w:t>-2,4%</w:t>
            </w:r>
          </w:p>
        </w:tc>
        <w:tc>
          <w:tcPr>
            <w:tcW w:w="378" w:type="pct"/>
            <w:tcBorders>
              <w:top w:val="nil"/>
              <w:left w:val="nil"/>
              <w:bottom w:val="single" w:sz="4" w:space="0" w:color="auto"/>
              <w:right w:val="single" w:sz="4" w:space="0" w:color="auto"/>
            </w:tcBorders>
            <w:shd w:val="clear" w:color="auto" w:fill="auto"/>
            <w:noWrap/>
            <w:vAlign w:val="center"/>
          </w:tcPr>
          <w:p w14:paraId="3E517A48" w14:textId="77777777" w:rsidR="0091334D" w:rsidRPr="0091334D" w:rsidRDefault="0091334D" w:rsidP="0091334D">
            <w:pPr>
              <w:spacing w:after="0" w:line="240" w:lineRule="auto"/>
              <w:jc w:val="center"/>
              <w:rPr>
                <w:rFonts w:ascii="Arial" w:eastAsia="Times New Roman" w:hAnsi="Arial" w:cs="Arial"/>
                <w:b/>
                <w:color w:val="000000"/>
                <w:sz w:val="16"/>
                <w:szCs w:val="16"/>
                <w:lang w:eastAsia="fr-FR"/>
              </w:rPr>
            </w:pPr>
            <w:r w:rsidRPr="0091334D">
              <w:rPr>
                <w:rFonts w:ascii="Arial" w:eastAsia="Times New Roman" w:hAnsi="Arial" w:cs="Arial"/>
                <w:b/>
                <w:color w:val="000000"/>
                <w:sz w:val="16"/>
                <w:szCs w:val="16"/>
                <w:lang w:eastAsia="fr-FR"/>
              </w:rPr>
              <w:t>9,4%</w:t>
            </w:r>
          </w:p>
        </w:tc>
      </w:tr>
      <w:tr w:rsidR="0091334D" w:rsidRPr="00220BAA" w14:paraId="055F46EB" w14:textId="77777777" w:rsidTr="0091334D">
        <w:trPr>
          <w:trHeight w:val="340"/>
          <w:jc w:val="center"/>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0E98F9BC" w14:textId="77777777" w:rsidR="0091334D" w:rsidRPr="00B87E4C" w:rsidRDefault="0091334D" w:rsidP="0091334D">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 xml:space="preserve">1   </w:t>
            </w:r>
            <w:r>
              <w:rPr>
                <w:rFonts w:ascii="Arial" w:eastAsia="Times New Roman" w:hAnsi="Arial" w:cs="Arial"/>
                <w:bCs/>
                <w:sz w:val="16"/>
                <w:szCs w:val="16"/>
                <w:lang w:eastAsia="fr-FR"/>
              </w:rPr>
              <w:t>Produits a</w:t>
            </w:r>
            <w:r w:rsidRPr="00B87E4C">
              <w:rPr>
                <w:rFonts w:ascii="Arial" w:eastAsia="Times New Roman" w:hAnsi="Arial" w:cs="Arial"/>
                <w:bCs/>
                <w:sz w:val="16"/>
                <w:szCs w:val="16"/>
                <w:lang w:eastAsia="fr-FR"/>
              </w:rPr>
              <w:t>limenta</w:t>
            </w:r>
            <w:r>
              <w:rPr>
                <w:rFonts w:ascii="Arial" w:eastAsia="Times New Roman" w:hAnsi="Arial" w:cs="Arial"/>
                <w:bCs/>
                <w:sz w:val="16"/>
                <w:szCs w:val="16"/>
                <w:lang w:eastAsia="fr-FR"/>
              </w:rPr>
              <w:t>ires</w:t>
            </w:r>
            <w:r w:rsidRPr="00B87E4C">
              <w:rPr>
                <w:rFonts w:ascii="Arial" w:eastAsia="Times New Roman" w:hAnsi="Arial" w:cs="Arial"/>
                <w:bCs/>
                <w:sz w:val="16"/>
                <w:szCs w:val="16"/>
                <w:lang w:eastAsia="fr-FR"/>
              </w:rPr>
              <w:t xml:space="preserve"> et boisson</w:t>
            </w:r>
            <w:r>
              <w:rPr>
                <w:rFonts w:ascii="Arial" w:eastAsia="Times New Roman" w:hAnsi="Arial" w:cs="Arial"/>
                <w:bCs/>
                <w:sz w:val="16"/>
                <w:szCs w:val="16"/>
                <w:lang w:eastAsia="fr-FR"/>
              </w:rPr>
              <w:t>s</w:t>
            </w:r>
            <w:r w:rsidRPr="00B87E4C">
              <w:rPr>
                <w:rFonts w:ascii="Arial" w:eastAsia="Times New Roman" w:hAnsi="Arial" w:cs="Arial"/>
                <w:bCs/>
                <w:sz w:val="16"/>
                <w:szCs w:val="16"/>
                <w:lang w:eastAsia="fr-FR"/>
              </w:rPr>
              <w:t xml:space="preserve"> non alcoolisées</w:t>
            </w:r>
          </w:p>
        </w:tc>
        <w:tc>
          <w:tcPr>
            <w:tcW w:w="380" w:type="pct"/>
            <w:tcBorders>
              <w:top w:val="nil"/>
              <w:left w:val="nil"/>
              <w:bottom w:val="single" w:sz="4" w:space="0" w:color="auto"/>
              <w:right w:val="nil"/>
            </w:tcBorders>
            <w:shd w:val="clear" w:color="auto" w:fill="auto"/>
            <w:noWrap/>
            <w:vAlign w:val="center"/>
            <w:hideMark/>
          </w:tcPr>
          <w:p w14:paraId="1DB16CFA" w14:textId="77777777" w:rsidR="0091334D" w:rsidRPr="00B87E4C" w:rsidRDefault="0091334D" w:rsidP="0091334D">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4964</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3AAE77D4"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124,2</w:t>
            </w:r>
          </w:p>
        </w:tc>
        <w:tc>
          <w:tcPr>
            <w:tcW w:w="378" w:type="pct"/>
            <w:tcBorders>
              <w:top w:val="nil"/>
              <w:left w:val="nil"/>
              <w:bottom w:val="single" w:sz="4" w:space="0" w:color="auto"/>
              <w:right w:val="single" w:sz="4" w:space="0" w:color="auto"/>
            </w:tcBorders>
            <w:shd w:val="clear" w:color="auto" w:fill="auto"/>
            <w:noWrap/>
            <w:vAlign w:val="center"/>
            <w:hideMark/>
          </w:tcPr>
          <w:p w14:paraId="5237E505" w14:textId="77777777" w:rsidR="0091334D" w:rsidRPr="009B1B1D" w:rsidRDefault="0091334D" w:rsidP="0091334D">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146,3</w:t>
            </w:r>
          </w:p>
        </w:tc>
        <w:tc>
          <w:tcPr>
            <w:tcW w:w="378" w:type="pct"/>
            <w:tcBorders>
              <w:top w:val="nil"/>
              <w:left w:val="nil"/>
              <w:bottom w:val="single" w:sz="4" w:space="0" w:color="auto"/>
              <w:right w:val="single" w:sz="4" w:space="0" w:color="auto"/>
            </w:tcBorders>
            <w:shd w:val="clear" w:color="auto" w:fill="auto"/>
            <w:noWrap/>
            <w:vAlign w:val="center"/>
          </w:tcPr>
          <w:p w14:paraId="4559C4F6" w14:textId="77777777" w:rsidR="0091334D" w:rsidRPr="00734BA9" w:rsidRDefault="0091334D" w:rsidP="0091334D">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143,3</w:t>
            </w:r>
          </w:p>
        </w:tc>
        <w:tc>
          <w:tcPr>
            <w:tcW w:w="379" w:type="pct"/>
            <w:tcBorders>
              <w:top w:val="single" w:sz="4" w:space="0" w:color="auto"/>
              <w:left w:val="nil"/>
              <w:bottom w:val="single" w:sz="4" w:space="0" w:color="auto"/>
              <w:right w:val="single" w:sz="4" w:space="0" w:color="auto"/>
            </w:tcBorders>
            <w:vAlign w:val="center"/>
          </w:tcPr>
          <w:p w14:paraId="1FE5EA89"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137,9</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52634317"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138,6</w:t>
            </w:r>
          </w:p>
        </w:tc>
        <w:tc>
          <w:tcPr>
            <w:tcW w:w="374" w:type="pct"/>
            <w:tcBorders>
              <w:top w:val="nil"/>
              <w:left w:val="nil"/>
              <w:bottom w:val="single" w:sz="4" w:space="0" w:color="auto"/>
              <w:right w:val="single" w:sz="4" w:space="0" w:color="auto"/>
            </w:tcBorders>
            <w:shd w:val="clear" w:color="auto" w:fill="auto"/>
            <w:noWrap/>
            <w:vAlign w:val="center"/>
          </w:tcPr>
          <w:p w14:paraId="4511A179"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0,5%</w:t>
            </w:r>
          </w:p>
        </w:tc>
        <w:tc>
          <w:tcPr>
            <w:tcW w:w="384" w:type="pct"/>
            <w:tcBorders>
              <w:top w:val="nil"/>
              <w:left w:val="nil"/>
              <w:bottom w:val="single" w:sz="4" w:space="0" w:color="auto"/>
              <w:right w:val="single" w:sz="4" w:space="0" w:color="auto"/>
            </w:tcBorders>
            <w:shd w:val="clear" w:color="auto" w:fill="auto"/>
            <w:noWrap/>
            <w:vAlign w:val="center"/>
          </w:tcPr>
          <w:p w14:paraId="506C69CF"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-5,2%</w:t>
            </w:r>
          </w:p>
        </w:tc>
        <w:tc>
          <w:tcPr>
            <w:tcW w:w="378" w:type="pct"/>
            <w:tcBorders>
              <w:top w:val="nil"/>
              <w:left w:val="nil"/>
              <w:bottom w:val="single" w:sz="4" w:space="0" w:color="auto"/>
              <w:right w:val="single" w:sz="4" w:space="0" w:color="auto"/>
            </w:tcBorders>
            <w:shd w:val="clear" w:color="auto" w:fill="auto"/>
            <w:noWrap/>
            <w:vAlign w:val="center"/>
          </w:tcPr>
          <w:p w14:paraId="6A2415A5"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11,6%</w:t>
            </w:r>
          </w:p>
        </w:tc>
      </w:tr>
      <w:tr w:rsidR="0091334D" w:rsidRPr="00220BAA" w14:paraId="105F2B0A" w14:textId="77777777" w:rsidTr="0091334D">
        <w:trPr>
          <w:trHeight w:val="340"/>
          <w:jc w:val="center"/>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33304F08" w14:textId="77777777" w:rsidR="0091334D" w:rsidRPr="00B87E4C" w:rsidRDefault="0091334D" w:rsidP="0091334D">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2   Boissons alcoolisées, tabac et stupéfiant</w:t>
            </w:r>
          </w:p>
        </w:tc>
        <w:tc>
          <w:tcPr>
            <w:tcW w:w="380" w:type="pct"/>
            <w:tcBorders>
              <w:top w:val="nil"/>
              <w:left w:val="nil"/>
              <w:bottom w:val="single" w:sz="4" w:space="0" w:color="auto"/>
              <w:right w:val="nil"/>
            </w:tcBorders>
            <w:shd w:val="clear" w:color="auto" w:fill="auto"/>
            <w:noWrap/>
            <w:vAlign w:val="center"/>
            <w:hideMark/>
          </w:tcPr>
          <w:p w14:paraId="5F54BF72" w14:textId="77777777" w:rsidR="0091334D" w:rsidRPr="00B87E4C" w:rsidRDefault="0091334D" w:rsidP="0091334D">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49</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51415493"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117,6</w:t>
            </w:r>
          </w:p>
        </w:tc>
        <w:tc>
          <w:tcPr>
            <w:tcW w:w="378" w:type="pct"/>
            <w:tcBorders>
              <w:top w:val="nil"/>
              <w:left w:val="nil"/>
              <w:bottom w:val="single" w:sz="4" w:space="0" w:color="auto"/>
              <w:right w:val="single" w:sz="4" w:space="0" w:color="auto"/>
            </w:tcBorders>
            <w:shd w:val="clear" w:color="auto" w:fill="auto"/>
            <w:noWrap/>
            <w:vAlign w:val="center"/>
            <w:hideMark/>
          </w:tcPr>
          <w:p w14:paraId="52567546" w14:textId="77777777" w:rsidR="0091334D" w:rsidRPr="009B1B1D" w:rsidRDefault="0091334D" w:rsidP="0091334D">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121,7</w:t>
            </w:r>
          </w:p>
        </w:tc>
        <w:tc>
          <w:tcPr>
            <w:tcW w:w="378" w:type="pct"/>
            <w:tcBorders>
              <w:top w:val="nil"/>
              <w:left w:val="nil"/>
              <w:bottom w:val="single" w:sz="4" w:space="0" w:color="auto"/>
              <w:right w:val="single" w:sz="4" w:space="0" w:color="auto"/>
            </w:tcBorders>
            <w:shd w:val="clear" w:color="auto" w:fill="auto"/>
            <w:noWrap/>
            <w:vAlign w:val="center"/>
          </w:tcPr>
          <w:p w14:paraId="59DDF185" w14:textId="77777777" w:rsidR="0091334D" w:rsidRPr="00734BA9" w:rsidRDefault="0091334D" w:rsidP="0091334D">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121,9</w:t>
            </w:r>
          </w:p>
        </w:tc>
        <w:tc>
          <w:tcPr>
            <w:tcW w:w="379" w:type="pct"/>
            <w:tcBorders>
              <w:top w:val="single" w:sz="4" w:space="0" w:color="auto"/>
              <w:left w:val="nil"/>
              <w:bottom w:val="single" w:sz="4" w:space="0" w:color="auto"/>
              <w:right w:val="single" w:sz="4" w:space="0" w:color="auto"/>
            </w:tcBorders>
            <w:vAlign w:val="center"/>
          </w:tcPr>
          <w:p w14:paraId="32875528"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121,6</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0CDAB135"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121,7</w:t>
            </w:r>
          </w:p>
        </w:tc>
        <w:tc>
          <w:tcPr>
            <w:tcW w:w="374" w:type="pct"/>
            <w:tcBorders>
              <w:top w:val="nil"/>
              <w:left w:val="nil"/>
              <w:bottom w:val="single" w:sz="4" w:space="0" w:color="auto"/>
              <w:right w:val="single" w:sz="4" w:space="0" w:color="auto"/>
            </w:tcBorders>
            <w:shd w:val="clear" w:color="auto" w:fill="auto"/>
            <w:noWrap/>
            <w:vAlign w:val="center"/>
          </w:tcPr>
          <w:p w14:paraId="3CCCF148"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0,1%</w:t>
            </w:r>
          </w:p>
        </w:tc>
        <w:tc>
          <w:tcPr>
            <w:tcW w:w="384" w:type="pct"/>
            <w:tcBorders>
              <w:top w:val="nil"/>
              <w:left w:val="nil"/>
              <w:bottom w:val="single" w:sz="4" w:space="0" w:color="auto"/>
              <w:right w:val="single" w:sz="4" w:space="0" w:color="auto"/>
            </w:tcBorders>
            <w:shd w:val="clear" w:color="auto" w:fill="auto"/>
            <w:noWrap/>
            <w:vAlign w:val="center"/>
          </w:tcPr>
          <w:p w14:paraId="1D512562"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0,0%</w:t>
            </w:r>
          </w:p>
        </w:tc>
        <w:tc>
          <w:tcPr>
            <w:tcW w:w="378" w:type="pct"/>
            <w:tcBorders>
              <w:top w:val="nil"/>
              <w:left w:val="nil"/>
              <w:bottom w:val="single" w:sz="4" w:space="0" w:color="auto"/>
              <w:right w:val="single" w:sz="4" w:space="0" w:color="auto"/>
            </w:tcBorders>
            <w:shd w:val="clear" w:color="auto" w:fill="auto"/>
            <w:noWrap/>
            <w:vAlign w:val="center"/>
          </w:tcPr>
          <w:p w14:paraId="4D13EC5B"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3,5%</w:t>
            </w:r>
          </w:p>
        </w:tc>
      </w:tr>
      <w:tr w:rsidR="0091334D" w:rsidRPr="00220BAA" w14:paraId="12B6BAE7" w14:textId="77777777" w:rsidTr="0091334D">
        <w:trPr>
          <w:trHeight w:val="340"/>
          <w:jc w:val="center"/>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2E02D927" w14:textId="77777777" w:rsidR="0091334D" w:rsidRPr="00B87E4C" w:rsidRDefault="0091334D" w:rsidP="0091334D">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3   Articles d'habillement et chaussures</w:t>
            </w:r>
          </w:p>
        </w:tc>
        <w:tc>
          <w:tcPr>
            <w:tcW w:w="380" w:type="pct"/>
            <w:tcBorders>
              <w:top w:val="nil"/>
              <w:left w:val="nil"/>
              <w:bottom w:val="single" w:sz="4" w:space="0" w:color="auto"/>
              <w:right w:val="nil"/>
            </w:tcBorders>
            <w:shd w:val="clear" w:color="auto" w:fill="auto"/>
            <w:noWrap/>
            <w:vAlign w:val="center"/>
            <w:hideMark/>
          </w:tcPr>
          <w:p w14:paraId="3E5181B0" w14:textId="77777777" w:rsidR="0091334D" w:rsidRPr="00B87E4C" w:rsidRDefault="0091334D" w:rsidP="0091334D">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730</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57E91294"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104,4</w:t>
            </w:r>
          </w:p>
        </w:tc>
        <w:tc>
          <w:tcPr>
            <w:tcW w:w="378" w:type="pct"/>
            <w:tcBorders>
              <w:top w:val="nil"/>
              <w:left w:val="nil"/>
              <w:bottom w:val="single" w:sz="4" w:space="0" w:color="auto"/>
              <w:right w:val="single" w:sz="4" w:space="0" w:color="auto"/>
            </w:tcBorders>
            <w:shd w:val="clear" w:color="auto" w:fill="auto"/>
            <w:noWrap/>
            <w:vAlign w:val="center"/>
            <w:hideMark/>
          </w:tcPr>
          <w:p w14:paraId="237AA936" w14:textId="77777777" w:rsidR="0091334D" w:rsidRPr="009B1B1D" w:rsidRDefault="0091334D" w:rsidP="0091334D">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109,3</w:t>
            </w:r>
          </w:p>
        </w:tc>
        <w:tc>
          <w:tcPr>
            <w:tcW w:w="378" w:type="pct"/>
            <w:tcBorders>
              <w:top w:val="nil"/>
              <w:left w:val="nil"/>
              <w:bottom w:val="single" w:sz="4" w:space="0" w:color="auto"/>
              <w:right w:val="single" w:sz="4" w:space="0" w:color="auto"/>
            </w:tcBorders>
            <w:shd w:val="clear" w:color="auto" w:fill="auto"/>
            <w:noWrap/>
            <w:vAlign w:val="center"/>
          </w:tcPr>
          <w:p w14:paraId="33BA303E" w14:textId="77777777" w:rsidR="0091334D" w:rsidRPr="00734BA9" w:rsidRDefault="0091334D" w:rsidP="0091334D">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109,9</w:t>
            </w:r>
          </w:p>
        </w:tc>
        <w:tc>
          <w:tcPr>
            <w:tcW w:w="379" w:type="pct"/>
            <w:tcBorders>
              <w:top w:val="single" w:sz="4" w:space="0" w:color="auto"/>
              <w:left w:val="nil"/>
              <w:bottom w:val="single" w:sz="4" w:space="0" w:color="auto"/>
              <w:right w:val="single" w:sz="4" w:space="0" w:color="auto"/>
            </w:tcBorders>
            <w:vAlign w:val="center"/>
          </w:tcPr>
          <w:p w14:paraId="08D99A23"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109,7</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1EFADB80"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109,9</w:t>
            </w:r>
          </w:p>
        </w:tc>
        <w:tc>
          <w:tcPr>
            <w:tcW w:w="374" w:type="pct"/>
            <w:tcBorders>
              <w:top w:val="nil"/>
              <w:left w:val="nil"/>
              <w:bottom w:val="single" w:sz="4" w:space="0" w:color="auto"/>
              <w:right w:val="single" w:sz="4" w:space="0" w:color="auto"/>
            </w:tcBorders>
            <w:shd w:val="clear" w:color="auto" w:fill="auto"/>
            <w:noWrap/>
            <w:vAlign w:val="center"/>
          </w:tcPr>
          <w:p w14:paraId="18C38C7A"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0,2%</w:t>
            </w:r>
          </w:p>
        </w:tc>
        <w:tc>
          <w:tcPr>
            <w:tcW w:w="384" w:type="pct"/>
            <w:tcBorders>
              <w:top w:val="nil"/>
              <w:left w:val="nil"/>
              <w:bottom w:val="single" w:sz="4" w:space="0" w:color="auto"/>
              <w:right w:val="single" w:sz="4" w:space="0" w:color="auto"/>
            </w:tcBorders>
            <w:shd w:val="clear" w:color="auto" w:fill="auto"/>
            <w:noWrap/>
            <w:vAlign w:val="center"/>
          </w:tcPr>
          <w:p w14:paraId="20F0E908"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0,6%</w:t>
            </w:r>
          </w:p>
        </w:tc>
        <w:tc>
          <w:tcPr>
            <w:tcW w:w="378" w:type="pct"/>
            <w:tcBorders>
              <w:top w:val="nil"/>
              <w:left w:val="nil"/>
              <w:bottom w:val="single" w:sz="4" w:space="0" w:color="auto"/>
              <w:right w:val="single" w:sz="4" w:space="0" w:color="auto"/>
            </w:tcBorders>
            <w:shd w:val="clear" w:color="auto" w:fill="auto"/>
            <w:noWrap/>
            <w:vAlign w:val="center"/>
          </w:tcPr>
          <w:p w14:paraId="5528A109"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5,2%</w:t>
            </w:r>
          </w:p>
        </w:tc>
      </w:tr>
      <w:tr w:rsidR="0091334D" w:rsidRPr="00220BAA" w14:paraId="300C5916" w14:textId="77777777" w:rsidTr="0091334D">
        <w:trPr>
          <w:trHeight w:val="397"/>
          <w:jc w:val="center"/>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072CE139" w14:textId="77777777" w:rsidR="0091334D" w:rsidRPr="00B87E4C" w:rsidRDefault="0091334D" w:rsidP="0091334D">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4   Logement, eau, électricité, gaz et autres combustibles</w:t>
            </w:r>
          </w:p>
        </w:tc>
        <w:tc>
          <w:tcPr>
            <w:tcW w:w="380" w:type="pct"/>
            <w:tcBorders>
              <w:top w:val="nil"/>
              <w:left w:val="nil"/>
              <w:bottom w:val="single" w:sz="4" w:space="0" w:color="auto"/>
              <w:right w:val="nil"/>
            </w:tcBorders>
            <w:shd w:val="clear" w:color="auto" w:fill="auto"/>
            <w:noWrap/>
            <w:vAlign w:val="center"/>
            <w:hideMark/>
          </w:tcPr>
          <w:p w14:paraId="5FC90F1D" w14:textId="77777777" w:rsidR="0091334D" w:rsidRPr="00B87E4C" w:rsidRDefault="0091334D" w:rsidP="0091334D">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1204</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3F55A959"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102,5</w:t>
            </w:r>
          </w:p>
        </w:tc>
        <w:tc>
          <w:tcPr>
            <w:tcW w:w="378" w:type="pct"/>
            <w:tcBorders>
              <w:top w:val="nil"/>
              <w:left w:val="nil"/>
              <w:bottom w:val="single" w:sz="4" w:space="0" w:color="auto"/>
              <w:right w:val="single" w:sz="4" w:space="0" w:color="auto"/>
            </w:tcBorders>
            <w:shd w:val="clear" w:color="auto" w:fill="auto"/>
            <w:noWrap/>
            <w:vAlign w:val="center"/>
            <w:hideMark/>
          </w:tcPr>
          <w:p w14:paraId="544E7EB1" w14:textId="77777777" w:rsidR="0091334D" w:rsidRPr="009B1B1D" w:rsidRDefault="0091334D" w:rsidP="0091334D">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108,6</w:t>
            </w:r>
          </w:p>
        </w:tc>
        <w:tc>
          <w:tcPr>
            <w:tcW w:w="378" w:type="pct"/>
            <w:tcBorders>
              <w:top w:val="nil"/>
              <w:left w:val="nil"/>
              <w:bottom w:val="single" w:sz="4" w:space="0" w:color="auto"/>
              <w:right w:val="single" w:sz="4" w:space="0" w:color="auto"/>
            </w:tcBorders>
            <w:shd w:val="clear" w:color="auto" w:fill="auto"/>
            <w:noWrap/>
            <w:vAlign w:val="center"/>
          </w:tcPr>
          <w:p w14:paraId="625F3174" w14:textId="77777777" w:rsidR="0091334D" w:rsidRPr="00734BA9" w:rsidRDefault="0091334D" w:rsidP="0091334D">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108,8</w:t>
            </w:r>
          </w:p>
        </w:tc>
        <w:tc>
          <w:tcPr>
            <w:tcW w:w="379" w:type="pct"/>
            <w:tcBorders>
              <w:top w:val="single" w:sz="4" w:space="0" w:color="auto"/>
              <w:left w:val="nil"/>
              <w:bottom w:val="single" w:sz="4" w:space="0" w:color="auto"/>
              <w:right w:val="single" w:sz="4" w:space="0" w:color="auto"/>
            </w:tcBorders>
            <w:vAlign w:val="center"/>
          </w:tcPr>
          <w:p w14:paraId="78F91138"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111,3</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061688A2"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111,5</w:t>
            </w:r>
          </w:p>
        </w:tc>
        <w:tc>
          <w:tcPr>
            <w:tcW w:w="374" w:type="pct"/>
            <w:tcBorders>
              <w:top w:val="nil"/>
              <w:left w:val="nil"/>
              <w:bottom w:val="single" w:sz="4" w:space="0" w:color="auto"/>
              <w:right w:val="single" w:sz="4" w:space="0" w:color="auto"/>
            </w:tcBorders>
            <w:shd w:val="clear" w:color="auto" w:fill="auto"/>
            <w:noWrap/>
            <w:vAlign w:val="center"/>
          </w:tcPr>
          <w:p w14:paraId="298468EC"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0,1%</w:t>
            </w:r>
          </w:p>
        </w:tc>
        <w:tc>
          <w:tcPr>
            <w:tcW w:w="384" w:type="pct"/>
            <w:tcBorders>
              <w:top w:val="nil"/>
              <w:left w:val="nil"/>
              <w:bottom w:val="single" w:sz="4" w:space="0" w:color="auto"/>
              <w:right w:val="single" w:sz="4" w:space="0" w:color="auto"/>
            </w:tcBorders>
            <w:shd w:val="clear" w:color="auto" w:fill="auto"/>
            <w:noWrap/>
            <w:vAlign w:val="center"/>
          </w:tcPr>
          <w:p w14:paraId="57B9F6CE"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2,6%</w:t>
            </w:r>
          </w:p>
        </w:tc>
        <w:tc>
          <w:tcPr>
            <w:tcW w:w="378" w:type="pct"/>
            <w:tcBorders>
              <w:top w:val="nil"/>
              <w:left w:val="nil"/>
              <w:bottom w:val="single" w:sz="4" w:space="0" w:color="auto"/>
              <w:right w:val="single" w:sz="4" w:space="0" w:color="auto"/>
            </w:tcBorders>
            <w:shd w:val="clear" w:color="auto" w:fill="auto"/>
            <w:noWrap/>
            <w:vAlign w:val="center"/>
          </w:tcPr>
          <w:p w14:paraId="143E2B35"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8,7%</w:t>
            </w:r>
          </w:p>
        </w:tc>
      </w:tr>
      <w:tr w:rsidR="0091334D" w:rsidRPr="00220BAA" w14:paraId="7C8B1851" w14:textId="77777777" w:rsidTr="0091334D">
        <w:trPr>
          <w:trHeight w:val="397"/>
          <w:jc w:val="center"/>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64C269BF" w14:textId="77777777" w:rsidR="0091334D" w:rsidRPr="00B87E4C" w:rsidRDefault="0091334D" w:rsidP="0091334D">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5   Meubles, articles de ménages et entretien</w:t>
            </w:r>
            <w:r>
              <w:rPr>
                <w:rFonts w:ascii="Arial" w:eastAsia="Times New Roman" w:hAnsi="Arial" w:cs="Arial"/>
                <w:bCs/>
                <w:sz w:val="16"/>
                <w:szCs w:val="16"/>
                <w:lang w:eastAsia="fr-FR"/>
              </w:rPr>
              <w:t xml:space="preserve"> </w:t>
            </w:r>
            <w:r w:rsidRPr="00B87E4C">
              <w:rPr>
                <w:rFonts w:ascii="Arial" w:eastAsia="Times New Roman" w:hAnsi="Arial" w:cs="Arial"/>
                <w:bCs/>
                <w:sz w:val="16"/>
                <w:szCs w:val="16"/>
                <w:lang w:eastAsia="fr-FR"/>
              </w:rPr>
              <w:t>courant du foyer</w:t>
            </w:r>
          </w:p>
        </w:tc>
        <w:tc>
          <w:tcPr>
            <w:tcW w:w="380" w:type="pct"/>
            <w:tcBorders>
              <w:top w:val="nil"/>
              <w:left w:val="nil"/>
              <w:bottom w:val="single" w:sz="4" w:space="0" w:color="auto"/>
              <w:right w:val="nil"/>
            </w:tcBorders>
            <w:shd w:val="clear" w:color="auto" w:fill="auto"/>
            <w:noWrap/>
            <w:vAlign w:val="center"/>
            <w:hideMark/>
          </w:tcPr>
          <w:p w14:paraId="115FAC8A" w14:textId="77777777" w:rsidR="0091334D" w:rsidRPr="00B87E4C" w:rsidRDefault="0091334D" w:rsidP="0091334D">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502</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1E6AF00B"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110,0</w:t>
            </w:r>
          </w:p>
        </w:tc>
        <w:tc>
          <w:tcPr>
            <w:tcW w:w="378" w:type="pct"/>
            <w:tcBorders>
              <w:top w:val="nil"/>
              <w:left w:val="nil"/>
              <w:bottom w:val="single" w:sz="4" w:space="0" w:color="auto"/>
              <w:right w:val="single" w:sz="4" w:space="0" w:color="auto"/>
            </w:tcBorders>
            <w:shd w:val="clear" w:color="auto" w:fill="auto"/>
            <w:noWrap/>
            <w:vAlign w:val="center"/>
            <w:hideMark/>
          </w:tcPr>
          <w:p w14:paraId="07879B89" w14:textId="77777777" w:rsidR="0091334D" w:rsidRPr="009B1B1D" w:rsidRDefault="0091334D" w:rsidP="0091334D">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115,2</w:t>
            </w:r>
          </w:p>
        </w:tc>
        <w:tc>
          <w:tcPr>
            <w:tcW w:w="378" w:type="pct"/>
            <w:tcBorders>
              <w:top w:val="nil"/>
              <w:left w:val="nil"/>
              <w:bottom w:val="single" w:sz="4" w:space="0" w:color="auto"/>
              <w:right w:val="single" w:sz="4" w:space="0" w:color="auto"/>
            </w:tcBorders>
            <w:shd w:val="clear" w:color="auto" w:fill="auto"/>
            <w:noWrap/>
            <w:vAlign w:val="center"/>
          </w:tcPr>
          <w:p w14:paraId="78667975" w14:textId="77777777" w:rsidR="0091334D" w:rsidRPr="00734BA9" w:rsidRDefault="0091334D" w:rsidP="0091334D">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115,5</w:t>
            </w:r>
          </w:p>
        </w:tc>
        <w:tc>
          <w:tcPr>
            <w:tcW w:w="379" w:type="pct"/>
            <w:tcBorders>
              <w:top w:val="single" w:sz="4" w:space="0" w:color="auto"/>
              <w:left w:val="nil"/>
              <w:bottom w:val="single" w:sz="4" w:space="0" w:color="auto"/>
              <w:right w:val="single" w:sz="4" w:space="0" w:color="auto"/>
            </w:tcBorders>
            <w:vAlign w:val="center"/>
          </w:tcPr>
          <w:p w14:paraId="0E4E8188"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115,7</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74CBF3FA"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116,3</w:t>
            </w:r>
          </w:p>
        </w:tc>
        <w:tc>
          <w:tcPr>
            <w:tcW w:w="374" w:type="pct"/>
            <w:tcBorders>
              <w:top w:val="nil"/>
              <w:left w:val="nil"/>
              <w:bottom w:val="single" w:sz="4" w:space="0" w:color="auto"/>
              <w:right w:val="single" w:sz="4" w:space="0" w:color="auto"/>
            </w:tcBorders>
            <w:shd w:val="clear" w:color="auto" w:fill="auto"/>
            <w:noWrap/>
            <w:vAlign w:val="center"/>
          </w:tcPr>
          <w:p w14:paraId="4F5BB927"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0,5%</w:t>
            </w:r>
          </w:p>
        </w:tc>
        <w:tc>
          <w:tcPr>
            <w:tcW w:w="384" w:type="pct"/>
            <w:tcBorders>
              <w:top w:val="nil"/>
              <w:left w:val="nil"/>
              <w:bottom w:val="single" w:sz="4" w:space="0" w:color="auto"/>
              <w:right w:val="single" w:sz="4" w:space="0" w:color="auto"/>
            </w:tcBorders>
            <w:shd w:val="clear" w:color="auto" w:fill="auto"/>
            <w:noWrap/>
            <w:vAlign w:val="center"/>
          </w:tcPr>
          <w:p w14:paraId="0CDAE669"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1,0%</w:t>
            </w:r>
          </w:p>
        </w:tc>
        <w:tc>
          <w:tcPr>
            <w:tcW w:w="378" w:type="pct"/>
            <w:tcBorders>
              <w:top w:val="nil"/>
              <w:left w:val="nil"/>
              <w:bottom w:val="single" w:sz="4" w:space="0" w:color="auto"/>
              <w:right w:val="single" w:sz="4" w:space="0" w:color="auto"/>
            </w:tcBorders>
            <w:shd w:val="clear" w:color="auto" w:fill="auto"/>
            <w:noWrap/>
            <w:vAlign w:val="center"/>
          </w:tcPr>
          <w:p w14:paraId="44C60A6F"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5,7%</w:t>
            </w:r>
          </w:p>
        </w:tc>
      </w:tr>
      <w:tr w:rsidR="0091334D" w:rsidRPr="00220BAA" w14:paraId="7F8C2066" w14:textId="77777777" w:rsidTr="0091334D">
        <w:trPr>
          <w:trHeight w:val="340"/>
          <w:jc w:val="center"/>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7F30CD03" w14:textId="77777777" w:rsidR="0091334D" w:rsidRPr="00B87E4C" w:rsidRDefault="0091334D" w:rsidP="0091334D">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6   Santé</w:t>
            </w:r>
          </w:p>
        </w:tc>
        <w:tc>
          <w:tcPr>
            <w:tcW w:w="380" w:type="pct"/>
            <w:tcBorders>
              <w:top w:val="nil"/>
              <w:left w:val="nil"/>
              <w:bottom w:val="single" w:sz="4" w:space="0" w:color="auto"/>
              <w:right w:val="nil"/>
            </w:tcBorders>
            <w:shd w:val="clear" w:color="auto" w:fill="auto"/>
            <w:noWrap/>
            <w:vAlign w:val="center"/>
            <w:hideMark/>
          </w:tcPr>
          <w:p w14:paraId="0E35FA62" w14:textId="77777777" w:rsidR="0091334D" w:rsidRPr="00B87E4C" w:rsidRDefault="0091334D" w:rsidP="0091334D">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353</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47D332AE"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109,5</w:t>
            </w:r>
          </w:p>
        </w:tc>
        <w:tc>
          <w:tcPr>
            <w:tcW w:w="378" w:type="pct"/>
            <w:tcBorders>
              <w:top w:val="nil"/>
              <w:left w:val="nil"/>
              <w:bottom w:val="single" w:sz="4" w:space="0" w:color="auto"/>
              <w:right w:val="single" w:sz="4" w:space="0" w:color="auto"/>
            </w:tcBorders>
            <w:shd w:val="clear" w:color="auto" w:fill="auto"/>
            <w:noWrap/>
            <w:vAlign w:val="center"/>
            <w:hideMark/>
          </w:tcPr>
          <w:p w14:paraId="0C4C1614" w14:textId="77777777" w:rsidR="0091334D" w:rsidRPr="009B1B1D" w:rsidRDefault="0091334D" w:rsidP="0091334D">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111,8</w:t>
            </w:r>
          </w:p>
        </w:tc>
        <w:tc>
          <w:tcPr>
            <w:tcW w:w="378" w:type="pct"/>
            <w:tcBorders>
              <w:top w:val="nil"/>
              <w:left w:val="nil"/>
              <w:bottom w:val="single" w:sz="4" w:space="0" w:color="auto"/>
              <w:right w:val="single" w:sz="4" w:space="0" w:color="auto"/>
            </w:tcBorders>
            <w:shd w:val="clear" w:color="auto" w:fill="auto"/>
            <w:noWrap/>
            <w:vAlign w:val="center"/>
          </w:tcPr>
          <w:p w14:paraId="5DF7C113" w14:textId="77777777" w:rsidR="0091334D" w:rsidRPr="00734BA9" w:rsidRDefault="0091334D" w:rsidP="0091334D">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112,6</w:t>
            </w:r>
          </w:p>
        </w:tc>
        <w:tc>
          <w:tcPr>
            <w:tcW w:w="379" w:type="pct"/>
            <w:tcBorders>
              <w:top w:val="single" w:sz="4" w:space="0" w:color="auto"/>
              <w:left w:val="nil"/>
              <w:bottom w:val="single" w:sz="4" w:space="0" w:color="auto"/>
              <w:right w:val="single" w:sz="4" w:space="0" w:color="auto"/>
            </w:tcBorders>
            <w:vAlign w:val="center"/>
          </w:tcPr>
          <w:p w14:paraId="04B6DE82"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112,3</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7682C437"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112,5</w:t>
            </w:r>
          </w:p>
        </w:tc>
        <w:tc>
          <w:tcPr>
            <w:tcW w:w="374" w:type="pct"/>
            <w:tcBorders>
              <w:top w:val="nil"/>
              <w:left w:val="nil"/>
              <w:bottom w:val="single" w:sz="4" w:space="0" w:color="auto"/>
              <w:right w:val="single" w:sz="4" w:space="0" w:color="auto"/>
            </w:tcBorders>
            <w:shd w:val="clear" w:color="auto" w:fill="auto"/>
            <w:noWrap/>
            <w:vAlign w:val="center"/>
          </w:tcPr>
          <w:p w14:paraId="11AE6B84"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0,1%</w:t>
            </w:r>
          </w:p>
        </w:tc>
        <w:tc>
          <w:tcPr>
            <w:tcW w:w="384" w:type="pct"/>
            <w:tcBorders>
              <w:top w:val="nil"/>
              <w:left w:val="nil"/>
              <w:bottom w:val="single" w:sz="4" w:space="0" w:color="auto"/>
              <w:right w:val="single" w:sz="4" w:space="0" w:color="auto"/>
            </w:tcBorders>
            <w:shd w:val="clear" w:color="auto" w:fill="auto"/>
            <w:noWrap/>
            <w:vAlign w:val="center"/>
          </w:tcPr>
          <w:p w14:paraId="6B5F7267"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0,6%</w:t>
            </w:r>
          </w:p>
        </w:tc>
        <w:tc>
          <w:tcPr>
            <w:tcW w:w="378" w:type="pct"/>
            <w:tcBorders>
              <w:top w:val="nil"/>
              <w:left w:val="nil"/>
              <w:bottom w:val="single" w:sz="4" w:space="0" w:color="auto"/>
              <w:right w:val="single" w:sz="4" w:space="0" w:color="auto"/>
            </w:tcBorders>
            <w:shd w:val="clear" w:color="auto" w:fill="auto"/>
            <w:noWrap/>
            <w:vAlign w:val="center"/>
          </w:tcPr>
          <w:p w14:paraId="47B4D640"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2,8%</w:t>
            </w:r>
          </w:p>
        </w:tc>
      </w:tr>
      <w:tr w:rsidR="0091334D" w:rsidRPr="00220BAA" w14:paraId="295D3D71" w14:textId="77777777" w:rsidTr="0091334D">
        <w:trPr>
          <w:trHeight w:val="340"/>
          <w:jc w:val="center"/>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3DC3F060" w14:textId="77777777" w:rsidR="0091334D" w:rsidRPr="00B87E4C" w:rsidRDefault="0091334D" w:rsidP="0091334D">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7   Transports</w:t>
            </w:r>
          </w:p>
        </w:tc>
        <w:tc>
          <w:tcPr>
            <w:tcW w:w="380" w:type="pct"/>
            <w:tcBorders>
              <w:top w:val="nil"/>
              <w:left w:val="nil"/>
              <w:bottom w:val="single" w:sz="4" w:space="0" w:color="auto"/>
              <w:right w:val="nil"/>
            </w:tcBorders>
            <w:shd w:val="clear" w:color="auto" w:fill="auto"/>
            <w:noWrap/>
            <w:vAlign w:val="center"/>
            <w:hideMark/>
          </w:tcPr>
          <w:p w14:paraId="20E96E84" w14:textId="77777777" w:rsidR="0091334D" w:rsidRPr="00B87E4C" w:rsidRDefault="0091334D" w:rsidP="0091334D">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563</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3641770D"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106,6</w:t>
            </w:r>
          </w:p>
        </w:tc>
        <w:tc>
          <w:tcPr>
            <w:tcW w:w="378" w:type="pct"/>
            <w:tcBorders>
              <w:top w:val="nil"/>
              <w:left w:val="nil"/>
              <w:bottom w:val="single" w:sz="4" w:space="0" w:color="auto"/>
              <w:right w:val="single" w:sz="4" w:space="0" w:color="auto"/>
            </w:tcBorders>
            <w:shd w:val="clear" w:color="auto" w:fill="auto"/>
            <w:noWrap/>
            <w:vAlign w:val="center"/>
            <w:hideMark/>
          </w:tcPr>
          <w:p w14:paraId="0880F0F0" w14:textId="77777777" w:rsidR="0091334D" w:rsidRPr="009B1B1D" w:rsidRDefault="0091334D" w:rsidP="0091334D">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108,8</w:t>
            </w:r>
          </w:p>
        </w:tc>
        <w:tc>
          <w:tcPr>
            <w:tcW w:w="378" w:type="pct"/>
            <w:tcBorders>
              <w:top w:val="nil"/>
              <w:left w:val="nil"/>
              <w:bottom w:val="single" w:sz="4" w:space="0" w:color="auto"/>
              <w:right w:val="single" w:sz="4" w:space="0" w:color="auto"/>
            </w:tcBorders>
            <w:shd w:val="clear" w:color="auto" w:fill="auto"/>
            <w:noWrap/>
            <w:vAlign w:val="center"/>
          </w:tcPr>
          <w:p w14:paraId="55A7D80A" w14:textId="77777777" w:rsidR="0091334D" w:rsidRPr="00734BA9" w:rsidRDefault="0091334D" w:rsidP="0091334D">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109,0</w:t>
            </w:r>
          </w:p>
        </w:tc>
        <w:tc>
          <w:tcPr>
            <w:tcW w:w="379" w:type="pct"/>
            <w:tcBorders>
              <w:top w:val="single" w:sz="4" w:space="0" w:color="auto"/>
              <w:left w:val="nil"/>
              <w:bottom w:val="single" w:sz="4" w:space="0" w:color="auto"/>
              <w:right w:val="single" w:sz="4" w:space="0" w:color="auto"/>
            </w:tcBorders>
            <w:vAlign w:val="center"/>
          </w:tcPr>
          <w:p w14:paraId="2317E1F5"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111,3</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6644442D"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111,8</w:t>
            </w:r>
          </w:p>
        </w:tc>
        <w:tc>
          <w:tcPr>
            <w:tcW w:w="374" w:type="pct"/>
            <w:tcBorders>
              <w:top w:val="nil"/>
              <w:left w:val="nil"/>
              <w:bottom w:val="single" w:sz="4" w:space="0" w:color="auto"/>
              <w:right w:val="single" w:sz="4" w:space="0" w:color="auto"/>
            </w:tcBorders>
            <w:shd w:val="clear" w:color="auto" w:fill="auto"/>
            <w:noWrap/>
            <w:vAlign w:val="center"/>
          </w:tcPr>
          <w:p w14:paraId="63F859D2"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0,5%</w:t>
            </w:r>
          </w:p>
        </w:tc>
        <w:tc>
          <w:tcPr>
            <w:tcW w:w="384" w:type="pct"/>
            <w:tcBorders>
              <w:top w:val="nil"/>
              <w:left w:val="nil"/>
              <w:bottom w:val="single" w:sz="4" w:space="0" w:color="auto"/>
              <w:right w:val="single" w:sz="4" w:space="0" w:color="auto"/>
            </w:tcBorders>
            <w:shd w:val="clear" w:color="auto" w:fill="auto"/>
            <w:noWrap/>
            <w:vAlign w:val="center"/>
          </w:tcPr>
          <w:p w14:paraId="499AC792"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2,8%</w:t>
            </w:r>
          </w:p>
        </w:tc>
        <w:tc>
          <w:tcPr>
            <w:tcW w:w="378" w:type="pct"/>
            <w:tcBorders>
              <w:top w:val="nil"/>
              <w:left w:val="nil"/>
              <w:bottom w:val="single" w:sz="4" w:space="0" w:color="auto"/>
              <w:right w:val="single" w:sz="4" w:space="0" w:color="auto"/>
            </w:tcBorders>
            <w:shd w:val="clear" w:color="auto" w:fill="auto"/>
            <w:noWrap/>
            <w:vAlign w:val="center"/>
          </w:tcPr>
          <w:p w14:paraId="51E716A9"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4,9%</w:t>
            </w:r>
          </w:p>
        </w:tc>
      </w:tr>
      <w:tr w:rsidR="0091334D" w:rsidRPr="00220BAA" w14:paraId="654C9E8B" w14:textId="77777777" w:rsidTr="0091334D">
        <w:trPr>
          <w:trHeight w:val="340"/>
          <w:jc w:val="center"/>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790AEF0A" w14:textId="77777777" w:rsidR="0091334D" w:rsidRPr="00B87E4C" w:rsidRDefault="0091334D" w:rsidP="0091334D">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8   Communication</w:t>
            </w:r>
          </w:p>
        </w:tc>
        <w:tc>
          <w:tcPr>
            <w:tcW w:w="380" w:type="pct"/>
            <w:tcBorders>
              <w:top w:val="nil"/>
              <w:left w:val="nil"/>
              <w:bottom w:val="single" w:sz="4" w:space="0" w:color="auto"/>
              <w:right w:val="nil"/>
            </w:tcBorders>
            <w:shd w:val="clear" w:color="auto" w:fill="auto"/>
            <w:noWrap/>
            <w:vAlign w:val="center"/>
            <w:hideMark/>
          </w:tcPr>
          <w:p w14:paraId="33814E6A" w14:textId="77777777" w:rsidR="0091334D" w:rsidRPr="00B87E4C" w:rsidRDefault="0091334D" w:rsidP="0091334D">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329</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02AA150C"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83,5</w:t>
            </w:r>
          </w:p>
        </w:tc>
        <w:tc>
          <w:tcPr>
            <w:tcW w:w="378" w:type="pct"/>
            <w:tcBorders>
              <w:top w:val="nil"/>
              <w:left w:val="nil"/>
              <w:bottom w:val="single" w:sz="4" w:space="0" w:color="auto"/>
              <w:right w:val="single" w:sz="4" w:space="0" w:color="auto"/>
            </w:tcBorders>
            <w:shd w:val="clear" w:color="auto" w:fill="auto"/>
            <w:noWrap/>
            <w:vAlign w:val="center"/>
            <w:hideMark/>
          </w:tcPr>
          <w:p w14:paraId="51F62D59" w14:textId="77777777" w:rsidR="0091334D" w:rsidRPr="009B1B1D" w:rsidRDefault="0091334D" w:rsidP="0091334D">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88,9</w:t>
            </w:r>
          </w:p>
        </w:tc>
        <w:tc>
          <w:tcPr>
            <w:tcW w:w="378" w:type="pct"/>
            <w:tcBorders>
              <w:top w:val="nil"/>
              <w:left w:val="nil"/>
              <w:bottom w:val="single" w:sz="4" w:space="0" w:color="auto"/>
              <w:right w:val="single" w:sz="4" w:space="0" w:color="auto"/>
            </w:tcBorders>
            <w:shd w:val="clear" w:color="auto" w:fill="auto"/>
            <w:noWrap/>
            <w:vAlign w:val="center"/>
          </w:tcPr>
          <w:p w14:paraId="6C368DD1" w14:textId="77777777" w:rsidR="0091334D" w:rsidRPr="00734BA9" w:rsidRDefault="0091334D" w:rsidP="0091334D">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88,8</w:t>
            </w:r>
          </w:p>
        </w:tc>
        <w:tc>
          <w:tcPr>
            <w:tcW w:w="379" w:type="pct"/>
            <w:tcBorders>
              <w:top w:val="single" w:sz="4" w:space="0" w:color="auto"/>
              <w:left w:val="nil"/>
              <w:bottom w:val="single" w:sz="4" w:space="0" w:color="auto"/>
              <w:right w:val="single" w:sz="4" w:space="0" w:color="auto"/>
            </w:tcBorders>
            <w:vAlign w:val="center"/>
          </w:tcPr>
          <w:p w14:paraId="03EB7DA5"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88,8</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7C3FDA03"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88,5</w:t>
            </w:r>
          </w:p>
        </w:tc>
        <w:tc>
          <w:tcPr>
            <w:tcW w:w="374" w:type="pct"/>
            <w:tcBorders>
              <w:top w:val="nil"/>
              <w:left w:val="nil"/>
              <w:bottom w:val="single" w:sz="4" w:space="0" w:color="auto"/>
              <w:right w:val="single" w:sz="4" w:space="0" w:color="auto"/>
            </w:tcBorders>
            <w:shd w:val="clear" w:color="auto" w:fill="auto"/>
            <w:noWrap/>
            <w:vAlign w:val="center"/>
          </w:tcPr>
          <w:p w14:paraId="389B9256"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-0,4%</w:t>
            </w:r>
          </w:p>
        </w:tc>
        <w:tc>
          <w:tcPr>
            <w:tcW w:w="384" w:type="pct"/>
            <w:tcBorders>
              <w:top w:val="nil"/>
              <w:left w:val="nil"/>
              <w:bottom w:val="single" w:sz="4" w:space="0" w:color="auto"/>
              <w:right w:val="single" w:sz="4" w:space="0" w:color="auto"/>
            </w:tcBorders>
            <w:shd w:val="clear" w:color="auto" w:fill="auto"/>
            <w:noWrap/>
            <w:vAlign w:val="center"/>
          </w:tcPr>
          <w:p w14:paraId="4349C0CA"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-0,4%</w:t>
            </w:r>
          </w:p>
        </w:tc>
        <w:tc>
          <w:tcPr>
            <w:tcW w:w="378" w:type="pct"/>
            <w:tcBorders>
              <w:top w:val="nil"/>
              <w:left w:val="nil"/>
              <w:bottom w:val="single" w:sz="4" w:space="0" w:color="auto"/>
              <w:right w:val="single" w:sz="4" w:space="0" w:color="auto"/>
            </w:tcBorders>
            <w:shd w:val="clear" w:color="auto" w:fill="auto"/>
            <w:noWrap/>
            <w:vAlign w:val="center"/>
          </w:tcPr>
          <w:p w14:paraId="7F75CD29"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6,0%</w:t>
            </w:r>
          </w:p>
        </w:tc>
      </w:tr>
      <w:tr w:rsidR="0091334D" w:rsidRPr="00220BAA" w14:paraId="26F8132F" w14:textId="77777777" w:rsidTr="0091334D">
        <w:trPr>
          <w:trHeight w:val="340"/>
          <w:jc w:val="center"/>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476B360D" w14:textId="77777777" w:rsidR="0091334D" w:rsidRPr="00B87E4C" w:rsidRDefault="0091334D" w:rsidP="0091334D">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9   Loisirs et cultures</w:t>
            </w:r>
          </w:p>
        </w:tc>
        <w:tc>
          <w:tcPr>
            <w:tcW w:w="380" w:type="pct"/>
            <w:tcBorders>
              <w:top w:val="nil"/>
              <w:left w:val="nil"/>
              <w:bottom w:val="single" w:sz="4" w:space="0" w:color="auto"/>
              <w:right w:val="nil"/>
            </w:tcBorders>
            <w:shd w:val="clear" w:color="auto" w:fill="auto"/>
            <w:noWrap/>
            <w:vAlign w:val="center"/>
            <w:hideMark/>
          </w:tcPr>
          <w:p w14:paraId="77057EB7" w14:textId="77777777" w:rsidR="0091334D" w:rsidRPr="00B87E4C" w:rsidRDefault="0091334D" w:rsidP="0091334D">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353</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28DB2533"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102,3</w:t>
            </w:r>
          </w:p>
        </w:tc>
        <w:tc>
          <w:tcPr>
            <w:tcW w:w="378" w:type="pct"/>
            <w:tcBorders>
              <w:top w:val="nil"/>
              <w:left w:val="nil"/>
              <w:bottom w:val="single" w:sz="4" w:space="0" w:color="auto"/>
              <w:right w:val="single" w:sz="4" w:space="0" w:color="auto"/>
            </w:tcBorders>
            <w:shd w:val="clear" w:color="auto" w:fill="auto"/>
            <w:noWrap/>
            <w:vAlign w:val="center"/>
            <w:hideMark/>
          </w:tcPr>
          <w:p w14:paraId="7A2ECC99" w14:textId="77777777" w:rsidR="0091334D" w:rsidRPr="009B1B1D" w:rsidRDefault="0091334D" w:rsidP="0091334D">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118,0</w:t>
            </w:r>
          </w:p>
        </w:tc>
        <w:tc>
          <w:tcPr>
            <w:tcW w:w="378" w:type="pct"/>
            <w:tcBorders>
              <w:top w:val="nil"/>
              <w:left w:val="nil"/>
              <w:bottom w:val="single" w:sz="4" w:space="0" w:color="auto"/>
              <w:right w:val="single" w:sz="4" w:space="0" w:color="auto"/>
            </w:tcBorders>
            <w:shd w:val="clear" w:color="auto" w:fill="auto"/>
            <w:noWrap/>
            <w:vAlign w:val="center"/>
          </w:tcPr>
          <w:p w14:paraId="706BF6D3" w14:textId="77777777" w:rsidR="0091334D" w:rsidRPr="00734BA9" w:rsidRDefault="0091334D" w:rsidP="0091334D">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118,4</w:t>
            </w:r>
          </w:p>
        </w:tc>
        <w:tc>
          <w:tcPr>
            <w:tcW w:w="379" w:type="pct"/>
            <w:tcBorders>
              <w:top w:val="single" w:sz="4" w:space="0" w:color="auto"/>
              <w:left w:val="nil"/>
              <w:bottom w:val="single" w:sz="4" w:space="0" w:color="auto"/>
              <w:right w:val="single" w:sz="4" w:space="0" w:color="auto"/>
            </w:tcBorders>
            <w:vAlign w:val="center"/>
          </w:tcPr>
          <w:p w14:paraId="78E8F68F"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118,5</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1C47BA2C"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118,6</w:t>
            </w:r>
          </w:p>
        </w:tc>
        <w:tc>
          <w:tcPr>
            <w:tcW w:w="374" w:type="pct"/>
            <w:tcBorders>
              <w:top w:val="nil"/>
              <w:left w:val="nil"/>
              <w:bottom w:val="single" w:sz="4" w:space="0" w:color="auto"/>
              <w:right w:val="single" w:sz="4" w:space="0" w:color="auto"/>
            </w:tcBorders>
            <w:shd w:val="clear" w:color="auto" w:fill="auto"/>
            <w:noWrap/>
            <w:vAlign w:val="center"/>
          </w:tcPr>
          <w:p w14:paraId="06BDE4F5"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0,1%</w:t>
            </w:r>
          </w:p>
        </w:tc>
        <w:tc>
          <w:tcPr>
            <w:tcW w:w="384" w:type="pct"/>
            <w:tcBorders>
              <w:top w:val="nil"/>
              <w:left w:val="nil"/>
              <w:bottom w:val="single" w:sz="4" w:space="0" w:color="auto"/>
              <w:right w:val="single" w:sz="4" w:space="0" w:color="auto"/>
            </w:tcBorders>
            <w:shd w:val="clear" w:color="auto" w:fill="auto"/>
            <w:noWrap/>
            <w:vAlign w:val="center"/>
          </w:tcPr>
          <w:p w14:paraId="3E053C9B"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0,5%</w:t>
            </w:r>
          </w:p>
        </w:tc>
        <w:tc>
          <w:tcPr>
            <w:tcW w:w="378" w:type="pct"/>
            <w:tcBorders>
              <w:top w:val="nil"/>
              <w:left w:val="nil"/>
              <w:bottom w:val="single" w:sz="4" w:space="0" w:color="auto"/>
              <w:right w:val="single" w:sz="4" w:space="0" w:color="auto"/>
            </w:tcBorders>
            <w:shd w:val="clear" w:color="auto" w:fill="auto"/>
            <w:noWrap/>
            <w:vAlign w:val="center"/>
          </w:tcPr>
          <w:p w14:paraId="69F2E996"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16,0%</w:t>
            </w:r>
          </w:p>
        </w:tc>
      </w:tr>
      <w:tr w:rsidR="0091334D" w:rsidRPr="00220BAA" w14:paraId="36C96D73" w14:textId="77777777" w:rsidTr="0091334D">
        <w:trPr>
          <w:trHeight w:val="340"/>
          <w:jc w:val="center"/>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1604B6F0" w14:textId="77777777" w:rsidR="0091334D" w:rsidRPr="00B87E4C" w:rsidRDefault="0091334D" w:rsidP="0091334D">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10  Enseignement</w:t>
            </w:r>
          </w:p>
        </w:tc>
        <w:tc>
          <w:tcPr>
            <w:tcW w:w="380" w:type="pct"/>
            <w:tcBorders>
              <w:top w:val="nil"/>
              <w:left w:val="nil"/>
              <w:bottom w:val="single" w:sz="4" w:space="0" w:color="auto"/>
              <w:right w:val="nil"/>
            </w:tcBorders>
            <w:shd w:val="clear" w:color="auto" w:fill="auto"/>
            <w:noWrap/>
            <w:vAlign w:val="center"/>
            <w:hideMark/>
          </w:tcPr>
          <w:p w14:paraId="4DEAC5E4" w14:textId="77777777" w:rsidR="0091334D" w:rsidRPr="00B87E4C" w:rsidRDefault="0091334D" w:rsidP="0091334D">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194</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42B69837"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112,3</w:t>
            </w:r>
          </w:p>
        </w:tc>
        <w:tc>
          <w:tcPr>
            <w:tcW w:w="378" w:type="pct"/>
            <w:tcBorders>
              <w:top w:val="nil"/>
              <w:left w:val="nil"/>
              <w:bottom w:val="single" w:sz="4" w:space="0" w:color="auto"/>
              <w:right w:val="single" w:sz="4" w:space="0" w:color="auto"/>
            </w:tcBorders>
            <w:shd w:val="clear" w:color="auto" w:fill="auto"/>
            <w:noWrap/>
            <w:vAlign w:val="center"/>
            <w:hideMark/>
          </w:tcPr>
          <w:p w14:paraId="71FA4E65" w14:textId="77777777" w:rsidR="0091334D" w:rsidRPr="009B1B1D" w:rsidRDefault="0091334D" w:rsidP="0091334D">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114,4</w:t>
            </w:r>
          </w:p>
        </w:tc>
        <w:tc>
          <w:tcPr>
            <w:tcW w:w="378" w:type="pct"/>
            <w:tcBorders>
              <w:top w:val="nil"/>
              <w:left w:val="nil"/>
              <w:bottom w:val="single" w:sz="4" w:space="0" w:color="auto"/>
              <w:right w:val="single" w:sz="4" w:space="0" w:color="auto"/>
            </w:tcBorders>
            <w:shd w:val="clear" w:color="auto" w:fill="auto"/>
            <w:noWrap/>
            <w:vAlign w:val="center"/>
          </w:tcPr>
          <w:p w14:paraId="2A9E5F6B" w14:textId="77777777" w:rsidR="0091334D" w:rsidRPr="00734BA9" w:rsidRDefault="0091334D" w:rsidP="0091334D">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114,4</w:t>
            </w:r>
          </w:p>
        </w:tc>
        <w:tc>
          <w:tcPr>
            <w:tcW w:w="379" w:type="pct"/>
            <w:tcBorders>
              <w:top w:val="single" w:sz="4" w:space="0" w:color="auto"/>
              <w:left w:val="nil"/>
              <w:bottom w:val="single" w:sz="4" w:space="0" w:color="auto"/>
              <w:right w:val="single" w:sz="4" w:space="0" w:color="auto"/>
            </w:tcBorders>
            <w:vAlign w:val="center"/>
          </w:tcPr>
          <w:p w14:paraId="18BF66E9"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114,4</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01DBC6B9"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114,4</w:t>
            </w:r>
          </w:p>
        </w:tc>
        <w:tc>
          <w:tcPr>
            <w:tcW w:w="374" w:type="pct"/>
            <w:tcBorders>
              <w:top w:val="nil"/>
              <w:left w:val="nil"/>
              <w:bottom w:val="single" w:sz="4" w:space="0" w:color="auto"/>
              <w:right w:val="single" w:sz="4" w:space="0" w:color="auto"/>
            </w:tcBorders>
            <w:shd w:val="clear" w:color="auto" w:fill="auto"/>
            <w:noWrap/>
            <w:vAlign w:val="center"/>
          </w:tcPr>
          <w:p w14:paraId="67636505"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0,0%</w:t>
            </w:r>
          </w:p>
        </w:tc>
        <w:tc>
          <w:tcPr>
            <w:tcW w:w="384" w:type="pct"/>
            <w:tcBorders>
              <w:top w:val="nil"/>
              <w:left w:val="nil"/>
              <w:bottom w:val="single" w:sz="4" w:space="0" w:color="auto"/>
              <w:right w:val="single" w:sz="4" w:space="0" w:color="auto"/>
            </w:tcBorders>
            <w:shd w:val="clear" w:color="auto" w:fill="auto"/>
            <w:noWrap/>
            <w:vAlign w:val="center"/>
          </w:tcPr>
          <w:p w14:paraId="6B276B66"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0,0%</w:t>
            </w:r>
          </w:p>
        </w:tc>
        <w:tc>
          <w:tcPr>
            <w:tcW w:w="378" w:type="pct"/>
            <w:tcBorders>
              <w:top w:val="nil"/>
              <w:left w:val="nil"/>
              <w:bottom w:val="single" w:sz="4" w:space="0" w:color="auto"/>
              <w:right w:val="single" w:sz="4" w:space="0" w:color="auto"/>
            </w:tcBorders>
            <w:shd w:val="clear" w:color="auto" w:fill="auto"/>
            <w:noWrap/>
            <w:vAlign w:val="center"/>
          </w:tcPr>
          <w:p w14:paraId="62501F30"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1,9%</w:t>
            </w:r>
          </w:p>
        </w:tc>
      </w:tr>
      <w:tr w:rsidR="0091334D" w:rsidRPr="00220BAA" w14:paraId="542E867C" w14:textId="77777777" w:rsidTr="0091334D">
        <w:trPr>
          <w:trHeight w:val="340"/>
          <w:jc w:val="center"/>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687895AA" w14:textId="77777777" w:rsidR="0091334D" w:rsidRPr="00B87E4C" w:rsidRDefault="0091334D" w:rsidP="0091334D">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11  Restaurants et hôtels</w:t>
            </w:r>
          </w:p>
        </w:tc>
        <w:tc>
          <w:tcPr>
            <w:tcW w:w="380" w:type="pct"/>
            <w:tcBorders>
              <w:top w:val="nil"/>
              <w:left w:val="nil"/>
              <w:bottom w:val="single" w:sz="4" w:space="0" w:color="auto"/>
              <w:right w:val="nil"/>
            </w:tcBorders>
            <w:shd w:val="clear" w:color="auto" w:fill="auto"/>
            <w:noWrap/>
            <w:vAlign w:val="center"/>
            <w:hideMark/>
          </w:tcPr>
          <w:p w14:paraId="75128022" w14:textId="77777777" w:rsidR="0091334D" w:rsidRPr="00B87E4C" w:rsidRDefault="0091334D" w:rsidP="0091334D">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376</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61CA8F56"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111,2</w:t>
            </w:r>
          </w:p>
        </w:tc>
        <w:tc>
          <w:tcPr>
            <w:tcW w:w="378" w:type="pct"/>
            <w:tcBorders>
              <w:top w:val="nil"/>
              <w:left w:val="nil"/>
              <w:bottom w:val="single" w:sz="4" w:space="0" w:color="auto"/>
              <w:right w:val="single" w:sz="4" w:space="0" w:color="auto"/>
            </w:tcBorders>
            <w:shd w:val="clear" w:color="auto" w:fill="auto"/>
            <w:noWrap/>
            <w:vAlign w:val="center"/>
            <w:hideMark/>
          </w:tcPr>
          <w:p w14:paraId="32E9C12A" w14:textId="77777777" w:rsidR="0091334D" w:rsidRPr="009B1B1D" w:rsidRDefault="0091334D" w:rsidP="0091334D">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119,8</w:t>
            </w:r>
          </w:p>
        </w:tc>
        <w:tc>
          <w:tcPr>
            <w:tcW w:w="378" w:type="pct"/>
            <w:tcBorders>
              <w:top w:val="nil"/>
              <w:left w:val="nil"/>
              <w:bottom w:val="single" w:sz="4" w:space="0" w:color="auto"/>
              <w:right w:val="single" w:sz="4" w:space="0" w:color="auto"/>
            </w:tcBorders>
            <w:shd w:val="clear" w:color="auto" w:fill="auto"/>
            <w:noWrap/>
            <w:vAlign w:val="center"/>
          </w:tcPr>
          <w:p w14:paraId="4CA449D0" w14:textId="77777777" w:rsidR="0091334D" w:rsidRPr="00734BA9" w:rsidRDefault="0091334D" w:rsidP="0091334D">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120,2</w:t>
            </w:r>
          </w:p>
        </w:tc>
        <w:tc>
          <w:tcPr>
            <w:tcW w:w="379" w:type="pct"/>
            <w:tcBorders>
              <w:top w:val="single" w:sz="4" w:space="0" w:color="auto"/>
              <w:left w:val="nil"/>
              <w:bottom w:val="single" w:sz="4" w:space="0" w:color="auto"/>
              <w:right w:val="single" w:sz="4" w:space="0" w:color="auto"/>
            </w:tcBorders>
            <w:vAlign w:val="center"/>
          </w:tcPr>
          <w:p w14:paraId="55B09D6F"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121,3</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7394823D"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121,7</w:t>
            </w:r>
          </w:p>
        </w:tc>
        <w:tc>
          <w:tcPr>
            <w:tcW w:w="374" w:type="pct"/>
            <w:tcBorders>
              <w:top w:val="nil"/>
              <w:left w:val="nil"/>
              <w:bottom w:val="single" w:sz="4" w:space="0" w:color="auto"/>
              <w:right w:val="single" w:sz="4" w:space="0" w:color="auto"/>
            </w:tcBorders>
            <w:shd w:val="clear" w:color="auto" w:fill="auto"/>
            <w:noWrap/>
            <w:vAlign w:val="center"/>
          </w:tcPr>
          <w:p w14:paraId="235552FA"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0,4%</w:t>
            </w:r>
          </w:p>
        </w:tc>
        <w:tc>
          <w:tcPr>
            <w:tcW w:w="384" w:type="pct"/>
            <w:tcBorders>
              <w:top w:val="nil"/>
              <w:left w:val="nil"/>
              <w:bottom w:val="single" w:sz="4" w:space="0" w:color="auto"/>
              <w:right w:val="single" w:sz="4" w:space="0" w:color="auto"/>
            </w:tcBorders>
            <w:shd w:val="clear" w:color="auto" w:fill="auto"/>
            <w:noWrap/>
            <w:vAlign w:val="center"/>
          </w:tcPr>
          <w:p w14:paraId="1B5CFB31"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1,6%</w:t>
            </w:r>
          </w:p>
        </w:tc>
        <w:tc>
          <w:tcPr>
            <w:tcW w:w="378" w:type="pct"/>
            <w:tcBorders>
              <w:top w:val="nil"/>
              <w:left w:val="nil"/>
              <w:bottom w:val="single" w:sz="4" w:space="0" w:color="auto"/>
              <w:right w:val="single" w:sz="4" w:space="0" w:color="auto"/>
            </w:tcBorders>
            <w:shd w:val="clear" w:color="auto" w:fill="auto"/>
            <w:noWrap/>
            <w:vAlign w:val="center"/>
          </w:tcPr>
          <w:p w14:paraId="591D4D62"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9,5%</w:t>
            </w:r>
          </w:p>
        </w:tc>
      </w:tr>
      <w:tr w:rsidR="0091334D" w:rsidRPr="00220BAA" w14:paraId="0BA24839" w14:textId="77777777" w:rsidTr="0091334D">
        <w:trPr>
          <w:trHeight w:val="340"/>
          <w:jc w:val="center"/>
        </w:trPr>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17EA33BE" w14:textId="77777777" w:rsidR="0091334D" w:rsidRPr="00B87E4C" w:rsidRDefault="0091334D" w:rsidP="0091334D">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12  Biens et services divers</w:t>
            </w:r>
          </w:p>
        </w:tc>
        <w:tc>
          <w:tcPr>
            <w:tcW w:w="380" w:type="pct"/>
            <w:tcBorders>
              <w:top w:val="nil"/>
              <w:left w:val="nil"/>
              <w:bottom w:val="single" w:sz="4" w:space="0" w:color="auto"/>
              <w:right w:val="nil"/>
            </w:tcBorders>
            <w:shd w:val="clear" w:color="auto" w:fill="auto"/>
            <w:noWrap/>
            <w:vAlign w:val="center"/>
            <w:hideMark/>
          </w:tcPr>
          <w:p w14:paraId="0ECFBAB2" w14:textId="77777777" w:rsidR="0091334D" w:rsidRPr="00B87E4C" w:rsidRDefault="0091334D" w:rsidP="0091334D">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383</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5239FAC1"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106,3</w:t>
            </w:r>
          </w:p>
        </w:tc>
        <w:tc>
          <w:tcPr>
            <w:tcW w:w="378" w:type="pct"/>
            <w:tcBorders>
              <w:top w:val="nil"/>
              <w:left w:val="nil"/>
              <w:bottom w:val="single" w:sz="4" w:space="0" w:color="auto"/>
              <w:right w:val="single" w:sz="4" w:space="0" w:color="auto"/>
            </w:tcBorders>
            <w:shd w:val="clear" w:color="auto" w:fill="auto"/>
            <w:noWrap/>
            <w:vAlign w:val="center"/>
            <w:hideMark/>
          </w:tcPr>
          <w:p w14:paraId="1555B1E1" w14:textId="77777777" w:rsidR="0091334D" w:rsidRPr="009B1B1D" w:rsidRDefault="0091334D" w:rsidP="0091334D">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111,7</w:t>
            </w:r>
          </w:p>
        </w:tc>
        <w:tc>
          <w:tcPr>
            <w:tcW w:w="378" w:type="pct"/>
            <w:tcBorders>
              <w:top w:val="nil"/>
              <w:left w:val="nil"/>
              <w:bottom w:val="single" w:sz="4" w:space="0" w:color="auto"/>
              <w:right w:val="single" w:sz="4" w:space="0" w:color="auto"/>
            </w:tcBorders>
            <w:shd w:val="clear" w:color="auto" w:fill="auto"/>
            <w:noWrap/>
            <w:vAlign w:val="center"/>
          </w:tcPr>
          <w:p w14:paraId="1395D092" w14:textId="77777777" w:rsidR="0091334D" w:rsidRPr="00734BA9" w:rsidRDefault="0091334D" w:rsidP="0091334D">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112,4</w:t>
            </w:r>
          </w:p>
        </w:tc>
        <w:tc>
          <w:tcPr>
            <w:tcW w:w="379" w:type="pct"/>
            <w:tcBorders>
              <w:top w:val="single" w:sz="4" w:space="0" w:color="auto"/>
              <w:left w:val="nil"/>
              <w:bottom w:val="single" w:sz="4" w:space="0" w:color="auto"/>
              <w:right w:val="single" w:sz="4" w:space="0" w:color="auto"/>
            </w:tcBorders>
            <w:vAlign w:val="center"/>
          </w:tcPr>
          <w:p w14:paraId="756F1D9E"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112,9</w:t>
            </w:r>
          </w:p>
        </w:tc>
        <w:tc>
          <w:tcPr>
            <w:tcW w:w="380" w:type="pct"/>
            <w:tcBorders>
              <w:top w:val="nil"/>
              <w:left w:val="single" w:sz="4" w:space="0" w:color="auto"/>
              <w:bottom w:val="single" w:sz="4" w:space="0" w:color="auto"/>
              <w:right w:val="single" w:sz="4" w:space="0" w:color="auto"/>
            </w:tcBorders>
            <w:shd w:val="clear" w:color="auto" w:fill="auto"/>
            <w:noWrap/>
            <w:vAlign w:val="center"/>
          </w:tcPr>
          <w:p w14:paraId="42D03986"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113,3</w:t>
            </w:r>
          </w:p>
        </w:tc>
        <w:tc>
          <w:tcPr>
            <w:tcW w:w="374" w:type="pct"/>
            <w:tcBorders>
              <w:top w:val="nil"/>
              <w:left w:val="nil"/>
              <w:bottom w:val="single" w:sz="4" w:space="0" w:color="auto"/>
              <w:right w:val="single" w:sz="4" w:space="0" w:color="auto"/>
            </w:tcBorders>
            <w:shd w:val="clear" w:color="auto" w:fill="auto"/>
            <w:noWrap/>
            <w:vAlign w:val="center"/>
          </w:tcPr>
          <w:p w14:paraId="493B9EB9"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0,4%</w:t>
            </w:r>
          </w:p>
        </w:tc>
        <w:tc>
          <w:tcPr>
            <w:tcW w:w="384" w:type="pct"/>
            <w:tcBorders>
              <w:top w:val="nil"/>
              <w:left w:val="nil"/>
              <w:bottom w:val="single" w:sz="4" w:space="0" w:color="auto"/>
              <w:right w:val="single" w:sz="4" w:space="0" w:color="auto"/>
            </w:tcBorders>
            <w:shd w:val="clear" w:color="auto" w:fill="auto"/>
            <w:noWrap/>
            <w:vAlign w:val="center"/>
          </w:tcPr>
          <w:p w14:paraId="0F44FF45"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1,4%</w:t>
            </w:r>
          </w:p>
        </w:tc>
        <w:tc>
          <w:tcPr>
            <w:tcW w:w="378" w:type="pct"/>
            <w:tcBorders>
              <w:top w:val="nil"/>
              <w:left w:val="nil"/>
              <w:bottom w:val="single" w:sz="4" w:space="0" w:color="auto"/>
              <w:right w:val="single" w:sz="4" w:space="0" w:color="auto"/>
            </w:tcBorders>
            <w:shd w:val="clear" w:color="auto" w:fill="auto"/>
            <w:noWrap/>
            <w:vAlign w:val="center"/>
          </w:tcPr>
          <w:p w14:paraId="6501A84C" w14:textId="77777777" w:rsidR="0091334D" w:rsidRPr="0091334D" w:rsidRDefault="0091334D" w:rsidP="0091334D">
            <w:pPr>
              <w:spacing w:after="0" w:line="240" w:lineRule="auto"/>
              <w:jc w:val="center"/>
              <w:rPr>
                <w:rFonts w:ascii="Arial" w:eastAsia="Times New Roman" w:hAnsi="Arial" w:cs="Arial"/>
                <w:color w:val="000000"/>
                <w:sz w:val="16"/>
                <w:szCs w:val="16"/>
                <w:lang w:eastAsia="fr-FR"/>
              </w:rPr>
            </w:pPr>
            <w:r w:rsidRPr="0091334D">
              <w:rPr>
                <w:rFonts w:ascii="Arial" w:eastAsia="Times New Roman" w:hAnsi="Arial" w:cs="Arial"/>
                <w:color w:val="000000"/>
                <w:sz w:val="16"/>
                <w:szCs w:val="16"/>
                <w:lang w:eastAsia="fr-FR"/>
              </w:rPr>
              <w:t>6,6%</w:t>
            </w:r>
          </w:p>
        </w:tc>
      </w:tr>
    </w:tbl>
    <w:p w14:paraId="6BB979A9" w14:textId="77777777" w:rsidR="00E70C38" w:rsidRPr="00602850" w:rsidRDefault="00E70C38" w:rsidP="00E70C38">
      <w:pPr>
        <w:pStyle w:val="Sansinterligne"/>
        <w:rPr>
          <w:rFonts w:ascii="Arial" w:hAnsi="Arial" w:cs="Arial"/>
          <w:bCs/>
          <w:sz w:val="16"/>
          <w:szCs w:val="20"/>
        </w:rPr>
      </w:pPr>
      <w:r w:rsidRPr="00602850">
        <w:rPr>
          <w:rFonts w:ascii="Arial" w:hAnsi="Arial" w:cs="Arial"/>
          <w:bCs/>
          <w:sz w:val="16"/>
          <w:szCs w:val="20"/>
          <w:u w:val="single"/>
        </w:rPr>
        <w:t>Source</w:t>
      </w:r>
      <w:r w:rsidRPr="00602850">
        <w:rPr>
          <w:rFonts w:ascii="Arial" w:hAnsi="Arial" w:cs="Arial"/>
          <w:bCs/>
          <w:sz w:val="16"/>
          <w:szCs w:val="20"/>
        </w:rPr>
        <w:t> : ANSD/DSECN/DSC/BP</w:t>
      </w:r>
    </w:p>
    <w:p w14:paraId="457D491F" w14:textId="77777777" w:rsidR="00E70C38" w:rsidRDefault="00E70C38" w:rsidP="00A96E5F"/>
    <w:p w14:paraId="726B067F" w14:textId="77777777" w:rsidR="00126912" w:rsidRDefault="00126912" w:rsidP="00A96E5F"/>
    <w:p w14:paraId="0EE526FB" w14:textId="77777777" w:rsidR="00126912" w:rsidRDefault="00126912" w:rsidP="00126912">
      <w:pPr>
        <w:pStyle w:val="Sansinterligne"/>
        <w:spacing w:line="276" w:lineRule="auto"/>
        <w:rPr>
          <w:rFonts w:ascii="Arial" w:hAnsi="Arial" w:cs="Arial"/>
          <w:b/>
          <w:bCs/>
          <w:sz w:val="18"/>
          <w:szCs w:val="18"/>
        </w:rPr>
      </w:pPr>
      <w:r w:rsidRPr="00E63391">
        <w:rPr>
          <w:rFonts w:ascii="Arial" w:hAnsi="Arial" w:cs="Arial"/>
          <w:b/>
          <w:bCs/>
          <w:sz w:val="18"/>
          <w:szCs w:val="18"/>
        </w:rPr>
        <w:lastRenderedPageBreak/>
        <w:t xml:space="preserve">Tableau 2 : </w:t>
      </w:r>
      <w:r>
        <w:rPr>
          <w:rFonts w:ascii="Arial" w:hAnsi="Arial" w:cs="Arial"/>
          <w:b/>
          <w:bCs/>
          <w:sz w:val="18"/>
          <w:szCs w:val="18"/>
        </w:rPr>
        <w:t>Les i</w:t>
      </w:r>
      <w:r w:rsidRPr="00E63391">
        <w:rPr>
          <w:rFonts w:ascii="Arial" w:hAnsi="Arial" w:cs="Arial"/>
          <w:b/>
          <w:bCs/>
          <w:sz w:val="18"/>
          <w:szCs w:val="18"/>
        </w:rPr>
        <w:t>ndice</w:t>
      </w:r>
      <w:r>
        <w:rPr>
          <w:rFonts w:ascii="Arial" w:hAnsi="Arial" w:cs="Arial"/>
          <w:b/>
          <w:bCs/>
          <w:sz w:val="18"/>
          <w:szCs w:val="18"/>
        </w:rPr>
        <w:t>s des nomenclatures secondaires</w:t>
      </w:r>
    </w:p>
    <w:tbl>
      <w:tblPr>
        <w:tblW w:w="4831" w:type="pct"/>
        <w:jc w:val="center"/>
        <w:tblLayout w:type="fixed"/>
        <w:tblCellMar>
          <w:left w:w="70" w:type="dxa"/>
          <w:right w:w="70" w:type="dxa"/>
        </w:tblCellMar>
        <w:tblLook w:val="04A0" w:firstRow="1" w:lastRow="0" w:firstColumn="1" w:lastColumn="0" w:noHBand="0" w:noVBand="1"/>
      </w:tblPr>
      <w:tblGrid>
        <w:gridCol w:w="2418"/>
        <w:gridCol w:w="715"/>
        <w:gridCol w:w="710"/>
        <w:gridCol w:w="709"/>
        <w:gridCol w:w="707"/>
        <w:gridCol w:w="707"/>
        <w:gridCol w:w="714"/>
        <w:gridCol w:w="707"/>
        <w:gridCol w:w="660"/>
        <w:gridCol w:w="709"/>
      </w:tblGrid>
      <w:tr w:rsidR="00143BC9" w:rsidRPr="0061068A" w14:paraId="6CBDACE3" w14:textId="77777777" w:rsidTr="00143BC9">
        <w:trPr>
          <w:trHeight w:val="284"/>
          <w:jc w:val="center"/>
        </w:trPr>
        <w:tc>
          <w:tcPr>
            <w:tcW w:w="1380"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81533F1" w14:textId="77777777" w:rsidR="00143BC9" w:rsidRPr="0061068A" w:rsidRDefault="00143BC9" w:rsidP="00D66237">
            <w:pPr>
              <w:spacing w:after="0" w:line="240" w:lineRule="auto"/>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Libellés</w:t>
            </w:r>
          </w:p>
        </w:tc>
        <w:tc>
          <w:tcPr>
            <w:tcW w:w="408" w:type="pct"/>
            <w:vMerge w:val="restart"/>
            <w:tcBorders>
              <w:top w:val="single" w:sz="4" w:space="0" w:color="auto"/>
              <w:left w:val="nil"/>
              <w:right w:val="single" w:sz="4" w:space="0" w:color="auto"/>
            </w:tcBorders>
            <w:shd w:val="clear" w:color="auto" w:fill="auto"/>
            <w:vAlign w:val="center"/>
            <w:hideMark/>
          </w:tcPr>
          <w:p w14:paraId="30766657" w14:textId="77777777" w:rsidR="00143BC9" w:rsidRPr="009D2996" w:rsidRDefault="00143BC9" w:rsidP="009D2996">
            <w:pPr>
              <w:spacing w:after="0" w:line="240" w:lineRule="auto"/>
              <w:jc w:val="center"/>
              <w:rPr>
                <w:rFonts w:ascii="Arial" w:eastAsia="Times New Roman" w:hAnsi="Arial" w:cs="Arial"/>
                <w:b/>
                <w:sz w:val="16"/>
                <w:szCs w:val="16"/>
                <w:lang w:eastAsia="fr-FR"/>
              </w:rPr>
            </w:pPr>
            <w:r w:rsidRPr="009D2996">
              <w:rPr>
                <w:rFonts w:ascii="Arial" w:eastAsia="Times New Roman" w:hAnsi="Arial" w:cs="Arial"/>
                <w:b/>
                <w:sz w:val="16"/>
                <w:szCs w:val="16"/>
                <w:lang w:eastAsia="fr-FR"/>
              </w:rPr>
              <w:t>Poids</w:t>
            </w:r>
          </w:p>
        </w:tc>
        <w:tc>
          <w:tcPr>
            <w:tcW w:w="405" w:type="pct"/>
            <w:tcBorders>
              <w:top w:val="single" w:sz="4" w:space="0" w:color="auto"/>
              <w:left w:val="nil"/>
              <w:bottom w:val="single" w:sz="4" w:space="0" w:color="auto"/>
              <w:right w:val="nil"/>
            </w:tcBorders>
          </w:tcPr>
          <w:p w14:paraId="4940DD83" w14:textId="77777777" w:rsidR="00143BC9" w:rsidRPr="0061068A" w:rsidRDefault="00143BC9" w:rsidP="00D66237">
            <w:pPr>
              <w:spacing w:after="0" w:line="240" w:lineRule="auto"/>
              <w:jc w:val="center"/>
              <w:rPr>
                <w:rFonts w:ascii="Arial" w:eastAsia="Times New Roman" w:hAnsi="Arial" w:cs="Arial"/>
                <w:sz w:val="16"/>
                <w:szCs w:val="16"/>
                <w:lang w:eastAsia="fr-FR"/>
              </w:rPr>
            </w:pPr>
          </w:p>
        </w:tc>
        <w:tc>
          <w:tcPr>
            <w:tcW w:w="1620" w:type="pct"/>
            <w:gridSpan w:val="4"/>
            <w:tcBorders>
              <w:top w:val="single" w:sz="4" w:space="0" w:color="auto"/>
              <w:left w:val="nil"/>
              <w:bottom w:val="single" w:sz="4" w:space="0" w:color="auto"/>
              <w:right w:val="single" w:sz="4" w:space="0" w:color="auto"/>
            </w:tcBorders>
            <w:shd w:val="clear" w:color="auto" w:fill="auto"/>
            <w:noWrap/>
            <w:vAlign w:val="center"/>
            <w:hideMark/>
          </w:tcPr>
          <w:p w14:paraId="587ED67C" w14:textId="77777777" w:rsidR="00143BC9" w:rsidRPr="004D0836" w:rsidRDefault="00143BC9" w:rsidP="00D66237">
            <w:pPr>
              <w:spacing w:after="0" w:line="240" w:lineRule="auto"/>
              <w:jc w:val="center"/>
              <w:rPr>
                <w:rFonts w:ascii="Arial" w:eastAsia="Times New Roman" w:hAnsi="Arial" w:cs="Arial"/>
                <w:b/>
                <w:sz w:val="16"/>
                <w:szCs w:val="16"/>
                <w:lang w:eastAsia="fr-FR"/>
              </w:rPr>
            </w:pPr>
            <w:r w:rsidRPr="004D0836">
              <w:rPr>
                <w:rFonts w:ascii="Arial" w:eastAsia="Times New Roman" w:hAnsi="Arial" w:cs="Arial"/>
                <w:b/>
                <w:sz w:val="16"/>
                <w:szCs w:val="16"/>
                <w:lang w:eastAsia="fr-FR"/>
              </w:rPr>
              <w:t>Indice des prix du mois de</w:t>
            </w:r>
          </w:p>
        </w:tc>
        <w:tc>
          <w:tcPr>
            <w:tcW w:w="1188" w:type="pct"/>
            <w:gridSpan w:val="3"/>
            <w:tcBorders>
              <w:top w:val="single" w:sz="4" w:space="0" w:color="auto"/>
              <w:left w:val="nil"/>
              <w:bottom w:val="single" w:sz="4" w:space="0" w:color="auto"/>
              <w:right w:val="single" w:sz="4" w:space="0" w:color="auto"/>
            </w:tcBorders>
            <w:shd w:val="clear" w:color="auto" w:fill="auto"/>
            <w:noWrap/>
            <w:vAlign w:val="center"/>
            <w:hideMark/>
          </w:tcPr>
          <w:p w14:paraId="14F74278" w14:textId="77777777" w:rsidR="00143BC9" w:rsidRPr="004D0836" w:rsidRDefault="00143BC9" w:rsidP="00D66237">
            <w:pPr>
              <w:spacing w:after="0" w:line="240" w:lineRule="auto"/>
              <w:jc w:val="center"/>
              <w:rPr>
                <w:rFonts w:ascii="Arial" w:eastAsia="Times New Roman" w:hAnsi="Arial" w:cs="Arial"/>
                <w:b/>
                <w:sz w:val="16"/>
                <w:szCs w:val="16"/>
                <w:lang w:eastAsia="fr-FR"/>
              </w:rPr>
            </w:pPr>
            <w:r w:rsidRPr="004D0836">
              <w:rPr>
                <w:rFonts w:ascii="Arial" w:eastAsia="Times New Roman" w:hAnsi="Arial" w:cs="Arial"/>
                <w:b/>
                <w:sz w:val="16"/>
                <w:szCs w:val="16"/>
                <w:lang w:eastAsia="fr-FR"/>
              </w:rPr>
              <w:t>Variation sur</w:t>
            </w:r>
          </w:p>
        </w:tc>
      </w:tr>
      <w:tr w:rsidR="00143BC9" w:rsidRPr="0061068A" w14:paraId="4977F8EA" w14:textId="77777777" w:rsidTr="00143BC9">
        <w:trPr>
          <w:trHeight w:val="284"/>
          <w:jc w:val="center"/>
        </w:trPr>
        <w:tc>
          <w:tcPr>
            <w:tcW w:w="1380" w:type="pct"/>
            <w:vMerge/>
            <w:tcBorders>
              <w:top w:val="single" w:sz="4" w:space="0" w:color="auto"/>
              <w:left w:val="single" w:sz="4" w:space="0" w:color="auto"/>
              <w:bottom w:val="single" w:sz="4" w:space="0" w:color="000000"/>
              <w:right w:val="single" w:sz="4" w:space="0" w:color="auto"/>
            </w:tcBorders>
            <w:vAlign w:val="center"/>
            <w:hideMark/>
          </w:tcPr>
          <w:p w14:paraId="439E829E" w14:textId="77777777" w:rsidR="00143BC9" w:rsidRPr="0061068A" w:rsidRDefault="00143BC9" w:rsidP="00143BC9">
            <w:pPr>
              <w:spacing w:after="0" w:line="240" w:lineRule="auto"/>
              <w:rPr>
                <w:rFonts w:ascii="Arial" w:eastAsia="Times New Roman" w:hAnsi="Arial" w:cs="Arial"/>
                <w:b/>
                <w:bCs/>
                <w:sz w:val="16"/>
                <w:szCs w:val="16"/>
                <w:lang w:eastAsia="fr-FR"/>
              </w:rPr>
            </w:pPr>
          </w:p>
        </w:tc>
        <w:tc>
          <w:tcPr>
            <w:tcW w:w="408" w:type="pct"/>
            <w:vMerge/>
            <w:tcBorders>
              <w:left w:val="nil"/>
              <w:bottom w:val="single" w:sz="4" w:space="0" w:color="auto"/>
              <w:right w:val="single" w:sz="4" w:space="0" w:color="auto"/>
            </w:tcBorders>
            <w:shd w:val="clear" w:color="auto" w:fill="auto"/>
            <w:vAlign w:val="center"/>
            <w:hideMark/>
          </w:tcPr>
          <w:p w14:paraId="3305AE82" w14:textId="77777777" w:rsidR="00143BC9" w:rsidRPr="0061068A" w:rsidRDefault="00143BC9" w:rsidP="00143BC9">
            <w:pPr>
              <w:spacing w:after="0" w:line="240" w:lineRule="auto"/>
              <w:rPr>
                <w:rFonts w:ascii="Arial" w:eastAsia="Times New Roman" w:hAnsi="Arial" w:cs="Arial"/>
                <w:sz w:val="16"/>
                <w:szCs w:val="16"/>
                <w:lang w:eastAsia="fr-FR"/>
              </w:rPr>
            </w:pPr>
          </w:p>
        </w:tc>
        <w:tc>
          <w:tcPr>
            <w:tcW w:w="405" w:type="pct"/>
            <w:tcBorders>
              <w:top w:val="nil"/>
              <w:left w:val="nil"/>
              <w:bottom w:val="single" w:sz="4" w:space="0" w:color="auto"/>
              <w:right w:val="single" w:sz="4" w:space="0" w:color="auto"/>
            </w:tcBorders>
            <w:shd w:val="clear" w:color="auto" w:fill="auto"/>
            <w:noWrap/>
            <w:vAlign w:val="center"/>
            <w:hideMark/>
          </w:tcPr>
          <w:p w14:paraId="7C047329" w14:textId="77777777" w:rsidR="00143BC9" w:rsidRPr="00E70C38" w:rsidRDefault="00143BC9" w:rsidP="00143BC9">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Fév.</w:t>
            </w:r>
            <w:r w:rsidRPr="00E70C38">
              <w:rPr>
                <w:rFonts w:ascii="Arial" w:eastAsia="Times New Roman" w:hAnsi="Arial" w:cs="Arial"/>
                <w:b/>
                <w:bCs/>
                <w:color w:val="000000"/>
                <w:sz w:val="14"/>
                <w:szCs w:val="14"/>
                <w:lang w:eastAsia="fr-FR"/>
              </w:rPr>
              <w:t>-21</w:t>
            </w:r>
          </w:p>
        </w:tc>
        <w:tc>
          <w:tcPr>
            <w:tcW w:w="405" w:type="pct"/>
            <w:tcBorders>
              <w:top w:val="nil"/>
              <w:left w:val="nil"/>
              <w:bottom w:val="single" w:sz="4" w:space="0" w:color="auto"/>
              <w:right w:val="single" w:sz="4" w:space="0" w:color="auto"/>
            </w:tcBorders>
            <w:shd w:val="clear" w:color="auto" w:fill="auto"/>
            <w:noWrap/>
            <w:vAlign w:val="center"/>
            <w:hideMark/>
          </w:tcPr>
          <w:p w14:paraId="51C2E61A" w14:textId="77777777" w:rsidR="00143BC9" w:rsidRPr="00F43331" w:rsidRDefault="00143BC9" w:rsidP="00143BC9">
            <w:pPr>
              <w:spacing w:after="0" w:line="240" w:lineRule="auto"/>
              <w:jc w:val="center"/>
              <w:rPr>
                <w:rFonts w:ascii="Arial" w:eastAsia="Times New Roman" w:hAnsi="Arial" w:cs="Arial"/>
                <w:b/>
                <w:bCs/>
                <w:color w:val="000000"/>
                <w:sz w:val="10"/>
                <w:szCs w:val="10"/>
                <w:lang w:eastAsia="fr-FR"/>
              </w:rPr>
            </w:pPr>
            <w:r w:rsidRPr="00F43331">
              <w:rPr>
                <w:rFonts w:ascii="Arial" w:eastAsia="Times New Roman" w:hAnsi="Arial" w:cs="Arial"/>
                <w:b/>
                <w:bCs/>
                <w:color w:val="000000"/>
                <w:sz w:val="14"/>
                <w:szCs w:val="14"/>
                <w:lang w:eastAsia="fr-FR"/>
              </w:rPr>
              <w:t>Nov.-22</w:t>
            </w:r>
          </w:p>
        </w:tc>
        <w:tc>
          <w:tcPr>
            <w:tcW w:w="404" w:type="pct"/>
            <w:tcBorders>
              <w:top w:val="nil"/>
              <w:left w:val="nil"/>
              <w:bottom w:val="single" w:sz="4" w:space="0" w:color="auto"/>
              <w:right w:val="single" w:sz="4" w:space="0" w:color="auto"/>
            </w:tcBorders>
            <w:shd w:val="clear" w:color="auto" w:fill="auto"/>
            <w:noWrap/>
            <w:vAlign w:val="center"/>
          </w:tcPr>
          <w:p w14:paraId="3D02572D" w14:textId="77777777" w:rsidR="00143BC9" w:rsidRPr="00E70C38" w:rsidRDefault="00143BC9" w:rsidP="00143BC9">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Déc.-22</w:t>
            </w:r>
          </w:p>
        </w:tc>
        <w:tc>
          <w:tcPr>
            <w:tcW w:w="404" w:type="pct"/>
            <w:tcBorders>
              <w:top w:val="single" w:sz="4" w:space="0" w:color="auto"/>
              <w:left w:val="nil"/>
              <w:bottom w:val="single" w:sz="4" w:space="0" w:color="auto"/>
              <w:right w:val="single" w:sz="4" w:space="0" w:color="auto"/>
            </w:tcBorders>
            <w:vAlign w:val="center"/>
          </w:tcPr>
          <w:p w14:paraId="1DD72A1F" w14:textId="77777777" w:rsidR="00143BC9" w:rsidRPr="00E70C38" w:rsidRDefault="00143BC9" w:rsidP="00143BC9">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Jan.-22</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6277B9C2" w14:textId="77777777" w:rsidR="00143BC9" w:rsidRPr="00E70C38" w:rsidRDefault="00143BC9" w:rsidP="00143BC9">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Fév.-22</w:t>
            </w:r>
          </w:p>
        </w:tc>
        <w:tc>
          <w:tcPr>
            <w:tcW w:w="404" w:type="pct"/>
            <w:tcBorders>
              <w:top w:val="nil"/>
              <w:left w:val="nil"/>
              <w:bottom w:val="single" w:sz="4" w:space="0" w:color="auto"/>
              <w:right w:val="single" w:sz="4" w:space="0" w:color="auto"/>
            </w:tcBorders>
            <w:shd w:val="clear" w:color="auto" w:fill="auto"/>
            <w:noWrap/>
            <w:vAlign w:val="center"/>
            <w:hideMark/>
          </w:tcPr>
          <w:p w14:paraId="261E20CB" w14:textId="77777777" w:rsidR="00143BC9" w:rsidRPr="00E70C38" w:rsidRDefault="00143BC9" w:rsidP="00143BC9">
            <w:pPr>
              <w:spacing w:after="0" w:line="240" w:lineRule="auto"/>
              <w:jc w:val="center"/>
              <w:rPr>
                <w:rFonts w:ascii="Arial" w:eastAsia="Times New Roman" w:hAnsi="Arial" w:cs="Arial"/>
                <w:b/>
                <w:bCs/>
                <w:color w:val="000000"/>
                <w:sz w:val="14"/>
                <w:szCs w:val="14"/>
                <w:lang w:eastAsia="fr-FR"/>
              </w:rPr>
            </w:pPr>
            <w:r w:rsidRPr="00E70C38">
              <w:rPr>
                <w:rFonts w:ascii="Arial" w:eastAsia="Times New Roman" w:hAnsi="Arial" w:cs="Arial"/>
                <w:b/>
                <w:bCs/>
                <w:color w:val="000000"/>
                <w:sz w:val="14"/>
                <w:szCs w:val="14"/>
                <w:lang w:eastAsia="fr-FR"/>
              </w:rPr>
              <w:t>1 mois</w:t>
            </w:r>
          </w:p>
        </w:tc>
        <w:tc>
          <w:tcPr>
            <w:tcW w:w="377" w:type="pct"/>
            <w:tcBorders>
              <w:top w:val="nil"/>
              <w:left w:val="nil"/>
              <w:bottom w:val="single" w:sz="4" w:space="0" w:color="auto"/>
              <w:right w:val="single" w:sz="4" w:space="0" w:color="auto"/>
            </w:tcBorders>
            <w:shd w:val="clear" w:color="auto" w:fill="auto"/>
            <w:noWrap/>
            <w:vAlign w:val="center"/>
            <w:hideMark/>
          </w:tcPr>
          <w:p w14:paraId="6CDCD300" w14:textId="77777777" w:rsidR="00143BC9" w:rsidRPr="00E70C38" w:rsidRDefault="00143BC9" w:rsidP="00143BC9">
            <w:pPr>
              <w:spacing w:after="0" w:line="240" w:lineRule="auto"/>
              <w:jc w:val="center"/>
              <w:rPr>
                <w:rFonts w:ascii="Arial" w:eastAsia="Times New Roman" w:hAnsi="Arial" w:cs="Arial"/>
                <w:b/>
                <w:bCs/>
                <w:color w:val="000000"/>
                <w:sz w:val="14"/>
                <w:szCs w:val="14"/>
                <w:lang w:eastAsia="fr-FR"/>
              </w:rPr>
            </w:pPr>
            <w:r w:rsidRPr="00E70C38">
              <w:rPr>
                <w:rFonts w:ascii="Arial" w:eastAsia="Times New Roman" w:hAnsi="Arial" w:cs="Arial"/>
                <w:b/>
                <w:bCs/>
                <w:color w:val="000000"/>
                <w:sz w:val="14"/>
                <w:szCs w:val="14"/>
                <w:lang w:eastAsia="fr-FR"/>
              </w:rPr>
              <w:t>3 mois</w:t>
            </w:r>
          </w:p>
        </w:tc>
        <w:tc>
          <w:tcPr>
            <w:tcW w:w="407" w:type="pct"/>
            <w:tcBorders>
              <w:top w:val="nil"/>
              <w:left w:val="nil"/>
              <w:bottom w:val="single" w:sz="4" w:space="0" w:color="auto"/>
              <w:right w:val="single" w:sz="4" w:space="0" w:color="auto"/>
            </w:tcBorders>
            <w:shd w:val="clear" w:color="auto" w:fill="auto"/>
            <w:noWrap/>
            <w:vAlign w:val="center"/>
            <w:hideMark/>
          </w:tcPr>
          <w:p w14:paraId="6E979D3C" w14:textId="77777777" w:rsidR="00143BC9" w:rsidRPr="00E70C38" w:rsidRDefault="00143BC9" w:rsidP="00143BC9">
            <w:pPr>
              <w:spacing w:after="0" w:line="240" w:lineRule="auto"/>
              <w:jc w:val="center"/>
              <w:rPr>
                <w:rFonts w:ascii="Arial" w:eastAsia="Times New Roman" w:hAnsi="Arial" w:cs="Arial"/>
                <w:b/>
                <w:bCs/>
                <w:color w:val="000000"/>
                <w:sz w:val="14"/>
                <w:szCs w:val="14"/>
                <w:lang w:eastAsia="fr-FR"/>
              </w:rPr>
            </w:pPr>
            <w:r w:rsidRPr="00E70C38">
              <w:rPr>
                <w:rFonts w:ascii="Arial" w:eastAsia="Times New Roman" w:hAnsi="Arial" w:cs="Arial"/>
                <w:b/>
                <w:bCs/>
                <w:color w:val="000000"/>
                <w:sz w:val="14"/>
                <w:szCs w:val="14"/>
                <w:lang w:eastAsia="fr-FR"/>
              </w:rPr>
              <w:t>12 mois</w:t>
            </w:r>
          </w:p>
        </w:tc>
      </w:tr>
      <w:tr w:rsidR="00143BC9" w:rsidRPr="0061068A" w14:paraId="20CBBA9E" w14:textId="77777777" w:rsidTr="00143BC9">
        <w:trPr>
          <w:trHeight w:val="34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14:paraId="1A94F510" w14:textId="77777777" w:rsidR="00143BC9" w:rsidRPr="0061068A" w:rsidRDefault="00143BC9" w:rsidP="00143BC9">
            <w:pPr>
              <w:spacing w:after="0" w:line="240" w:lineRule="auto"/>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Indice global</w:t>
            </w:r>
          </w:p>
        </w:tc>
        <w:tc>
          <w:tcPr>
            <w:tcW w:w="408" w:type="pct"/>
            <w:tcBorders>
              <w:top w:val="nil"/>
              <w:left w:val="nil"/>
              <w:bottom w:val="single" w:sz="4" w:space="0" w:color="auto"/>
              <w:right w:val="nil"/>
            </w:tcBorders>
            <w:shd w:val="clear" w:color="auto" w:fill="auto"/>
            <w:noWrap/>
            <w:vAlign w:val="center"/>
            <w:hideMark/>
          </w:tcPr>
          <w:p w14:paraId="5F8A284C" w14:textId="77777777" w:rsidR="00143BC9" w:rsidRPr="0061068A" w:rsidRDefault="00143BC9" w:rsidP="00143BC9">
            <w:pPr>
              <w:spacing w:after="0" w:line="240" w:lineRule="auto"/>
              <w:jc w:val="center"/>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10000</w:t>
            </w:r>
          </w:p>
        </w:tc>
        <w:tc>
          <w:tcPr>
            <w:tcW w:w="405" w:type="pct"/>
            <w:tcBorders>
              <w:top w:val="nil"/>
              <w:left w:val="single" w:sz="4" w:space="0" w:color="auto"/>
              <w:bottom w:val="single" w:sz="4" w:space="0" w:color="auto"/>
              <w:right w:val="single" w:sz="4" w:space="0" w:color="auto"/>
            </w:tcBorders>
            <w:shd w:val="clear" w:color="auto" w:fill="auto"/>
            <w:noWrap/>
            <w:vAlign w:val="center"/>
          </w:tcPr>
          <w:p w14:paraId="5238E25F" w14:textId="77777777" w:rsidR="00143BC9" w:rsidRPr="00E70C38" w:rsidRDefault="00143BC9" w:rsidP="00143BC9">
            <w:pPr>
              <w:spacing w:after="0" w:line="240" w:lineRule="auto"/>
              <w:jc w:val="center"/>
              <w:rPr>
                <w:rFonts w:ascii="Arial" w:eastAsia="Times New Roman" w:hAnsi="Arial" w:cs="Arial"/>
                <w:b/>
                <w:bCs/>
                <w:color w:val="000000"/>
                <w:sz w:val="16"/>
                <w:szCs w:val="16"/>
                <w:lang w:eastAsia="fr-FR"/>
              </w:rPr>
            </w:pPr>
            <w:r>
              <w:rPr>
                <w:rFonts w:ascii="Arial" w:eastAsia="Times New Roman" w:hAnsi="Arial" w:cs="Arial"/>
                <w:b/>
                <w:bCs/>
                <w:color w:val="000000"/>
                <w:sz w:val="16"/>
                <w:szCs w:val="16"/>
                <w:lang w:eastAsia="fr-FR"/>
              </w:rPr>
              <w:t>114,4</w:t>
            </w:r>
          </w:p>
        </w:tc>
        <w:tc>
          <w:tcPr>
            <w:tcW w:w="405" w:type="pct"/>
            <w:tcBorders>
              <w:top w:val="nil"/>
              <w:left w:val="nil"/>
              <w:bottom w:val="single" w:sz="4" w:space="0" w:color="auto"/>
              <w:right w:val="single" w:sz="4" w:space="0" w:color="auto"/>
            </w:tcBorders>
            <w:shd w:val="clear" w:color="auto" w:fill="auto"/>
            <w:noWrap/>
            <w:vAlign w:val="center"/>
            <w:hideMark/>
          </w:tcPr>
          <w:p w14:paraId="6B512C87" w14:textId="77777777" w:rsidR="00143BC9" w:rsidRPr="009B1B1D" w:rsidRDefault="00143BC9" w:rsidP="00143BC9">
            <w:pPr>
              <w:spacing w:after="0" w:line="240" w:lineRule="auto"/>
              <w:jc w:val="center"/>
              <w:rPr>
                <w:rFonts w:ascii="Arial" w:eastAsia="Times New Roman" w:hAnsi="Arial" w:cs="Arial"/>
                <w:b/>
                <w:color w:val="000000"/>
                <w:sz w:val="16"/>
                <w:szCs w:val="16"/>
                <w:lang w:eastAsia="fr-FR"/>
              </w:rPr>
            </w:pPr>
            <w:r w:rsidRPr="009B1B1D">
              <w:rPr>
                <w:rFonts w:ascii="Arial" w:eastAsia="Times New Roman" w:hAnsi="Arial" w:cs="Arial"/>
                <w:b/>
                <w:color w:val="000000"/>
                <w:sz w:val="16"/>
                <w:szCs w:val="16"/>
                <w:lang w:eastAsia="fr-FR"/>
              </w:rPr>
              <w:t>128,2</w:t>
            </w:r>
          </w:p>
        </w:tc>
        <w:tc>
          <w:tcPr>
            <w:tcW w:w="404" w:type="pct"/>
            <w:tcBorders>
              <w:top w:val="nil"/>
              <w:left w:val="nil"/>
              <w:bottom w:val="single" w:sz="4" w:space="0" w:color="auto"/>
              <w:right w:val="single" w:sz="4" w:space="0" w:color="auto"/>
            </w:tcBorders>
            <w:shd w:val="clear" w:color="auto" w:fill="auto"/>
            <w:noWrap/>
            <w:vAlign w:val="center"/>
          </w:tcPr>
          <w:p w14:paraId="242624F7" w14:textId="77777777" w:rsidR="00143BC9" w:rsidRPr="00734BA9" w:rsidRDefault="00143BC9" w:rsidP="00143BC9">
            <w:pPr>
              <w:spacing w:after="0" w:line="240" w:lineRule="auto"/>
              <w:jc w:val="center"/>
              <w:rPr>
                <w:rFonts w:ascii="Arial" w:hAnsi="Arial" w:cs="Arial"/>
                <w:b/>
                <w:sz w:val="16"/>
                <w:szCs w:val="16"/>
              </w:rPr>
            </w:pPr>
            <w:r w:rsidRPr="00734BA9">
              <w:rPr>
                <w:rFonts w:ascii="Arial" w:hAnsi="Arial" w:cs="Arial"/>
                <w:b/>
                <w:sz w:val="16"/>
                <w:szCs w:val="16"/>
              </w:rPr>
              <w:t>126,9</w:t>
            </w:r>
          </w:p>
        </w:tc>
        <w:tc>
          <w:tcPr>
            <w:tcW w:w="404" w:type="pct"/>
            <w:tcBorders>
              <w:top w:val="single" w:sz="4" w:space="0" w:color="auto"/>
              <w:left w:val="nil"/>
              <w:bottom w:val="single" w:sz="4" w:space="0" w:color="auto"/>
              <w:right w:val="single" w:sz="4" w:space="0" w:color="auto"/>
            </w:tcBorders>
            <w:vAlign w:val="center"/>
          </w:tcPr>
          <w:p w14:paraId="6664DD30" w14:textId="77777777" w:rsidR="00143BC9" w:rsidRPr="0091334D" w:rsidRDefault="00143BC9" w:rsidP="00143BC9">
            <w:pPr>
              <w:spacing w:after="0" w:line="240" w:lineRule="auto"/>
              <w:jc w:val="center"/>
              <w:rPr>
                <w:rFonts w:ascii="Arial" w:eastAsia="Times New Roman" w:hAnsi="Arial" w:cs="Arial"/>
                <w:b/>
                <w:color w:val="000000"/>
                <w:sz w:val="16"/>
                <w:szCs w:val="16"/>
                <w:lang w:eastAsia="fr-FR"/>
              </w:rPr>
            </w:pPr>
            <w:r w:rsidRPr="0091334D">
              <w:rPr>
                <w:rFonts w:ascii="Arial" w:eastAsia="Times New Roman" w:hAnsi="Arial" w:cs="Arial"/>
                <w:b/>
                <w:color w:val="000000"/>
                <w:sz w:val="16"/>
                <w:szCs w:val="16"/>
                <w:lang w:eastAsia="fr-FR"/>
              </w:rPr>
              <w:t>124,7</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468662E3" w14:textId="77777777" w:rsidR="00143BC9" w:rsidRPr="0091334D" w:rsidRDefault="00143BC9" w:rsidP="00143BC9">
            <w:pPr>
              <w:spacing w:after="0" w:line="240" w:lineRule="auto"/>
              <w:jc w:val="center"/>
              <w:rPr>
                <w:rFonts w:ascii="Arial" w:eastAsia="Times New Roman" w:hAnsi="Arial" w:cs="Arial"/>
                <w:b/>
                <w:color w:val="000000"/>
                <w:sz w:val="16"/>
                <w:szCs w:val="16"/>
                <w:lang w:eastAsia="fr-FR"/>
              </w:rPr>
            </w:pPr>
            <w:r w:rsidRPr="0091334D">
              <w:rPr>
                <w:rFonts w:ascii="Arial" w:eastAsia="Times New Roman" w:hAnsi="Arial" w:cs="Arial"/>
                <w:b/>
                <w:color w:val="000000"/>
                <w:sz w:val="16"/>
                <w:szCs w:val="16"/>
                <w:lang w:eastAsia="fr-FR"/>
              </w:rPr>
              <w:t>125,2</w:t>
            </w:r>
          </w:p>
        </w:tc>
        <w:tc>
          <w:tcPr>
            <w:tcW w:w="404" w:type="pct"/>
            <w:tcBorders>
              <w:top w:val="nil"/>
              <w:left w:val="nil"/>
              <w:bottom w:val="single" w:sz="4" w:space="0" w:color="auto"/>
              <w:right w:val="single" w:sz="4" w:space="0" w:color="auto"/>
            </w:tcBorders>
            <w:shd w:val="clear" w:color="auto" w:fill="auto"/>
            <w:noWrap/>
            <w:vAlign w:val="center"/>
          </w:tcPr>
          <w:p w14:paraId="2C8C803F" w14:textId="77777777" w:rsidR="00143BC9" w:rsidRPr="0091334D" w:rsidRDefault="00143BC9" w:rsidP="00143BC9">
            <w:pPr>
              <w:spacing w:after="0" w:line="240" w:lineRule="auto"/>
              <w:jc w:val="center"/>
              <w:rPr>
                <w:rFonts w:ascii="Arial" w:eastAsia="Times New Roman" w:hAnsi="Arial" w:cs="Arial"/>
                <w:b/>
                <w:color w:val="000000"/>
                <w:sz w:val="16"/>
                <w:szCs w:val="16"/>
                <w:lang w:eastAsia="fr-FR"/>
              </w:rPr>
            </w:pPr>
            <w:r w:rsidRPr="0091334D">
              <w:rPr>
                <w:rFonts w:ascii="Arial" w:eastAsia="Times New Roman" w:hAnsi="Arial" w:cs="Arial"/>
                <w:b/>
                <w:color w:val="000000"/>
                <w:sz w:val="16"/>
                <w:szCs w:val="16"/>
                <w:lang w:eastAsia="fr-FR"/>
              </w:rPr>
              <w:t>0,4%</w:t>
            </w:r>
          </w:p>
        </w:tc>
        <w:tc>
          <w:tcPr>
            <w:tcW w:w="377" w:type="pct"/>
            <w:tcBorders>
              <w:top w:val="nil"/>
              <w:left w:val="nil"/>
              <w:bottom w:val="single" w:sz="4" w:space="0" w:color="auto"/>
              <w:right w:val="single" w:sz="4" w:space="0" w:color="auto"/>
            </w:tcBorders>
            <w:shd w:val="clear" w:color="auto" w:fill="auto"/>
            <w:noWrap/>
            <w:vAlign w:val="center"/>
          </w:tcPr>
          <w:p w14:paraId="2520CC4D" w14:textId="77777777" w:rsidR="00143BC9" w:rsidRPr="0091334D" w:rsidRDefault="00143BC9" w:rsidP="00143BC9">
            <w:pPr>
              <w:spacing w:after="0" w:line="240" w:lineRule="auto"/>
              <w:jc w:val="center"/>
              <w:rPr>
                <w:rFonts w:ascii="Arial" w:eastAsia="Times New Roman" w:hAnsi="Arial" w:cs="Arial"/>
                <w:b/>
                <w:color w:val="000000"/>
                <w:sz w:val="16"/>
                <w:szCs w:val="16"/>
                <w:lang w:eastAsia="fr-FR"/>
              </w:rPr>
            </w:pPr>
            <w:r w:rsidRPr="0091334D">
              <w:rPr>
                <w:rFonts w:ascii="Arial" w:eastAsia="Times New Roman" w:hAnsi="Arial" w:cs="Arial"/>
                <w:b/>
                <w:color w:val="000000"/>
                <w:sz w:val="16"/>
                <w:szCs w:val="16"/>
                <w:lang w:eastAsia="fr-FR"/>
              </w:rPr>
              <w:t>-2,4%</w:t>
            </w:r>
          </w:p>
        </w:tc>
        <w:tc>
          <w:tcPr>
            <w:tcW w:w="407" w:type="pct"/>
            <w:tcBorders>
              <w:top w:val="nil"/>
              <w:left w:val="nil"/>
              <w:bottom w:val="single" w:sz="4" w:space="0" w:color="auto"/>
              <w:right w:val="single" w:sz="4" w:space="0" w:color="auto"/>
            </w:tcBorders>
            <w:shd w:val="clear" w:color="auto" w:fill="auto"/>
            <w:noWrap/>
            <w:vAlign w:val="center"/>
          </w:tcPr>
          <w:p w14:paraId="764A7086" w14:textId="77777777" w:rsidR="00143BC9" w:rsidRPr="0091334D" w:rsidRDefault="00143BC9" w:rsidP="00143BC9">
            <w:pPr>
              <w:spacing w:after="0" w:line="240" w:lineRule="auto"/>
              <w:jc w:val="center"/>
              <w:rPr>
                <w:rFonts w:ascii="Arial" w:eastAsia="Times New Roman" w:hAnsi="Arial" w:cs="Arial"/>
                <w:b/>
                <w:color w:val="000000"/>
                <w:sz w:val="16"/>
                <w:szCs w:val="16"/>
                <w:lang w:eastAsia="fr-FR"/>
              </w:rPr>
            </w:pPr>
            <w:r w:rsidRPr="0091334D">
              <w:rPr>
                <w:rFonts w:ascii="Arial" w:eastAsia="Times New Roman" w:hAnsi="Arial" w:cs="Arial"/>
                <w:b/>
                <w:color w:val="000000"/>
                <w:sz w:val="16"/>
                <w:szCs w:val="16"/>
                <w:lang w:eastAsia="fr-FR"/>
              </w:rPr>
              <w:t>9,4%</w:t>
            </w:r>
          </w:p>
        </w:tc>
      </w:tr>
      <w:tr w:rsidR="00143BC9" w:rsidRPr="00CF15C6" w14:paraId="2D34DB90" w14:textId="77777777" w:rsidTr="00143BC9">
        <w:trPr>
          <w:trHeight w:val="34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14:paraId="42C315A4" w14:textId="77777777" w:rsidR="00143BC9" w:rsidRPr="00AC2F5B" w:rsidRDefault="00143BC9" w:rsidP="00143BC9">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Produits frais</w:t>
            </w:r>
          </w:p>
        </w:tc>
        <w:tc>
          <w:tcPr>
            <w:tcW w:w="408" w:type="pct"/>
            <w:tcBorders>
              <w:top w:val="nil"/>
              <w:left w:val="nil"/>
              <w:bottom w:val="single" w:sz="4" w:space="0" w:color="auto"/>
              <w:right w:val="nil"/>
            </w:tcBorders>
            <w:shd w:val="clear" w:color="auto" w:fill="auto"/>
            <w:noWrap/>
            <w:vAlign w:val="center"/>
            <w:hideMark/>
          </w:tcPr>
          <w:p w14:paraId="5122110A" w14:textId="77777777" w:rsidR="00143BC9" w:rsidRPr="00AC2F5B" w:rsidRDefault="00143BC9" w:rsidP="00143BC9">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2530</w:t>
            </w:r>
          </w:p>
        </w:tc>
        <w:tc>
          <w:tcPr>
            <w:tcW w:w="405" w:type="pct"/>
            <w:tcBorders>
              <w:top w:val="nil"/>
              <w:left w:val="single" w:sz="4" w:space="0" w:color="auto"/>
              <w:bottom w:val="single" w:sz="4" w:space="0" w:color="auto"/>
              <w:right w:val="single" w:sz="4" w:space="0" w:color="auto"/>
            </w:tcBorders>
            <w:shd w:val="clear" w:color="auto" w:fill="auto"/>
            <w:noWrap/>
            <w:vAlign w:val="center"/>
          </w:tcPr>
          <w:p w14:paraId="22F48C05"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131,1</w:t>
            </w:r>
          </w:p>
        </w:tc>
        <w:tc>
          <w:tcPr>
            <w:tcW w:w="405" w:type="pct"/>
            <w:tcBorders>
              <w:top w:val="nil"/>
              <w:left w:val="nil"/>
              <w:bottom w:val="single" w:sz="4" w:space="0" w:color="auto"/>
              <w:right w:val="single" w:sz="4" w:space="0" w:color="auto"/>
            </w:tcBorders>
            <w:shd w:val="clear" w:color="auto" w:fill="auto"/>
            <w:noWrap/>
            <w:vAlign w:val="center"/>
            <w:hideMark/>
          </w:tcPr>
          <w:p w14:paraId="1AAC5810" w14:textId="77777777" w:rsidR="00143BC9" w:rsidRPr="00D94543" w:rsidRDefault="00143BC9" w:rsidP="00143BC9">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163,7</w:t>
            </w:r>
          </w:p>
        </w:tc>
        <w:tc>
          <w:tcPr>
            <w:tcW w:w="404" w:type="pct"/>
            <w:tcBorders>
              <w:top w:val="nil"/>
              <w:left w:val="nil"/>
              <w:bottom w:val="single" w:sz="4" w:space="0" w:color="auto"/>
              <w:right w:val="single" w:sz="4" w:space="0" w:color="auto"/>
            </w:tcBorders>
            <w:shd w:val="clear" w:color="auto" w:fill="auto"/>
            <w:noWrap/>
            <w:vAlign w:val="center"/>
          </w:tcPr>
          <w:p w14:paraId="60BB12C9" w14:textId="77777777" w:rsidR="00143BC9" w:rsidRDefault="00143BC9" w:rsidP="00143BC9">
            <w:pPr>
              <w:spacing w:after="0" w:line="240" w:lineRule="auto"/>
              <w:jc w:val="center"/>
              <w:rPr>
                <w:rFonts w:ascii="Arial" w:eastAsia="Times New Roman" w:hAnsi="Arial" w:cs="Arial"/>
                <w:sz w:val="16"/>
                <w:szCs w:val="16"/>
              </w:rPr>
            </w:pPr>
            <w:r>
              <w:rPr>
                <w:rFonts w:ascii="Arial" w:hAnsi="Arial" w:cs="Arial"/>
                <w:sz w:val="16"/>
                <w:szCs w:val="16"/>
              </w:rPr>
              <w:t>158,1</w:t>
            </w:r>
          </w:p>
        </w:tc>
        <w:tc>
          <w:tcPr>
            <w:tcW w:w="404" w:type="pct"/>
            <w:tcBorders>
              <w:top w:val="single" w:sz="4" w:space="0" w:color="auto"/>
              <w:left w:val="nil"/>
              <w:bottom w:val="single" w:sz="4" w:space="0" w:color="auto"/>
              <w:right w:val="single" w:sz="4" w:space="0" w:color="auto"/>
            </w:tcBorders>
            <w:vAlign w:val="center"/>
          </w:tcPr>
          <w:p w14:paraId="03CC92F9"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147,7</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5A2F07CA"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148,4</w:t>
            </w:r>
          </w:p>
        </w:tc>
        <w:tc>
          <w:tcPr>
            <w:tcW w:w="404" w:type="pct"/>
            <w:tcBorders>
              <w:top w:val="nil"/>
              <w:left w:val="nil"/>
              <w:bottom w:val="single" w:sz="4" w:space="0" w:color="auto"/>
              <w:right w:val="single" w:sz="4" w:space="0" w:color="auto"/>
            </w:tcBorders>
            <w:shd w:val="clear" w:color="auto" w:fill="auto"/>
            <w:noWrap/>
            <w:vAlign w:val="center"/>
          </w:tcPr>
          <w:p w14:paraId="594AA619"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0,5%</w:t>
            </w:r>
          </w:p>
        </w:tc>
        <w:tc>
          <w:tcPr>
            <w:tcW w:w="377" w:type="pct"/>
            <w:tcBorders>
              <w:top w:val="nil"/>
              <w:left w:val="nil"/>
              <w:bottom w:val="single" w:sz="4" w:space="0" w:color="auto"/>
              <w:right w:val="single" w:sz="4" w:space="0" w:color="auto"/>
            </w:tcBorders>
            <w:shd w:val="clear" w:color="auto" w:fill="auto"/>
            <w:noWrap/>
            <w:vAlign w:val="center"/>
          </w:tcPr>
          <w:p w14:paraId="1FD3057E"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-9,3%</w:t>
            </w:r>
          </w:p>
        </w:tc>
        <w:tc>
          <w:tcPr>
            <w:tcW w:w="407" w:type="pct"/>
            <w:tcBorders>
              <w:top w:val="nil"/>
              <w:left w:val="nil"/>
              <w:bottom w:val="single" w:sz="4" w:space="0" w:color="auto"/>
              <w:right w:val="single" w:sz="4" w:space="0" w:color="auto"/>
            </w:tcBorders>
            <w:shd w:val="clear" w:color="auto" w:fill="auto"/>
            <w:noWrap/>
            <w:vAlign w:val="center"/>
          </w:tcPr>
          <w:p w14:paraId="7D8688A3"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13,2%</w:t>
            </w:r>
          </w:p>
        </w:tc>
      </w:tr>
      <w:tr w:rsidR="00143BC9" w:rsidRPr="006379E3" w14:paraId="64E05647" w14:textId="77777777" w:rsidTr="00143BC9">
        <w:trPr>
          <w:trHeight w:val="34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14:paraId="5FD7F103" w14:textId="77777777" w:rsidR="00143BC9" w:rsidRPr="00AC2F5B" w:rsidRDefault="00143BC9" w:rsidP="00143BC9">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Energie</w:t>
            </w:r>
          </w:p>
        </w:tc>
        <w:tc>
          <w:tcPr>
            <w:tcW w:w="408" w:type="pct"/>
            <w:tcBorders>
              <w:top w:val="nil"/>
              <w:left w:val="nil"/>
              <w:bottom w:val="single" w:sz="4" w:space="0" w:color="auto"/>
              <w:right w:val="nil"/>
            </w:tcBorders>
            <w:shd w:val="clear" w:color="auto" w:fill="auto"/>
            <w:noWrap/>
            <w:vAlign w:val="center"/>
            <w:hideMark/>
          </w:tcPr>
          <w:p w14:paraId="7A45E7CA" w14:textId="77777777" w:rsidR="00143BC9" w:rsidRPr="00AC2F5B" w:rsidRDefault="00143BC9" w:rsidP="00143BC9">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612</w:t>
            </w:r>
          </w:p>
        </w:tc>
        <w:tc>
          <w:tcPr>
            <w:tcW w:w="405" w:type="pct"/>
            <w:tcBorders>
              <w:top w:val="nil"/>
              <w:left w:val="single" w:sz="4" w:space="0" w:color="auto"/>
              <w:bottom w:val="single" w:sz="4" w:space="0" w:color="auto"/>
              <w:right w:val="single" w:sz="4" w:space="0" w:color="auto"/>
            </w:tcBorders>
            <w:shd w:val="clear" w:color="auto" w:fill="auto"/>
            <w:noWrap/>
            <w:vAlign w:val="center"/>
          </w:tcPr>
          <w:p w14:paraId="66DA1935"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95,1</w:t>
            </w:r>
          </w:p>
        </w:tc>
        <w:tc>
          <w:tcPr>
            <w:tcW w:w="405" w:type="pct"/>
            <w:tcBorders>
              <w:top w:val="nil"/>
              <w:left w:val="nil"/>
              <w:bottom w:val="single" w:sz="4" w:space="0" w:color="auto"/>
              <w:right w:val="single" w:sz="4" w:space="0" w:color="auto"/>
            </w:tcBorders>
            <w:shd w:val="clear" w:color="auto" w:fill="auto"/>
            <w:noWrap/>
            <w:vAlign w:val="center"/>
            <w:hideMark/>
          </w:tcPr>
          <w:p w14:paraId="5805E496" w14:textId="77777777" w:rsidR="00143BC9" w:rsidRPr="00D94543" w:rsidRDefault="00143BC9" w:rsidP="00143BC9">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104,0</w:t>
            </w:r>
          </w:p>
        </w:tc>
        <w:tc>
          <w:tcPr>
            <w:tcW w:w="404" w:type="pct"/>
            <w:tcBorders>
              <w:top w:val="nil"/>
              <w:left w:val="nil"/>
              <w:bottom w:val="single" w:sz="4" w:space="0" w:color="auto"/>
              <w:right w:val="single" w:sz="4" w:space="0" w:color="auto"/>
            </w:tcBorders>
            <w:shd w:val="clear" w:color="auto" w:fill="auto"/>
            <w:noWrap/>
            <w:vAlign w:val="center"/>
          </w:tcPr>
          <w:p w14:paraId="751F42A1" w14:textId="77777777" w:rsidR="00143BC9" w:rsidRPr="00734BA9" w:rsidRDefault="00143BC9" w:rsidP="00143BC9">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104,8</w:t>
            </w:r>
          </w:p>
        </w:tc>
        <w:tc>
          <w:tcPr>
            <w:tcW w:w="404" w:type="pct"/>
            <w:tcBorders>
              <w:top w:val="single" w:sz="4" w:space="0" w:color="auto"/>
              <w:left w:val="nil"/>
              <w:bottom w:val="single" w:sz="4" w:space="0" w:color="auto"/>
              <w:right w:val="single" w:sz="4" w:space="0" w:color="auto"/>
            </w:tcBorders>
            <w:vAlign w:val="center"/>
          </w:tcPr>
          <w:p w14:paraId="4B4C0928"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111,7</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3F08284F"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112,5</w:t>
            </w:r>
          </w:p>
        </w:tc>
        <w:tc>
          <w:tcPr>
            <w:tcW w:w="404" w:type="pct"/>
            <w:tcBorders>
              <w:top w:val="nil"/>
              <w:left w:val="nil"/>
              <w:bottom w:val="single" w:sz="4" w:space="0" w:color="auto"/>
              <w:right w:val="single" w:sz="4" w:space="0" w:color="auto"/>
            </w:tcBorders>
            <w:shd w:val="clear" w:color="auto" w:fill="auto"/>
            <w:noWrap/>
            <w:vAlign w:val="center"/>
          </w:tcPr>
          <w:p w14:paraId="36FF444E"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0,7%</w:t>
            </w:r>
          </w:p>
        </w:tc>
        <w:tc>
          <w:tcPr>
            <w:tcW w:w="377" w:type="pct"/>
            <w:tcBorders>
              <w:top w:val="nil"/>
              <w:left w:val="nil"/>
              <w:bottom w:val="single" w:sz="4" w:space="0" w:color="auto"/>
              <w:right w:val="single" w:sz="4" w:space="0" w:color="auto"/>
            </w:tcBorders>
            <w:shd w:val="clear" w:color="auto" w:fill="auto"/>
            <w:noWrap/>
            <w:vAlign w:val="center"/>
          </w:tcPr>
          <w:p w14:paraId="79EC237F"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8,2%</w:t>
            </w:r>
          </w:p>
        </w:tc>
        <w:tc>
          <w:tcPr>
            <w:tcW w:w="407" w:type="pct"/>
            <w:tcBorders>
              <w:top w:val="nil"/>
              <w:left w:val="nil"/>
              <w:bottom w:val="single" w:sz="4" w:space="0" w:color="auto"/>
              <w:right w:val="single" w:sz="4" w:space="0" w:color="auto"/>
            </w:tcBorders>
            <w:shd w:val="clear" w:color="auto" w:fill="auto"/>
            <w:noWrap/>
            <w:vAlign w:val="center"/>
          </w:tcPr>
          <w:p w14:paraId="731AC40F"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18,3%</w:t>
            </w:r>
          </w:p>
        </w:tc>
      </w:tr>
      <w:tr w:rsidR="00143BC9" w:rsidRPr="006379E3" w14:paraId="6C7208E4" w14:textId="77777777" w:rsidTr="00143BC9">
        <w:trPr>
          <w:trHeight w:val="34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14:paraId="0D5AD21D" w14:textId="77777777" w:rsidR="00143BC9" w:rsidRPr="00AC2F5B" w:rsidRDefault="00143BC9" w:rsidP="00143BC9">
            <w:pPr>
              <w:spacing w:after="0" w:line="240" w:lineRule="auto"/>
              <w:rPr>
                <w:rFonts w:ascii="Arial" w:eastAsia="Times New Roman" w:hAnsi="Arial" w:cs="Arial"/>
                <w:bCs/>
                <w:sz w:val="16"/>
                <w:szCs w:val="16"/>
                <w:lang w:eastAsia="fr-FR"/>
              </w:rPr>
            </w:pPr>
            <w:r>
              <w:rPr>
                <w:rFonts w:ascii="Arial" w:eastAsia="Times New Roman" w:hAnsi="Arial" w:cs="Arial"/>
                <w:bCs/>
                <w:sz w:val="16"/>
                <w:szCs w:val="16"/>
                <w:lang w:eastAsia="fr-FR"/>
              </w:rPr>
              <w:t>Hors énergie et p</w:t>
            </w:r>
            <w:r w:rsidRPr="00AC2F5B">
              <w:rPr>
                <w:rFonts w:ascii="Arial" w:eastAsia="Times New Roman" w:hAnsi="Arial" w:cs="Arial"/>
                <w:bCs/>
                <w:sz w:val="16"/>
                <w:szCs w:val="16"/>
                <w:lang w:eastAsia="fr-FR"/>
              </w:rPr>
              <w:t>roduits frais</w:t>
            </w:r>
          </w:p>
          <w:p w14:paraId="703B60B9" w14:textId="77777777" w:rsidR="00143BC9" w:rsidRPr="00AC2F5B" w:rsidRDefault="00143BC9" w:rsidP="00143BC9">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(inflation sous-jacente)</w:t>
            </w:r>
          </w:p>
        </w:tc>
        <w:tc>
          <w:tcPr>
            <w:tcW w:w="408" w:type="pct"/>
            <w:tcBorders>
              <w:top w:val="nil"/>
              <w:left w:val="nil"/>
              <w:bottom w:val="single" w:sz="4" w:space="0" w:color="auto"/>
              <w:right w:val="nil"/>
            </w:tcBorders>
            <w:shd w:val="clear" w:color="auto" w:fill="auto"/>
            <w:noWrap/>
            <w:vAlign w:val="center"/>
            <w:hideMark/>
          </w:tcPr>
          <w:p w14:paraId="30FA9045" w14:textId="77777777" w:rsidR="00143BC9" w:rsidRPr="00AC2F5B" w:rsidRDefault="00143BC9" w:rsidP="00143BC9">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6858</w:t>
            </w:r>
          </w:p>
        </w:tc>
        <w:tc>
          <w:tcPr>
            <w:tcW w:w="405" w:type="pct"/>
            <w:tcBorders>
              <w:top w:val="nil"/>
              <w:left w:val="single" w:sz="4" w:space="0" w:color="auto"/>
              <w:bottom w:val="single" w:sz="4" w:space="0" w:color="auto"/>
              <w:right w:val="single" w:sz="4" w:space="0" w:color="auto"/>
            </w:tcBorders>
            <w:shd w:val="clear" w:color="auto" w:fill="auto"/>
            <w:noWrap/>
            <w:vAlign w:val="center"/>
          </w:tcPr>
          <w:p w14:paraId="177D72AC"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111,3</w:t>
            </w:r>
          </w:p>
        </w:tc>
        <w:tc>
          <w:tcPr>
            <w:tcW w:w="405" w:type="pct"/>
            <w:tcBorders>
              <w:top w:val="nil"/>
              <w:left w:val="nil"/>
              <w:bottom w:val="single" w:sz="4" w:space="0" w:color="auto"/>
              <w:right w:val="single" w:sz="4" w:space="0" w:color="auto"/>
            </w:tcBorders>
            <w:shd w:val="clear" w:color="auto" w:fill="auto"/>
            <w:noWrap/>
            <w:vAlign w:val="center"/>
            <w:hideMark/>
          </w:tcPr>
          <w:p w14:paraId="42A4EE86" w14:textId="77777777" w:rsidR="00143BC9" w:rsidRPr="00D94543" w:rsidRDefault="00143BC9" w:rsidP="00143BC9">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118,8</w:t>
            </w:r>
          </w:p>
        </w:tc>
        <w:tc>
          <w:tcPr>
            <w:tcW w:w="404" w:type="pct"/>
            <w:tcBorders>
              <w:top w:val="nil"/>
              <w:left w:val="nil"/>
              <w:bottom w:val="single" w:sz="4" w:space="0" w:color="auto"/>
              <w:right w:val="single" w:sz="4" w:space="0" w:color="auto"/>
            </w:tcBorders>
            <w:shd w:val="clear" w:color="auto" w:fill="auto"/>
            <w:noWrap/>
            <w:vAlign w:val="center"/>
          </w:tcPr>
          <w:p w14:paraId="4C5F73CE" w14:textId="77777777" w:rsidR="00143BC9" w:rsidRPr="00734BA9" w:rsidRDefault="00143BC9" w:rsidP="00143BC9">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119,0</w:t>
            </w:r>
          </w:p>
        </w:tc>
        <w:tc>
          <w:tcPr>
            <w:tcW w:w="404" w:type="pct"/>
            <w:tcBorders>
              <w:top w:val="single" w:sz="4" w:space="0" w:color="auto"/>
              <w:left w:val="nil"/>
              <w:bottom w:val="single" w:sz="4" w:space="0" w:color="auto"/>
              <w:right w:val="single" w:sz="4" w:space="0" w:color="auto"/>
            </w:tcBorders>
            <w:vAlign w:val="center"/>
          </w:tcPr>
          <w:p w14:paraId="04EA799C"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117,7</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32480BFF"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118,0</w:t>
            </w:r>
          </w:p>
        </w:tc>
        <w:tc>
          <w:tcPr>
            <w:tcW w:w="404" w:type="pct"/>
            <w:tcBorders>
              <w:top w:val="nil"/>
              <w:left w:val="nil"/>
              <w:bottom w:val="single" w:sz="4" w:space="0" w:color="auto"/>
              <w:right w:val="single" w:sz="4" w:space="0" w:color="auto"/>
            </w:tcBorders>
            <w:shd w:val="clear" w:color="auto" w:fill="auto"/>
            <w:noWrap/>
            <w:vAlign w:val="center"/>
          </w:tcPr>
          <w:p w14:paraId="11010391"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0,3%</w:t>
            </w:r>
          </w:p>
        </w:tc>
        <w:tc>
          <w:tcPr>
            <w:tcW w:w="377" w:type="pct"/>
            <w:tcBorders>
              <w:top w:val="nil"/>
              <w:left w:val="nil"/>
              <w:bottom w:val="single" w:sz="4" w:space="0" w:color="auto"/>
              <w:right w:val="single" w:sz="4" w:space="0" w:color="auto"/>
            </w:tcBorders>
            <w:shd w:val="clear" w:color="auto" w:fill="auto"/>
            <w:noWrap/>
            <w:vAlign w:val="center"/>
          </w:tcPr>
          <w:p w14:paraId="6EF2818D"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-0,7%</w:t>
            </w:r>
          </w:p>
        </w:tc>
        <w:tc>
          <w:tcPr>
            <w:tcW w:w="407" w:type="pct"/>
            <w:tcBorders>
              <w:top w:val="nil"/>
              <w:left w:val="nil"/>
              <w:bottom w:val="single" w:sz="4" w:space="0" w:color="auto"/>
              <w:right w:val="single" w:sz="4" w:space="0" w:color="auto"/>
            </w:tcBorders>
            <w:shd w:val="clear" w:color="auto" w:fill="auto"/>
            <w:noWrap/>
            <w:vAlign w:val="center"/>
          </w:tcPr>
          <w:p w14:paraId="6861010C"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6,1%</w:t>
            </w:r>
          </w:p>
        </w:tc>
      </w:tr>
      <w:tr w:rsidR="00143BC9" w:rsidRPr="006379E3" w14:paraId="7F508594" w14:textId="77777777" w:rsidTr="00143BC9">
        <w:trPr>
          <w:trHeight w:val="34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14:paraId="6DCC035E" w14:textId="77777777" w:rsidR="00143BC9" w:rsidRPr="00AC2F5B" w:rsidRDefault="00143BC9" w:rsidP="00143BC9">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Local</w:t>
            </w:r>
          </w:p>
        </w:tc>
        <w:tc>
          <w:tcPr>
            <w:tcW w:w="408" w:type="pct"/>
            <w:tcBorders>
              <w:top w:val="nil"/>
              <w:left w:val="nil"/>
              <w:bottom w:val="single" w:sz="4" w:space="0" w:color="auto"/>
              <w:right w:val="nil"/>
            </w:tcBorders>
            <w:shd w:val="clear" w:color="auto" w:fill="auto"/>
            <w:noWrap/>
            <w:vAlign w:val="center"/>
            <w:hideMark/>
          </w:tcPr>
          <w:p w14:paraId="46AA26C2" w14:textId="77777777" w:rsidR="00143BC9" w:rsidRPr="00AC2F5B" w:rsidRDefault="00143BC9" w:rsidP="00143BC9">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6991</w:t>
            </w:r>
          </w:p>
        </w:tc>
        <w:tc>
          <w:tcPr>
            <w:tcW w:w="405" w:type="pct"/>
            <w:tcBorders>
              <w:top w:val="nil"/>
              <w:left w:val="single" w:sz="4" w:space="0" w:color="auto"/>
              <w:bottom w:val="single" w:sz="4" w:space="0" w:color="auto"/>
              <w:right w:val="single" w:sz="4" w:space="0" w:color="auto"/>
            </w:tcBorders>
            <w:shd w:val="clear" w:color="auto" w:fill="auto"/>
            <w:noWrap/>
            <w:vAlign w:val="center"/>
          </w:tcPr>
          <w:p w14:paraId="089DB2D4"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117,5</w:t>
            </w:r>
          </w:p>
        </w:tc>
        <w:tc>
          <w:tcPr>
            <w:tcW w:w="405" w:type="pct"/>
            <w:tcBorders>
              <w:top w:val="nil"/>
              <w:left w:val="nil"/>
              <w:bottom w:val="single" w:sz="4" w:space="0" w:color="auto"/>
              <w:right w:val="single" w:sz="4" w:space="0" w:color="auto"/>
            </w:tcBorders>
            <w:shd w:val="clear" w:color="auto" w:fill="auto"/>
            <w:noWrap/>
            <w:vAlign w:val="center"/>
            <w:hideMark/>
          </w:tcPr>
          <w:p w14:paraId="24E21408" w14:textId="77777777" w:rsidR="00143BC9" w:rsidRPr="00D94543" w:rsidRDefault="00143BC9" w:rsidP="00143BC9">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133,9</w:t>
            </w:r>
          </w:p>
        </w:tc>
        <w:tc>
          <w:tcPr>
            <w:tcW w:w="404" w:type="pct"/>
            <w:tcBorders>
              <w:top w:val="nil"/>
              <w:left w:val="nil"/>
              <w:bottom w:val="single" w:sz="4" w:space="0" w:color="auto"/>
              <w:right w:val="single" w:sz="4" w:space="0" w:color="auto"/>
            </w:tcBorders>
            <w:shd w:val="clear" w:color="auto" w:fill="auto"/>
            <w:noWrap/>
            <w:vAlign w:val="center"/>
          </w:tcPr>
          <w:p w14:paraId="10274669" w14:textId="77777777" w:rsidR="00143BC9" w:rsidRPr="00734BA9" w:rsidRDefault="00143BC9" w:rsidP="00143BC9">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132,2</w:t>
            </w:r>
          </w:p>
        </w:tc>
        <w:tc>
          <w:tcPr>
            <w:tcW w:w="404" w:type="pct"/>
            <w:tcBorders>
              <w:top w:val="single" w:sz="4" w:space="0" w:color="auto"/>
              <w:left w:val="nil"/>
              <w:bottom w:val="single" w:sz="4" w:space="0" w:color="auto"/>
              <w:right w:val="single" w:sz="4" w:space="0" w:color="auto"/>
            </w:tcBorders>
            <w:vAlign w:val="center"/>
          </w:tcPr>
          <w:p w14:paraId="4DC4D2E8"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128,7</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12DBE0EE"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129,3</w:t>
            </w:r>
          </w:p>
        </w:tc>
        <w:tc>
          <w:tcPr>
            <w:tcW w:w="404" w:type="pct"/>
            <w:tcBorders>
              <w:top w:val="nil"/>
              <w:left w:val="nil"/>
              <w:bottom w:val="single" w:sz="4" w:space="0" w:color="auto"/>
              <w:right w:val="single" w:sz="4" w:space="0" w:color="auto"/>
            </w:tcBorders>
            <w:shd w:val="clear" w:color="auto" w:fill="auto"/>
            <w:noWrap/>
            <w:vAlign w:val="center"/>
          </w:tcPr>
          <w:p w14:paraId="1850CB5A"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0,5%</w:t>
            </w:r>
          </w:p>
        </w:tc>
        <w:tc>
          <w:tcPr>
            <w:tcW w:w="377" w:type="pct"/>
            <w:tcBorders>
              <w:top w:val="nil"/>
              <w:left w:val="nil"/>
              <w:bottom w:val="single" w:sz="4" w:space="0" w:color="auto"/>
              <w:right w:val="single" w:sz="4" w:space="0" w:color="auto"/>
            </w:tcBorders>
            <w:shd w:val="clear" w:color="auto" w:fill="auto"/>
            <w:noWrap/>
            <w:vAlign w:val="center"/>
          </w:tcPr>
          <w:p w14:paraId="6E95FAB5"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-3,5%</w:t>
            </w:r>
          </w:p>
        </w:tc>
        <w:tc>
          <w:tcPr>
            <w:tcW w:w="407" w:type="pct"/>
            <w:tcBorders>
              <w:top w:val="nil"/>
              <w:left w:val="nil"/>
              <w:bottom w:val="single" w:sz="4" w:space="0" w:color="auto"/>
              <w:right w:val="single" w:sz="4" w:space="0" w:color="auto"/>
            </w:tcBorders>
            <w:shd w:val="clear" w:color="auto" w:fill="auto"/>
            <w:noWrap/>
            <w:vAlign w:val="center"/>
          </w:tcPr>
          <w:p w14:paraId="0ABFE8BE"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10,0%</w:t>
            </w:r>
          </w:p>
        </w:tc>
      </w:tr>
      <w:tr w:rsidR="00143BC9" w:rsidRPr="006379E3" w14:paraId="46EB7B35" w14:textId="77777777" w:rsidTr="00143BC9">
        <w:trPr>
          <w:trHeight w:val="34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14:paraId="4F2186AF" w14:textId="77777777" w:rsidR="00143BC9" w:rsidRPr="00AC2F5B" w:rsidRDefault="00143BC9" w:rsidP="00143BC9">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Importé</w:t>
            </w:r>
          </w:p>
        </w:tc>
        <w:tc>
          <w:tcPr>
            <w:tcW w:w="408" w:type="pct"/>
            <w:tcBorders>
              <w:top w:val="nil"/>
              <w:left w:val="nil"/>
              <w:bottom w:val="single" w:sz="4" w:space="0" w:color="auto"/>
              <w:right w:val="nil"/>
            </w:tcBorders>
            <w:shd w:val="clear" w:color="auto" w:fill="auto"/>
            <w:noWrap/>
            <w:vAlign w:val="center"/>
            <w:hideMark/>
          </w:tcPr>
          <w:p w14:paraId="5438D498" w14:textId="77777777" w:rsidR="00143BC9" w:rsidRPr="00AC2F5B" w:rsidRDefault="00143BC9" w:rsidP="00143BC9">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3009</w:t>
            </w:r>
          </w:p>
        </w:tc>
        <w:tc>
          <w:tcPr>
            <w:tcW w:w="405" w:type="pct"/>
            <w:tcBorders>
              <w:top w:val="nil"/>
              <w:left w:val="single" w:sz="4" w:space="0" w:color="auto"/>
              <w:bottom w:val="single" w:sz="4" w:space="0" w:color="auto"/>
              <w:right w:val="single" w:sz="4" w:space="0" w:color="auto"/>
            </w:tcBorders>
            <w:shd w:val="clear" w:color="auto" w:fill="auto"/>
            <w:noWrap/>
            <w:vAlign w:val="center"/>
          </w:tcPr>
          <w:p w14:paraId="2340B013"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106,0</w:t>
            </w:r>
          </w:p>
        </w:tc>
        <w:tc>
          <w:tcPr>
            <w:tcW w:w="405" w:type="pct"/>
            <w:tcBorders>
              <w:top w:val="nil"/>
              <w:left w:val="nil"/>
              <w:bottom w:val="single" w:sz="4" w:space="0" w:color="auto"/>
              <w:right w:val="single" w:sz="4" w:space="0" w:color="auto"/>
            </w:tcBorders>
            <w:shd w:val="clear" w:color="auto" w:fill="auto"/>
            <w:noWrap/>
            <w:vAlign w:val="center"/>
            <w:hideMark/>
          </w:tcPr>
          <w:p w14:paraId="03AF8F1D" w14:textId="77777777" w:rsidR="00143BC9" w:rsidRPr="00D94543" w:rsidRDefault="00143BC9" w:rsidP="00143BC9">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114,0</w:t>
            </w:r>
          </w:p>
        </w:tc>
        <w:tc>
          <w:tcPr>
            <w:tcW w:w="404" w:type="pct"/>
            <w:tcBorders>
              <w:top w:val="nil"/>
              <w:left w:val="nil"/>
              <w:bottom w:val="single" w:sz="4" w:space="0" w:color="auto"/>
              <w:right w:val="single" w:sz="4" w:space="0" w:color="auto"/>
            </w:tcBorders>
            <w:shd w:val="clear" w:color="auto" w:fill="auto"/>
            <w:noWrap/>
            <w:vAlign w:val="center"/>
          </w:tcPr>
          <w:p w14:paraId="01120695" w14:textId="77777777" w:rsidR="00143BC9" w:rsidRPr="00734BA9" w:rsidRDefault="00143BC9" w:rsidP="00143BC9">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114,2</w:t>
            </w:r>
          </w:p>
        </w:tc>
        <w:tc>
          <w:tcPr>
            <w:tcW w:w="404" w:type="pct"/>
            <w:tcBorders>
              <w:top w:val="single" w:sz="4" w:space="0" w:color="auto"/>
              <w:left w:val="nil"/>
              <w:bottom w:val="single" w:sz="4" w:space="0" w:color="auto"/>
              <w:right w:val="single" w:sz="4" w:space="0" w:color="auto"/>
            </w:tcBorders>
            <w:vAlign w:val="center"/>
          </w:tcPr>
          <w:p w14:paraId="2B933AB4"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114,1</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4A3FC430"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114,3</w:t>
            </w:r>
          </w:p>
        </w:tc>
        <w:tc>
          <w:tcPr>
            <w:tcW w:w="404" w:type="pct"/>
            <w:tcBorders>
              <w:top w:val="nil"/>
              <w:left w:val="nil"/>
              <w:bottom w:val="single" w:sz="4" w:space="0" w:color="auto"/>
              <w:right w:val="single" w:sz="4" w:space="0" w:color="auto"/>
            </w:tcBorders>
            <w:shd w:val="clear" w:color="auto" w:fill="auto"/>
            <w:noWrap/>
            <w:vAlign w:val="center"/>
          </w:tcPr>
          <w:p w14:paraId="0B563EA5"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0,3%</w:t>
            </w:r>
          </w:p>
        </w:tc>
        <w:tc>
          <w:tcPr>
            <w:tcW w:w="377" w:type="pct"/>
            <w:tcBorders>
              <w:top w:val="nil"/>
              <w:left w:val="nil"/>
              <w:bottom w:val="single" w:sz="4" w:space="0" w:color="auto"/>
              <w:right w:val="single" w:sz="4" w:space="0" w:color="auto"/>
            </w:tcBorders>
            <w:shd w:val="clear" w:color="auto" w:fill="auto"/>
            <w:noWrap/>
            <w:vAlign w:val="center"/>
          </w:tcPr>
          <w:p w14:paraId="06ADE99B"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0,3%</w:t>
            </w:r>
          </w:p>
        </w:tc>
        <w:tc>
          <w:tcPr>
            <w:tcW w:w="407" w:type="pct"/>
            <w:tcBorders>
              <w:top w:val="nil"/>
              <w:left w:val="nil"/>
              <w:bottom w:val="single" w:sz="4" w:space="0" w:color="auto"/>
              <w:right w:val="single" w:sz="4" w:space="0" w:color="auto"/>
            </w:tcBorders>
            <w:shd w:val="clear" w:color="auto" w:fill="auto"/>
            <w:noWrap/>
            <w:vAlign w:val="center"/>
          </w:tcPr>
          <w:p w14:paraId="58E7927C"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7,9%</w:t>
            </w:r>
          </w:p>
        </w:tc>
      </w:tr>
      <w:tr w:rsidR="00143BC9" w:rsidRPr="006379E3" w14:paraId="40988DFF" w14:textId="77777777" w:rsidTr="00143BC9">
        <w:trPr>
          <w:trHeight w:val="34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14:paraId="52E28A20" w14:textId="77777777" w:rsidR="00143BC9" w:rsidRPr="00AC2F5B" w:rsidRDefault="00143BC9" w:rsidP="00143BC9">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Primaire</w:t>
            </w:r>
          </w:p>
        </w:tc>
        <w:tc>
          <w:tcPr>
            <w:tcW w:w="408" w:type="pct"/>
            <w:tcBorders>
              <w:top w:val="nil"/>
              <w:left w:val="nil"/>
              <w:bottom w:val="single" w:sz="4" w:space="0" w:color="auto"/>
              <w:right w:val="nil"/>
            </w:tcBorders>
            <w:shd w:val="clear" w:color="auto" w:fill="auto"/>
            <w:noWrap/>
            <w:vAlign w:val="center"/>
            <w:hideMark/>
          </w:tcPr>
          <w:p w14:paraId="57D9E0B7" w14:textId="77777777" w:rsidR="00143BC9" w:rsidRPr="00AC2F5B" w:rsidRDefault="00143BC9" w:rsidP="00143BC9">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4076</w:t>
            </w:r>
          </w:p>
        </w:tc>
        <w:tc>
          <w:tcPr>
            <w:tcW w:w="405" w:type="pct"/>
            <w:tcBorders>
              <w:top w:val="nil"/>
              <w:left w:val="single" w:sz="4" w:space="0" w:color="auto"/>
              <w:bottom w:val="single" w:sz="4" w:space="0" w:color="auto"/>
              <w:right w:val="single" w:sz="4" w:space="0" w:color="auto"/>
            </w:tcBorders>
            <w:shd w:val="clear" w:color="auto" w:fill="auto"/>
            <w:noWrap/>
            <w:vAlign w:val="center"/>
          </w:tcPr>
          <w:p w14:paraId="5C8EA651"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127,8</w:t>
            </w:r>
          </w:p>
        </w:tc>
        <w:tc>
          <w:tcPr>
            <w:tcW w:w="405" w:type="pct"/>
            <w:tcBorders>
              <w:top w:val="nil"/>
              <w:left w:val="nil"/>
              <w:bottom w:val="single" w:sz="4" w:space="0" w:color="auto"/>
              <w:right w:val="single" w:sz="4" w:space="0" w:color="auto"/>
            </w:tcBorders>
            <w:shd w:val="clear" w:color="auto" w:fill="auto"/>
            <w:noWrap/>
            <w:vAlign w:val="center"/>
            <w:hideMark/>
          </w:tcPr>
          <w:p w14:paraId="678F6975" w14:textId="77777777" w:rsidR="00143BC9" w:rsidRPr="00D94543" w:rsidRDefault="00143BC9" w:rsidP="00143BC9">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153,2</w:t>
            </w:r>
          </w:p>
        </w:tc>
        <w:tc>
          <w:tcPr>
            <w:tcW w:w="404" w:type="pct"/>
            <w:tcBorders>
              <w:top w:val="nil"/>
              <w:left w:val="nil"/>
              <w:bottom w:val="single" w:sz="4" w:space="0" w:color="auto"/>
              <w:right w:val="single" w:sz="4" w:space="0" w:color="auto"/>
            </w:tcBorders>
            <w:shd w:val="clear" w:color="auto" w:fill="auto"/>
            <w:noWrap/>
            <w:vAlign w:val="center"/>
          </w:tcPr>
          <w:p w14:paraId="03CDAD43" w14:textId="77777777" w:rsidR="00143BC9" w:rsidRPr="00734BA9" w:rsidRDefault="00143BC9" w:rsidP="00143BC9">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149,9</w:t>
            </w:r>
          </w:p>
        </w:tc>
        <w:tc>
          <w:tcPr>
            <w:tcW w:w="404" w:type="pct"/>
            <w:tcBorders>
              <w:top w:val="single" w:sz="4" w:space="0" w:color="auto"/>
              <w:left w:val="nil"/>
              <w:bottom w:val="single" w:sz="4" w:space="0" w:color="auto"/>
              <w:right w:val="single" w:sz="4" w:space="0" w:color="auto"/>
            </w:tcBorders>
            <w:vAlign w:val="center"/>
          </w:tcPr>
          <w:p w14:paraId="047C8B35"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142,6</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38F515A5"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143,4</w:t>
            </w:r>
          </w:p>
        </w:tc>
        <w:tc>
          <w:tcPr>
            <w:tcW w:w="404" w:type="pct"/>
            <w:tcBorders>
              <w:top w:val="nil"/>
              <w:left w:val="nil"/>
              <w:bottom w:val="single" w:sz="4" w:space="0" w:color="auto"/>
              <w:right w:val="single" w:sz="4" w:space="0" w:color="auto"/>
            </w:tcBorders>
            <w:shd w:val="clear" w:color="auto" w:fill="auto"/>
            <w:noWrap/>
            <w:vAlign w:val="center"/>
          </w:tcPr>
          <w:p w14:paraId="2D4C26EC"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0,6%</w:t>
            </w:r>
          </w:p>
        </w:tc>
        <w:tc>
          <w:tcPr>
            <w:tcW w:w="377" w:type="pct"/>
            <w:tcBorders>
              <w:top w:val="nil"/>
              <w:left w:val="nil"/>
              <w:bottom w:val="single" w:sz="4" w:space="0" w:color="auto"/>
              <w:right w:val="single" w:sz="4" w:space="0" w:color="auto"/>
            </w:tcBorders>
            <w:shd w:val="clear" w:color="auto" w:fill="auto"/>
            <w:noWrap/>
            <w:vAlign w:val="center"/>
          </w:tcPr>
          <w:p w14:paraId="5D7DE640"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-6,4%</w:t>
            </w:r>
          </w:p>
        </w:tc>
        <w:tc>
          <w:tcPr>
            <w:tcW w:w="407" w:type="pct"/>
            <w:tcBorders>
              <w:top w:val="nil"/>
              <w:left w:val="nil"/>
              <w:bottom w:val="single" w:sz="4" w:space="0" w:color="auto"/>
              <w:right w:val="single" w:sz="4" w:space="0" w:color="auto"/>
            </w:tcBorders>
            <w:shd w:val="clear" w:color="auto" w:fill="auto"/>
            <w:noWrap/>
            <w:vAlign w:val="center"/>
          </w:tcPr>
          <w:p w14:paraId="41F72022"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12,2%</w:t>
            </w:r>
          </w:p>
        </w:tc>
      </w:tr>
      <w:tr w:rsidR="00143BC9" w:rsidRPr="006379E3" w14:paraId="7AD8BDAA" w14:textId="77777777" w:rsidTr="00143BC9">
        <w:trPr>
          <w:trHeight w:val="34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14:paraId="378C3AB7" w14:textId="77777777" w:rsidR="00143BC9" w:rsidRPr="00AC2F5B" w:rsidRDefault="00143BC9" w:rsidP="00143BC9">
            <w:pPr>
              <w:spacing w:after="0" w:line="240" w:lineRule="auto"/>
              <w:rPr>
                <w:rFonts w:ascii="Arial" w:eastAsia="Times New Roman" w:hAnsi="Arial" w:cs="Arial"/>
                <w:bCs/>
                <w:sz w:val="16"/>
                <w:szCs w:val="16"/>
                <w:lang w:eastAsia="fr-FR"/>
              </w:rPr>
            </w:pPr>
            <w:r>
              <w:rPr>
                <w:rFonts w:ascii="Arial" w:eastAsia="Times New Roman" w:hAnsi="Arial" w:cs="Arial"/>
                <w:bCs/>
                <w:sz w:val="16"/>
                <w:szCs w:val="16"/>
                <w:lang w:eastAsia="fr-FR"/>
              </w:rPr>
              <w:t>S</w:t>
            </w:r>
            <w:r w:rsidRPr="00AC2F5B">
              <w:rPr>
                <w:rFonts w:ascii="Arial" w:eastAsia="Times New Roman" w:hAnsi="Arial" w:cs="Arial"/>
                <w:bCs/>
                <w:sz w:val="16"/>
                <w:szCs w:val="16"/>
                <w:lang w:eastAsia="fr-FR"/>
              </w:rPr>
              <w:t>econdaire</w:t>
            </w:r>
          </w:p>
        </w:tc>
        <w:tc>
          <w:tcPr>
            <w:tcW w:w="408" w:type="pct"/>
            <w:tcBorders>
              <w:top w:val="nil"/>
              <w:left w:val="nil"/>
              <w:bottom w:val="single" w:sz="4" w:space="0" w:color="auto"/>
              <w:right w:val="nil"/>
            </w:tcBorders>
            <w:shd w:val="clear" w:color="auto" w:fill="auto"/>
            <w:noWrap/>
            <w:vAlign w:val="center"/>
            <w:hideMark/>
          </w:tcPr>
          <w:p w14:paraId="19B55879" w14:textId="77777777" w:rsidR="00143BC9" w:rsidRPr="00AC2F5B" w:rsidRDefault="00143BC9" w:rsidP="00143BC9">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3638</w:t>
            </w:r>
          </w:p>
        </w:tc>
        <w:tc>
          <w:tcPr>
            <w:tcW w:w="405" w:type="pct"/>
            <w:tcBorders>
              <w:top w:val="nil"/>
              <w:left w:val="single" w:sz="4" w:space="0" w:color="auto"/>
              <w:bottom w:val="single" w:sz="4" w:space="0" w:color="auto"/>
              <w:right w:val="single" w:sz="4" w:space="0" w:color="auto"/>
            </w:tcBorders>
            <w:shd w:val="clear" w:color="auto" w:fill="auto"/>
            <w:noWrap/>
            <w:vAlign w:val="center"/>
          </w:tcPr>
          <w:p w14:paraId="5D0FD333"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105,2</w:t>
            </w:r>
          </w:p>
        </w:tc>
        <w:tc>
          <w:tcPr>
            <w:tcW w:w="405" w:type="pct"/>
            <w:tcBorders>
              <w:top w:val="nil"/>
              <w:left w:val="nil"/>
              <w:bottom w:val="single" w:sz="4" w:space="0" w:color="auto"/>
              <w:right w:val="single" w:sz="4" w:space="0" w:color="auto"/>
            </w:tcBorders>
            <w:shd w:val="clear" w:color="auto" w:fill="auto"/>
            <w:noWrap/>
            <w:vAlign w:val="center"/>
            <w:hideMark/>
          </w:tcPr>
          <w:p w14:paraId="4326430A" w14:textId="77777777" w:rsidR="00143BC9" w:rsidRPr="00D94543" w:rsidRDefault="00143BC9" w:rsidP="00143BC9">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112,0</w:t>
            </w:r>
          </w:p>
        </w:tc>
        <w:tc>
          <w:tcPr>
            <w:tcW w:w="404" w:type="pct"/>
            <w:tcBorders>
              <w:top w:val="nil"/>
              <w:left w:val="nil"/>
              <w:bottom w:val="single" w:sz="4" w:space="0" w:color="auto"/>
              <w:right w:val="single" w:sz="4" w:space="0" w:color="auto"/>
            </w:tcBorders>
            <w:shd w:val="clear" w:color="auto" w:fill="auto"/>
            <w:noWrap/>
            <w:vAlign w:val="center"/>
          </w:tcPr>
          <w:p w14:paraId="2DE6A59C" w14:textId="77777777" w:rsidR="00143BC9" w:rsidRPr="00734BA9" w:rsidRDefault="00143BC9" w:rsidP="00143BC9">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112,3</w:t>
            </w:r>
          </w:p>
        </w:tc>
        <w:tc>
          <w:tcPr>
            <w:tcW w:w="404" w:type="pct"/>
            <w:tcBorders>
              <w:top w:val="single" w:sz="4" w:space="0" w:color="auto"/>
              <w:left w:val="nil"/>
              <w:bottom w:val="single" w:sz="4" w:space="0" w:color="auto"/>
              <w:right w:val="single" w:sz="4" w:space="0" w:color="auto"/>
            </w:tcBorders>
            <w:vAlign w:val="center"/>
          </w:tcPr>
          <w:p w14:paraId="046C1663"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112,6</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41A376BB"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112,9</w:t>
            </w:r>
          </w:p>
        </w:tc>
        <w:tc>
          <w:tcPr>
            <w:tcW w:w="404" w:type="pct"/>
            <w:tcBorders>
              <w:top w:val="nil"/>
              <w:left w:val="nil"/>
              <w:bottom w:val="single" w:sz="4" w:space="0" w:color="auto"/>
              <w:right w:val="single" w:sz="4" w:space="0" w:color="auto"/>
            </w:tcBorders>
            <w:shd w:val="clear" w:color="auto" w:fill="auto"/>
            <w:noWrap/>
            <w:vAlign w:val="center"/>
          </w:tcPr>
          <w:p w14:paraId="370EC890"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0,3%</w:t>
            </w:r>
          </w:p>
        </w:tc>
        <w:tc>
          <w:tcPr>
            <w:tcW w:w="377" w:type="pct"/>
            <w:tcBorders>
              <w:top w:val="nil"/>
              <w:left w:val="nil"/>
              <w:bottom w:val="single" w:sz="4" w:space="0" w:color="auto"/>
              <w:right w:val="single" w:sz="4" w:space="0" w:color="auto"/>
            </w:tcBorders>
            <w:shd w:val="clear" w:color="auto" w:fill="auto"/>
            <w:noWrap/>
            <w:vAlign w:val="center"/>
          </w:tcPr>
          <w:p w14:paraId="4D3113FA"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0,9%</w:t>
            </w:r>
          </w:p>
        </w:tc>
        <w:tc>
          <w:tcPr>
            <w:tcW w:w="407" w:type="pct"/>
            <w:tcBorders>
              <w:top w:val="nil"/>
              <w:left w:val="nil"/>
              <w:bottom w:val="single" w:sz="4" w:space="0" w:color="auto"/>
              <w:right w:val="single" w:sz="4" w:space="0" w:color="auto"/>
            </w:tcBorders>
            <w:shd w:val="clear" w:color="auto" w:fill="auto"/>
            <w:noWrap/>
            <w:vAlign w:val="center"/>
          </w:tcPr>
          <w:p w14:paraId="6ED84B96"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7,4%</w:t>
            </w:r>
          </w:p>
        </w:tc>
      </w:tr>
      <w:tr w:rsidR="00143BC9" w:rsidRPr="006379E3" w14:paraId="20C00C43" w14:textId="77777777" w:rsidTr="00143BC9">
        <w:trPr>
          <w:trHeight w:val="34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14:paraId="67F10C7B" w14:textId="77777777" w:rsidR="00143BC9" w:rsidRPr="00AC2F5B" w:rsidRDefault="00143BC9" w:rsidP="00143BC9">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Tertiaire</w:t>
            </w:r>
          </w:p>
        </w:tc>
        <w:tc>
          <w:tcPr>
            <w:tcW w:w="408" w:type="pct"/>
            <w:tcBorders>
              <w:top w:val="nil"/>
              <w:left w:val="nil"/>
              <w:bottom w:val="single" w:sz="4" w:space="0" w:color="auto"/>
              <w:right w:val="nil"/>
            </w:tcBorders>
            <w:shd w:val="clear" w:color="auto" w:fill="auto"/>
            <w:noWrap/>
            <w:vAlign w:val="center"/>
            <w:hideMark/>
          </w:tcPr>
          <w:p w14:paraId="2578AFEA" w14:textId="77777777" w:rsidR="00143BC9" w:rsidRPr="00AC2F5B" w:rsidRDefault="00143BC9" w:rsidP="00143BC9">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2286</w:t>
            </w:r>
          </w:p>
        </w:tc>
        <w:tc>
          <w:tcPr>
            <w:tcW w:w="405" w:type="pct"/>
            <w:tcBorders>
              <w:top w:val="nil"/>
              <w:left w:val="single" w:sz="4" w:space="0" w:color="auto"/>
              <w:bottom w:val="single" w:sz="4" w:space="0" w:color="auto"/>
              <w:right w:val="single" w:sz="4" w:space="0" w:color="auto"/>
            </w:tcBorders>
            <w:shd w:val="clear" w:color="auto" w:fill="auto"/>
            <w:noWrap/>
            <w:vAlign w:val="center"/>
          </w:tcPr>
          <w:p w14:paraId="220166B2"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104,9</w:t>
            </w:r>
          </w:p>
        </w:tc>
        <w:tc>
          <w:tcPr>
            <w:tcW w:w="405" w:type="pct"/>
            <w:tcBorders>
              <w:top w:val="nil"/>
              <w:left w:val="nil"/>
              <w:bottom w:val="single" w:sz="4" w:space="0" w:color="auto"/>
              <w:right w:val="single" w:sz="4" w:space="0" w:color="auto"/>
            </w:tcBorders>
            <w:shd w:val="clear" w:color="auto" w:fill="auto"/>
            <w:noWrap/>
            <w:vAlign w:val="center"/>
            <w:hideMark/>
          </w:tcPr>
          <w:p w14:paraId="2ACD8778" w14:textId="77777777" w:rsidR="00143BC9" w:rsidRPr="00D94543" w:rsidRDefault="00143BC9" w:rsidP="00143BC9">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108,6</w:t>
            </w:r>
          </w:p>
        </w:tc>
        <w:tc>
          <w:tcPr>
            <w:tcW w:w="404" w:type="pct"/>
            <w:tcBorders>
              <w:top w:val="nil"/>
              <w:left w:val="nil"/>
              <w:bottom w:val="single" w:sz="4" w:space="0" w:color="auto"/>
              <w:right w:val="single" w:sz="4" w:space="0" w:color="auto"/>
            </w:tcBorders>
            <w:shd w:val="clear" w:color="auto" w:fill="auto"/>
            <w:noWrap/>
            <w:vAlign w:val="center"/>
          </w:tcPr>
          <w:p w14:paraId="29D2C10A" w14:textId="77777777" w:rsidR="00143BC9" w:rsidRPr="00734BA9" w:rsidRDefault="00143BC9" w:rsidP="00143BC9">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108,7</w:t>
            </w:r>
          </w:p>
        </w:tc>
        <w:tc>
          <w:tcPr>
            <w:tcW w:w="404" w:type="pct"/>
            <w:tcBorders>
              <w:top w:val="single" w:sz="4" w:space="0" w:color="auto"/>
              <w:left w:val="nil"/>
              <w:bottom w:val="single" w:sz="4" w:space="0" w:color="auto"/>
              <w:right w:val="single" w:sz="4" w:space="0" w:color="auto"/>
            </w:tcBorders>
            <w:vAlign w:val="center"/>
          </w:tcPr>
          <w:p w14:paraId="15446A30"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110,2</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7CAA66D6"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110,3</w:t>
            </w:r>
          </w:p>
        </w:tc>
        <w:tc>
          <w:tcPr>
            <w:tcW w:w="404" w:type="pct"/>
            <w:tcBorders>
              <w:top w:val="nil"/>
              <w:left w:val="nil"/>
              <w:bottom w:val="single" w:sz="4" w:space="0" w:color="auto"/>
              <w:right w:val="single" w:sz="4" w:space="0" w:color="auto"/>
            </w:tcBorders>
            <w:shd w:val="clear" w:color="auto" w:fill="auto"/>
            <w:noWrap/>
            <w:vAlign w:val="center"/>
          </w:tcPr>
          <w:p w14:paraId="303810CF"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0,1%</w:t>
            </w:r>
          </w:p>
        </w:tc>
        <w:tc>
          <w:tcPr>
            <w:tcW w:w="377" w:type="pct"/>
            <w:tcBorders>
              <w:top w:val="nil"/>
              <w:left w:val="nil"/>
              <w:bottom w:val="single" w:sz="4" w:space="0" w:color="auto"/>
              <w:right w:val="single" w:sz="4" w:space="0" w:color="auto"/>
            </w:tcBorders>
            <w:shd w:val="clear" w:color="auto" w:fill="auto"/>
            <w:noWrap/>
            <w:vAlign w:val="center"/>
          </w:tcPr>
          <w:p w14:paraId="71E9B2C8"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1,6%</w:t>
            </w:r>
          </w:p>
        </w:tc>
        <w:tc>
          <w:tcPr>
            <w:tcW w:w="407" w:type="pct"/>
            <w:tcBorders>
              <w:top w:val="nil"/>
              <w:left w:val="nil"/>
              <w:bottom w:val="single" w:sz="4" w:space="0" w:color="auto"/>
              <w:right w:val="single" w:sz="4" w:space="0" w:color="auto"/>
            </w:tcBorders>
            <w:shd w:val="clear" w:color="auto" w:fill="auto"/>
            <w:noWrap/>
            <w:vAlign w:val="center"/>
          </w:tcPr>
          <w:p w14:paraId="2D7C9DD7"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5,2%</w:t>
            </w:r>
          </w:p>
        </w:tc>
      </w:tr>
      <w:tr w:rsidR="00143BC9" w:rsidRPr="006379E3" w14:paraId="0DFCAB8A" w14:textId="77777777" w:rsidTr="00143BC9">
        <w:trPr>
          <w:trHeight w:val="34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14:paraId="02A320F0" w14:textId="77777777" w:rsidR="00143BC9" w:rsidRPr="00AC2F5B" w:rsidRDefault="00143BC9" w:rsidP="00143BC9">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Durable</w:t>
            </w:r>
            <w:r>
              <w:rPr>
                <w:rStyle w:val="Appelnotedebasdep"/>
                <w:rFonts w:ascii="Arial" w:eastAsia="Times New Roman" w:hAnsi="Arial" w:cs="Arial"/>
                <w:bCs/>
                <w:sz w:val="16"/>
                <w:szCs w:val="16"/>
                <w:lang w:eastAsia="fr-FR"/>
              </w:rPr>
              <w:footnoteReference w:id="3"/>
            </w:r>
          </w:p>
        </w:tc>
        <w:tc>
          <w:tcPr>
            <w:tcW w:w="408" w:type="pct"/>
            <w:tcBorders>
              <w:top w:val="nil"/>
              <w:left w:val="nil"/>
              <w:bottom w:val="single" w:sz="4" w:space="0" w:color="auto"/>
              <w:right w:val="nil"/>
            </w:tcBorders>
            <w:shd w:val="clear" w:color="auto" w:fill="auto"/>
            <w:noWrap/>
            <w:vAlign w:val="center"/>
            <w:hideMark/>
          </w:tcPr>
          <w:p w14:paraId="47334C50" w14:textId="77777777" w:rsidR="00143BC9" w:rsidRPr="00AC2F5B" w:rsidRDefault="00143BC9" w:rsidP="00143BC9">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243</w:t>
            </w:r>
          </w:p>
        </w:tc>
        <w:tc>
          <w:tcPr>
            <w:tcW w:w="405" w:type="pct"/>
            <w:tcBorders>
              <w:top w:val="nil"/>
              <w:left w:val="single" w:sz="4" w:space="0" w:color="auto"/>
              <w:bottom w:val="single" w:sz="4" w:space="0" w:color="auto"/>
              <w:right w:val="single" w:sz="4" w:space="0" w:color="auto"/>
            </w:tcBorders>
            <w:shd w:val="clear" w:color="auto" w:fill="auto"/>
            <w:noWrap/>
            <w:vAlign w:val="center"/>
          </w:tcPr>
          <w:p w14:paraId="16036A97"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119,5</w:t>
            </w:r>
          </w:p>
        </w:tc>
        <w:tc>
          <w:tcPr>
            <w:tcW w:w="405" w:type="pct"/>
            <w:tcBorders>
              <w:top w:val="nil"/>
              <w:left w:val="nil"/>
              <w:bottom w:val="single" w:sz="4" w:space="0" w:color="auto"/>
              <w:right w:val="single" w:sz="4" w:space="0" w:color="auto"/>
            </w:tcBorders>
            <w:shd w:val="clear" w:color="auto" w:fill="auto"/>
            <w:noWrap/>
            <w:vAlign w:val="center"/>
            <w:hideMark/>
          </w:tcPr>
          <w:p w14:paraId="1C1CDEF3" w14:textId="77777777" w:rsidR="00143BC9" w:rsidRPr="00D94543" w:rsidRDefault="00143BC9" w:rsidP="00143BC9">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128,4</w:t>
            </w:r>
          </w:p>
        </w:tc>
        <w:tc>
          <w:tcPr>
            <w:tcW w:w="404" w:type="pct"/>
            <w:tcBorders>
              <w:top w:val="nil"/>
              <w:left w:val="nil"/>
              <w:bottom w:val="single" w:sz="4" w:space="0" w:color="auto"/>
              <w:right w:val="single" w:sz="4" w:space="0" w:color="auto"/>
            </w:tcBorders>
            <w:shd w:val="clear" w:color="auto" w:fill="auto"/>
            <w:noWrap/>
            <w:vAlign w:val="center"/>
          </w:tcPr>
          <w:p w14:paraId="1AA1DDAE" w14:textId="77777777" w:rsidR="00143BC9" w:rsidRPr="00734BA9" w:rsidRDefault="00143BC9" w:rsidP="00143BC9">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128,4</w:t>
            </w:r>
          </w:p>
        </w:tc>
        <w:tc>
          <w:tcPr>
            <w:tcW w:w="404" w:type="pct"/>
            <w:tcBorders>
              <w:top w:val="single" w:sz="4" w:space="0" w:color="auto"/>
              <w:left w:val="nil"/>
              <w:bottom w:val="single" w:sz="4" w:space="0" w:color="auto"/>
              <w:right w:val="single" w:sz="4" w:space="0" w:color="auto"/>
            </w:tcBorders>
            <w:vAlign w:val="center"/>
          </w:tcPr>
          <w:p w14:paraId="4EC2280A"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128,0</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0986DA95"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127,3</w:t>
            </w:r>
          </w:p>
        </w:tc>
        <w:tc>
          <w:tcPr>
            <w:tcW w:w="404" w:type="pct"/>
            <w:tcBorders>
              <w:top w:val="nil"/>
              <w:left w:val="nil"/>
              <w:bottom w:val="single" w:sz="4" w:space="0" w:color="auto"/>
              <w:right w:val="single" w:sz="4" w:space="0" w:color="auto"/>
            </w:tcBorders>
            <w:shd w:val="clear" w:color="auto" w:fill="auto"/>
            <w:noWrap/>
            <w:vAlign w:val="center"/>
          </w:tcPr>
          <w:p w14:paraId="157C3C88"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-0,5%</w:t>
            </w:r>
          </w:p>
        </w:tc>
        <w:tc>
          <w:tcPr>
            <w:tcW w:w="377" w:type="pct"/>
            <w:tcBorders>
              <w:top w:val="nil"/>
              <w:left w:val="nil"/>
              <w:bottom w:val="single" w:sz="4" w:space="0" w:color="auto"/>
              <w:right w:val="single" w:sz="4" w:space="0" w:color="auto"/>
            </w:tcBorders>
            <w:shd w:val="clear" w:color="auto" w:fill="auto"/>
            <w:noWrap/>
            <w:vAlign w:val="center"/>
          </w:tcPr>
          <w:p w14:paraId="5A2ADBEF"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-0,8%</w:t>
            </w:r>
          </w:p>
        </w:tc>
        <w:tc>
          <w:tcPr>
            <w:tcW w:w="407" w:type="pct"/>
            <w:tcBorders>
              <w:top w:val="nil"/>
              <w:left w:val="nil"/>
              <w:bottom w:val="single" w:sz="4" w:space="0" w:color="auto"/>
              <w:right w:val="single" w:sz="4" w:space="0" w:color="auto"/>
            </w:tcBorders>
            <w:shd w:val="clear" w:color="auto" w:fill="auto"/>
            <w:noWrap/>
            <w:vAlign w:val="center"/>
          </w:tcPr>
          <w:p w14:paraId="3944584F"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6,5%</w:t>
            </w:r>
          </w:p>
        </w:tc>
      </w:tr>
      <w:tr w:rsidR="00143BC9" w:rsidRPr="006379E3" w14:paraId="1C6DC845" w14:textId="77777777" w:rsidTr="00143BC9">
        <w:trPr>
          <w:trHeight w:val="34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14:paraId="314D82A2" w14:textId="77777777" w:rsidR="00143BC9" w:rsidRPr="00AC2F5B" w:rsidRDefault="00143BC9" w:rsidP="00143BC9">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Semi-durable</w:t>
            </w:r>
            <w:r>
              <w:rPr>
                <w:rStyle w:val="Appelnotedebasdep"/>
                <w:rFonts w:ascii="Arial" w:eastAsia="Times New Roman" w:hAnsi="Arial" w:cs="Arial"/>
                <w:bCs/>
                <w:sz w:val="16"/>
                <w:szCs w:val="16"/>
                <w:lang w:eastAsia="fr-FR"/>
              </w:rPr>
              <w:footnoteReference w:id="4"/>
            </w:r>
          </w:p>
        </w:tc>
        <w:tc>
          <w:tcPr>
            <w:tcW w:w="408" w:type="pct"/>
            <w:tcBorders>
              <w:top w:val="nil"/>
              <w:left w:val="nil"/>
              <w:bottom w:val="single" w:sz="4" w:space="0" w:color="auto"/>
              <w:right w:val="nil"/>
            </w:tcBorders>
            <w:shd w:val="clear" w:color="auto" w:fill="auto"/>
            <w:noWrap/>
            <w:vAlign w:val="center"/>
            <w:hideMark/>
          </w:tcPr>
          <w:p w14:paraId="05994EDB" w14:textId="77777777" w:rsidR="00143BC9" w:rsidRPr="00AC2F5B" w:rsidRDefault="00143BC9" w:rsidP="00143BC9">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1654</w:t>
            </w:r>
          </w:p>
        </w:tc>
        <w:tc>
          <w:tcPr>
            <w:tcW w:w="405" w:type="pct"/>
            <w:tcBorders>
              <w:top w:val="nil"/>
              <w:left w:val="single" w:sz="4" w:space="0" w:color="auto"/>
              <w:bottom w:val="single" w:sz="4" w:space="0" w:color="auto"/>
              <w:right w:val="single" w:sz="4" w:space="0" w:color="auto"/>
            </w:tcBorders>
            <w:shd w:val="clear" w:color="auto" w:fill="auto"/>
            <w:noWrap/>
            <w:vAlign w:val="center"/>
          </w:tcPr>
          <w:p w14:paraId="6572DE67"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102,7</w:t>
            </w:r>
          </w:p>
        </w:tc>
        <w:tc>
          <w:tcPr>
            <w:tcW w:w="405" w:type="pct"/>
            <w:tcBorders>
              <w:top w:val="nil"/>
              <w:left w:val="nil"/>
              <w:bottom w:val="single" w:sz="4" w:space="0" w:color="auto"/>
              <w:right w:val="single" w:sz="4" w:space="0" w:color="auto"/>
            </w:tcBorders>
            <w:shd w:val="clear" w:color="auto" w:fill="auto"/>
            <w:noWrap/>
            <w:vAlign w:val="center"/>
            <w:hideMark/>
          </w:tcPr>
          <w:p w14:paraId="02CB1420" w14:textId="77777777" w:rsidR="00143BC9" w:rsidRPr="00D94543" w:rsidRDefault="00143BC9" w:rsidP="00143BC9">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107,4</w:t>
            </w:r>
          </w:p>
        </w:tc>
        <w:tc>
          <w:tcPr>
            <w:tcW w:w="404" w:type="pct"/>
            <w:tcBorders>
              <w:top w:val="nil"/>
              <w:left w:val="nil"/>
              <w:bottom w:val="single" w:sz="4" w:space="0" w:color="auto"/>
              <w:right w:val="single" w:sz="4" w:space="0" w:color="auto"/>
            </w:tcBorders>
            <w:shd w:val="clear" w:color="auto" w:fill="auto"/>
            <w:noWrap/>
            <w:vAlign w:val="center"/>
          </w:tcPr>
          <w:p w14:paraId="43CFC905" w14:textId="77777777" w:rsidR="00143BC9" w:rsidRPr="00734BA9" w:rsidRDefault="00143BC9" w:rsidP="00143BC9">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108,1</w:t>
            </w:r>
          </w:p>
        </w:tc>
        <w:tc>
          <w:tcPr>
            <w:tcW w:w="404" w:type="pct"/>
            <w:tcBorders>
              <w:top w:val="single" w:sz="4" w:space="0" w:color="auto"/>
              <w:left w:val="nil"/>
              <w:bottom w:val="single" w:sz="4" w:space="0" w:color="auto"/>
              <w:right w:val="single" w:sz="4" w:space="0" w:color="auto"/>
            </w:tcBorders>
            <w:vAlign w:val="center"/>
          </w:tcPr>
          <w:p w14:paraId="155FA3E8"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108,7</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111FB2A8"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109,1</w:t>
            </w:r>
          </w:p>
        </w:tc>
        <w:tc>
          <w:tcPr>
            <w:tcW w:w="404" w:type="pct"/>
            <w:tcBorders>
              <w:top w:val="nil"/>
              <w:left w:val="nil"/>
              <w:bottom w:val="single" w:sz="4" w:space="0" w:color="auto"/>
              <w:right w:val="single" w:sz="4" w:space="0" w:color="auto"/>
            </w:tcBorders>
            <w:shd w:val="clear" w:color="auto" w:fill="auto"/>
            <w:noWrap/>
            <w:vAlign w:val="center"/>
          </w:tcPr>
          <w:p w14:paraId="0815936D"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0,3%</w:t>
            </w:r>
          </w:p>
        </w:tc>
        <w:tc>
          <w:tcPr>
            <w:tcW w:w="377" w:type="pct"/>
            <w:tcBorders>
              <w:top w:val="nil"/>
              <w:left w:val="nil"/>
              <w:bottom w:val="single" w:sz="4" w:space="0" w:color="auto"/>
              <w:right w:val="single" w:sz="4" w:space="0" w:color="auto"/>
            </w:tcBorders>
            <w:shd w:val="clear" w:color="auto" w:fill="auto"/>
            <w:noWrap/>
            <w:vAlign w:val="center"/>
          </w:tcPr>
          <w:p w14:paraId="3EC57F82"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1,5%</w:t>
            </w:r>
          </w:p>
        </w:tc>
        <w:tc>
          <w:tcPr>
            <w:tcW w:w="407" w:type="pct"/>
            <w:tcBorders>
              <w:top w:val="nil"/>
              <w:left w:val="nil"/>
              <w:bottom w:val="single" w:sz="4" w:space="0" w:color="auto"/>
              <w:right w:val="single" w:sz="4" w:space="0" w:color="auto"/>
            </w:tcBorders>
            <w:shd w:val="clear" w:color="auto" w:fill="auto"/>
            <w:noWrap/>
            <w:vAlign w:val="center"/>
          </w:tcPr>
          <w:p w14:paraId="39B97FEF"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6,2%</w:t>
            </w:r>
          </w:p>
        </w:tc>
      </w:tr>
      <w:tr w:rsidR="00143BC9" w:rsidRPr="006379E3" w14:paraId="02A5AC15" w14:textId="77777777" w:rsidTr="00143BC9">
        <w:trPr>
          <w:trHeight w:val="34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14:paraId="3AA8CDBE" w14:textId="77777777" w:rsidR="00143BC9" w:rsidRPr="00AC2F5B" w:rsidRDefault="00143BC9" w:rsidP="00143BC9">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Non durable</w:t>
            </w:r>
            <w:r>
              <w:rPr>
                <w:rStyle w:val="Appelnotedebasdep"/>
                <w:rFonts w:ascii="Arial" w:eastAsia="Times New Roman" w:hAnsi="Arial" w:cs="Arial"/>
                <w:bCs/>
                <w:sz w:val="16"/>
                <w:szCs w:val="16"/>
                <w:lang w:eastAsia="fr-FR"/>
              </w:rPr>
              <w:footnoteReference w:id="5"/>
            </w:r>
          </w:p>
        </w:tc>
        <w:tc>
          <w:tcPr>
            <w:tcW w:w="408" w:type="pct"/>
            <w:tcBorders>
              <w:top w:val="nil"/>
              <w:left w:val="nil"/>
              <w:bottom w:val="single" w:sz="4" w:space="0" w:color="auto"/>
              <w:right w:val="nil"/>
            </w:tcBorders>
            <w:shd w:val="clear" w:color="auto" w:fill="auto"/>
            <w:noWrap/>
            <w:vAlign w:val="center"/>
            <w:hideMark/>
          </w:tcPr>
          <w:p w14:paraId="78E9C138" w14:textId="77777777" w:rsidR="00143BC9" w:rsidRPr="00AC2F5B" w:rsidRDefault="00143BC9" w:rsidP="00143BC9">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5817</w:t>
            </w:r>
          </w:p>
        </w:tc>
        <w:tc>
          <w:tcPr>
            <w:tcW w:w="405" w:type="pct"/>
            <w:tcBorders>
              <w:top w:val="nil"/>
              <w:left w:val="single" w:sz="4" w:space="0" w:color="auto"/>
              <w:bottom w:val="single" w:sz="4" w:space="0" w:color="auto"/>
              <w:right w:val="single" w:sz="4" w:space="0" w:color="auto"/>
            </w:tcBorders>
            <w:shd w:val="clear" w:color="auto" w:fill="auto"/>
            <w:noWrap/>
            <w:vAlign w:val="center"/>
          </w:tcPr>
          <w:p w14:paraId="3AA68152"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121,1</w:t>
            </w:r>
          </w:p>
        </w:tc>
        <w:tc>
          <w:tcPr>
            <w:tcW w:w="405" w:type="pct"/>
            <w:tcBorders>
              <w:top w:val="nil"/>
              <w:left w:val="nil"/>
              <w:bottom w:val="single" w:sz="4" w:space="0" w:color="auto"/>
              <w:right w:val="single" w:sz="4" w:space="0" w:color="auto"/>
            </w:tcBorders>
            <w:shd w:val="clear" w:color="auto" w:fill="auto"/>
            <w:noWrap/>
            <w:vAlign w:val="center"/>
            <w:hideMark/>
          </w:tcPr>
          <w:p w14:paraId="20BC09EC" w14:textId="77777777" w:rsidR="00143BC9" w:rsidRPr="00D94543" w:rsidRDefault="00143BC9" w:rsidP="00143BC9">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141,4</w:t>
            </w:r>
          </w:p>
        </w:tc>
        <w:tc>
          <w:tcPr>
            <w:tcW w:w="404" w:type="pct"/>
            <w:tcBorders>
              <w:top w:val="nil"/>
              <w:left w:val="nil"/>
              <w:bottom w:val="single" w:sz="4" w:space="0" w:color="auto"/>
              <w:right w:val="single" w:sz="4" w:space="0" w:color="auto"/>
            </w:tcBorders>
            <w:shd w:val="clear" w:color="auto" w:fill="auto"/>
            <w:noWrap/>
            <w:vAlign w:val="center"/>
          </w:tcPr>
          <w:p w14:paraId="68D5621F" w14:textId="77777777" w:rsidR="00143BC9" w:rsidRPr="00734BA9" w:rsidRDefault="00143BC9" w:rsidP="00143BC9">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139,2</w:t>
            </w:r>
          </w:p>
        </w:tc>
        <w:tc>
          <w:tcPr>
            <w:tcW w:w="404" w:type="pct"/>
            <w:tcBorders>
              <w:top w:val="single" w:sz="4" w:space="0" w:color="auto"/>
              <w:left w:val="nil"/>
              <w:bottom w:val="single" w:sz="4" w:space="0" w:color="auto"/>
              <w:right w:val="single" w:sz="4" w:space="0" w:color="auto"/>
            </w:tcBorders>
            <w:vAlign w:val="center"/>
          </w:tcPr>
          <w:p w14:paraId="5D2232BA"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134,0</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0400DFE4"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134,8</w:t>
            </w:r>
          </w:p>
        </w:tc>
        <w:tc>
          <w:tcPr>
            <w:tcW w:w="404" w:type="pct"/>
            <w:tcBorders>
              <w:top w:val="nil"/>
              <w:left w:val="nil"/>
              <w:bottom w:val="single" w:sz="4" w:space="0" w:color="auto"/>
              <w:right w:val="single" w:sz="4" w:space="0" w:color="auto"/>
            </w:tcBorders>
            <w:shd w:val="clear" w:color="auto" w:fill="auto"/>
            <w:noWrap/>
            <w:vAlign w:val="center"/>
          </w:tcPr>
          <w:p w14:paraId="3099EAE5"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0,5%</w:t>
            </w:r>
          </w:p>
        </w:tc>
        <w:tc>
          <w:tcPr>
            <w:tcW w:w="377" w:type="pct"/>
            <w:tcBorders>
              <w:top w:val="nil"/>
              <w:left w:val="nil"/>
              <w:bottom w:val="single" w:sz="4" w:space="0" w:color="auto"/>
              <w:right w:val="single" w:sz="4" w:space="0" w:color="auto"/>
            </w:tcBorders>
            <w:shd w:val="clear" w:color="auto" w:fill="auto"/>
            <w:noWrap/>
            <w:vAlign w:val="center"/>
          </w:tcPr>
          <w:p w14:paraId="1BD52E75"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-4,7%</w:t>
            </w:r>
          </w:p>
        </w:tc>
        <w:tc>
          <w:tcPr>
            <w:tcW w:w="407" w:type="pct"/>
            <w:tcBorders>
              <w:top w:val="nil"/>
              <w:left w:val="nil"/>
              <w:bottom w:val="single" w:sz="4" w:space="0" w:color="auto"/>
              <w:right w:val="single" w:sz="4" w:space="0" w:color="auto"/>
            </w:tcBorders>
            <w:shd w:val="clear" w:color="auto" w:fill="auto"/>
            <w:noWrap/>
            <w:vAlign w:val="center"/>
          </w:tcPr>
          <w:p w14:paraId="5C63FB1F"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11,2%</w:t>
            </w:r>
          </w:p>
        </w:tc>
      </w:tr>
      <w:tr w:rsidR="00143BC9" w:rsidRPr="006379E3" w14:paraId="7585C34B" w14:textId="77777777" w:rsidTr="00143BC9">
        <w:trPr>
          <w:trHeight w:val="34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14:paraId="28C7509C" w14:textId="77777777" w:rsidR="00143BC9" w:rsidRPr="00AC2F5B" w:rsidRDefault="00143BC9" w:rsidP="00143BC9">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Services</w:t>
            </w:r>
          </w:p>
        </w:tc>
        <w:tc>
          <w:tcPr>
            <w:tcW w:w="408" w:type="pct"/>
            <w:tcBorders>
              <w:top w:val="nil"/>
              <w:left w:val="nil"/>
              <w:bottom w:val="single" w:sz="4" w:space="0" w:color="auto"/>
              <w:right w:val="nil"/>
            </w:tcBorders>
            <w:shd w:val="clear" w:color="auto" w:fill="auto"/>
            <w:noWrap/>
            <w:vAlign w:val="center"/>
            <w:hideMark/>
          </w:tcPr>
          <w:p w14:paraId="016C463F" w14:textId="77777777" w:rsidR="00143BC9" w:rsidRPr="00AC2F5B" w:rsidRDefault="00143BC9" w:rsidP="00143BC9">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2286</w:t>
            </w:r>
          </w:p>
        </w:tc>
        <w:tc>
          <w:tcPr>
            <w:tcW w:w="405" w:type="pct"/>
            <w:tcBorders>
              <w:top w:val="nil"/>
              <w:left w:val="single" w:sz="4" w:space="0" w:color="auto"/>
              <w:bottom w:val="single" w:sz="4" w:space="0" w:color="auto"/>
              <w:right w:val="single" w:sz="4" w:space="0" w:color="auto"/>
            </w:tcBorders>
            <w:shd w:val="clear" w:color="auto" w:fill="auto"/>
            <w:noWrap/>
            <w:vAlign w:val="center"/>
          </w:tcPr>
          <w:p w14:paraId="31CF93A3"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104,9</w:t>
            </w:r>
          </w:p>
        </w:tc>
        <w:tc>
          <w:tcPr>
            <w:tcW w:w="405" w:type="pct"/>
            <w:tcBorders>
              <w:top w:val="nil"/>
              <w:left w:val="nil"/>
              <w:bottom w:val="single" w:sz="4" w:space="0" w:color="auto"/>
              <w:right w:val="single" w:sz="4" w:space="0" w:color="auto"/>
            </w:tcBorders>
            <w:shd w:val="clear" w:color="auto" w:fill="auto"/>
            <w:noWrap/>
            <w:vAlign w:val="center"/>
            <w:hideMark/>
          </w:tcPr>
          <w:p w14:paraId="035FA943" w14:textId="77777777" w:rsidR="00143BC9" w:rsidRPr="00D94543" w:rsidRDefault="00143BC9" w:rsidP="00143BC9">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108,6</w:t>
            </w:r>
          </w:p>
        </w:tc>
        <w:tc>
          <w:tcPr>
            <w:tcW w:w="404" w:type="pct"/>
            <w:tcBorders>
              <w:top w:val="nil"/>
              <w:left w:val="nil"/>
              <w:bottom w:val="single" w:sz="4" w:space="0" w:color="auto"/>
              <w:right w:val="single" w:sz="4" w:space="0" w:color="auto"/>
            </w:tcBorders>
            <w:shd w:val="clear" w:color="auto" w:fill="auto"/>
            <w:noWrap/>
            <w:vAlign w:val="center"/>
          </w:tcPr>
          <w:p w14:paraId="07ED348A" w14:textId="77777777" w:rsidR="00143BC9" w:rsidRPr="00734BA9" w:rsidRDefault="00143BC9" w:rsidP="00143BC9">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108,7</w:t>
            </w:r>
          </w:p>
        </w:tc>
        <w:tc>
          <w:tcPr>
            <w:tcW w:w="404" w:type="pct"/>
            <w:tcBorders>
              <w:top w:val="single" w:sz="4" w:space="0" w:color="auto"/>
              <w:left w:val="nil"/>
              <w:bottom w:val="single" w:sz="4" w:space="0" w:color="auto"/>
              <w:right w:val="single" w:sz="4" w:space="0" w:color="auto"/>
            </w:tcBorders>
            <w:vAlign w:val="center"/>
          </w:tcPr>
          <w:p w14:paraId="32054F03"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110,2</w:t>
            </w:r>
          </w:p>
        </w:tc>
        <w:tc>
          <w:tcPr>
            <w:tcW w:w="408" w:type="pct"/>
            <w:tcBorders>
              <w:top w:val="nil"/>
              <w:left w:val="single" w:sz="4" w:space="0" w:color="auto"/>
              <w:bottom w:val="single" w:sz="4" w:space="0" w:color="auto"/>
              <w:right w:val="single" w:sz="4" w:space="0" w:color="auto"/>
            </w:tcBorders>
            <w:shd w:val="clear" w:color="auto" w:fill="auto"/>
            <w:noWrap/>
            <w:vAlign w:val="center"/>
          </w:tcPr>
          <w:p w14:paraId="10B5031E"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110,3</w:t>
            </w:r>
          </w:p>
        </w:tc>
        <w:tc>
          <w:tcPr>
            <w:tcW w:w="404" w:type="pct"/>
            <w:tcBorders>
              <w:top w:val="nil"/>
              <w:left w:val="nil"/>
              <w:bottom w:val="single" w:sz="4" w:space="0" w:color="auto"/>
              <w:right w:val="single" w:sz="4" w:space="0" w:color="auto"/>
            </w:tcBorders>
            <w:shd w:val="clear" w:color="auto" w:fill="auto"/>
            <w:noWrap/>
            <w:vAlign w:val="center"/>
          </w:tcPr>
          <w:p w14:paraId="0B4549A4"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0,1%</w:t>
            </w:r>
          </w:p>
        </w:tc>
        <w:tc>
          <w:tcPr>
            <w:tcW w:w="377" w:type="pct"/>
            <w:tcBorders>
              <w:top w:val="nil"/>
              <w:left w:val="nil"/>
              <w:bottom w:val="single" w:sz="4" w:space="0" w:color="auto"/>
              <w:right w:val="single" w:sz="4" w:space="0" w:color="auto"/>
            </w:tcBorders>
            <w:shd w:val="clear" w:color="auto" w:fill="auto"/>
            <w:noWrap/>
            <w:vAlign w:val="center"/>
          </w:tcPr>
          <w:p w14:paraId="7C26C917"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1,6%</w:t>
            </w:r>
          </w:p>
        </w:tc>
        <w:tc>
          <w:tcPr>
            <w:tcW w:w="407" w:type="pct"/>
            <w:tcBorders>
              <w:top w:val="nil"/>
              <w:left w:val="nil"/>
              <w:bottom w:val="single" w:sz="4" w:space="0" w:color="auto"/>
              <w:right w:val="single" w:sz="4" w:space="0" w:color="auto"/>
            </w:tcBorders>
            <w:shd w:val="clear" w:color="auto" w:fill="auto"/>
            <w:noWrap/>
            <w:vAlign w:val="center"/>
          </w:tcPr>
          <w:p w14:paraId="76FD7BDD" w14:textId="77777777" w:rsidR="00143BC9" w:rsidRPr="00143BC9" w:rsidRDefault="00143BC9" w:rsidP="00143BC9">
            <w:pPr>
              <w:spacing w:after="0" w:line="240" w:lineRule="auto"/>
              <w:jc w:val="center"/>
              <w:rPr>
                <w:rFonts w:ascii="Arial" w:eastAsia="Times New Roman" w:hAnsi="Arial" w:cs="Arial"/>
                <w:color w:val="000000"/>
                <w:sz w:val="16"/>
                <w:szCs w:val="16"/>
                <w:lang w:eastAsia="fr-FR"/>
              </w:rPr>
            </w:pPr>
            <w:r w:rsidRPr="00143BC9">
              <w:rPr>
                <w:rFonts w:ascii="Arial" w:eastAsia="Times New Roman" w:hAnsi="Arial" w:cs="Arial"/>
                <w:color w:val="000000"/>
                <w:sz w:val="16"/>
                <w:szCs w:val="16"/>
                <w:lang w:eastAsia="fr-FR"/>
              </w:rPr>
              <w:t>5,2%</w:t>
            </w:r>
          </w:p>
        </w:tc>
      </w:tr>
    </w:tbl>
    <w:p w14:paraId="27A217BF" w14:textId="77777777" w:rsidR="00126912" w:rsidRPr="005B7992" w:rsidRDefault="00126912" w:rsidP="00126912">
      <w:pPr>
        <w:pStyle w:val="Sansinterligne"/>
        <w:rPr>
          <w:rFonts w:ascii="Arial" w:hAnsi="Arial" w:cs="Arial"/>
          <w:bCs/>
          <w:sz w:val="16"/>
          <w:szCs w:val="20"/>
        </w:rPr>
      </w:pPr>
      <w:r w:rsidRPr="00602850">
        <w:rPr>
          <w:rFonts w:ascii="Arial" w:hAnsi="Arial" w:cs="Arial"/>
          <w:bCs/>
          <w:sz w:val="16"/>
          <w:szCs w:val="20"/>
          <w:u w:val="single"/>
        </w:rPr>
        <w:t>Source</w:t>
      </w:r>
      <w:r w:rsidRPr="00602850">
        <w:rPr>
          <w:rFonts w:ascii="Arial" w:hAnsi="Arial" w:cs="Arial"/>
          <w:bCs/>
          <w:sz w:val="16"/>
          <w:szCs w:val="20"/>
        </w:rPr>
        <w:t> : ANSD/DSECN/DSC/BP</w:t>
      </w:r>
    </w:p>
    <w:p w14:paraId="1075CBD6" w14:textId="77777777" w:rsidR="00E70C38" w:rsidRDefault="00E70C38" w:rsidP="00A96E5F"/>
    <w:p w14:paraId="1219953B" w14:textId="77777777" w:rsidR="005C1AF9" w:rsidRDefault="005C1AF9" w:rsidP="00A96E5F"/>
    <w:p w14:paraId="7A7EACA8" w14:textId="77777777" w:rsidR="005C1AF9" w:rsidRDefault="005C1AF9" w:rsidP="00A96E5F"/>
    <w:p w14:paraId="68B29A05" w14:textId="77777777" w:rsidR="005C1AF9" w:rsidRDefault="005C1AF9" w:rsidP="00A96E5F"/>
    <w:p w14:paraId="26CBAEB9" w14:textId="77777777" w:rsidR="003B7749" w:rsidRDefault="003B7749" w:rsidP="003B7749">
      <w:pPr>
        <w:spacing w:after="0" w:line="240" w:lineRule="auto"/>
        <w:rPr>
          <w:rFonts w:ascii="Arial" w:eastAsia="Times New Roman" w:hAnsi="Arial" w:cs="Arial"/>
          <w:b/>
          <w:bCs/>
          <w:sz w:val="16"/>
          <w:szCs w:val="16"/>
          <w:lang w:eastAsia="fr-FR"/>
        </w:rPr>
      </w:pPr>
    </w:p>
    <w:p w14:paraId="6EFAC12D" w14:textId="77777777"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sz w:val="16"/>
          <w:szCs w:val="16"/>
        </w:rPr>
        <w:t xml:space="preserve">Agence Nationale de </w:t>
      </w:r>
      <w:smartTag w:uri="urn:schemas-microsoft-com:office:smarttags" w:element="PersonName">
        <w:smartTagPr>
          <w:attr w:name="ProductID" w:val="la Statistique"/>
        </w:smartTagPr>
        <w:r w:rsidRPr="0061068A">
          <w:rPr>
            <w:rFonts w:ascii="Arial" w:hAnsi="Arial" w:cs="Arial"/>
            <w:sz w:val="16"/>
            <w:szCs w:val="16"/>
          </w:rPr>
          <w:t>la Statistique</w:t>
        </w:r>
      </w:smartTag>
      <w:r w:rsidRPr="0061068A">
        <w:rPr>
          <w:rFonts w:ascii="Arial" w:hAnsi="Arial" w:cs="Arial"/>
          <w:sz w:val="16"/>
          <w:szCs w:val="16"/>
        </w:rPr>
        <w:t xml:space="preserve"> et de </w:t>
      </w:r>
      <w:smartTag w:uri="urn:schemas-microsoft-com:office:smarttags" w:element="PersonName">
        <w:smartTagPr>
          <w:attr w:name="ProductID" w:val="la D￩mographie"/>
        </w:smartTagPr>
        <w:r w:rsidRPr="0061068A">
          <w:rPr>
            <w:rFonts w:ascii="Arial" w:hAnsi="Arial" w:cs="Arial"/>
            <w:sz w:val="16"/>
            <w:szCs w:val="16"/>
          </w:rPr>
          <w:t>la Démographie</w:t>
        </w:r>
      </w:smartTag>
      <w:r w:rsidRPr="0061068A">
        <w:rPr>
          <w:rFonts w:ascii="Arial" w:hAnsi="Arial" w:cs="Arial"/>
          <w:sz w:val="16"/>
          <w:szCs w:val="16"/>
        </w:rPr>
        <w:t xml:space="preserve">, </w:t>
      </w:r>
      <w:r w:rsidRPr="0061068A">
        <w:rPr>
          <w:sz w:val="16"/>
          <w:szCs w:val="16"/>
        </w:rPr>
        <w:t xml:space="preserve">Rocade </w:t>
      </w:r>
      <w:proofErr w:type="spellStart"/>
      <w:r w:rsidRPr="0061068A">
        <w:rPr>
          <w:sz w:val="16"/>
          <w:szCs w:val="16"/>
        </w:rPr>
        <w:t>Fann</w:t>
      </w:r>
      <w:proofErr w:type="spellEnd"/>
      <w:r w:rsidRPr="0061068A">
        <w:rPr>
          <w:sz w:val="16"/>
          <w:szCs w:val="16"/>
        </w:rPr>
        <w:t xml:space="preserve"> </w:t>
      </w:r>
      <w:proofErr w:type="spellStart"/>
      <w:r w:rsidRPr="0061068A">
        <w:rPr>
          <w:sz w:val="16"/>
          <w:szCs w:val="16"/>
        </w:rPr>
        <w:t>Bel-air</w:t>
      </w:r>
      <w:proofErr w:type="spellEnd"/>
      <w:r w:rsidRPr="0061068A">
        <w:rPr>
          <w:sz w:val="16"/>
          <w:szCs w:val="16"/>
        </w:rPr>
        <w:t xml:space="preserve"> Cerf-volant. BP 116 Dakar RP - SENEGAL      </w:t>
      </w:r>
    </w:p>
    <w:p w14:paraId="24D1D09D" w14:textId="77777777"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sz w:val="16"/>
          <w:szCs w:val="16"/>
        </w:rPr>
        <w:t xml:space="preserve">Tél. : (221) 33 869 21 39   Fax : (221) 33 824 36 15 </w:t>
      </w:r>
    </w:p>
    <w:p w14:paraId="203CD4DA" w14:textId="77777777"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 xml:space="preserve">Directeur </w:t>
      </w:r>
      <w:r>
        <w:rPr>
          <w:rFonts w:ascii="Arial" w:hAnsi="Arial" w:cs="Arial"/>
          <w:b/>
          <w:bCs/>
          <w:sz w:val="16"/>
          <w:szCs w:val="16"/>
        </w:rPr>
        <w:t>g</w:t>
      </w:r>
      <w:r w:rsidRPr="0061068A">
        <w:rPr>
          <w:rFonts w:ascii="Arial" w:hAnsi="Arial" w:cs="Arial"/>
          <w:b/>
          <w:bCs/>
          <w:sz w:val="16"/>
          <w:szCs w:val="16"/>
        </w:rPr>
        <w:t>énéral</w:t>
      </w:r>
      <w:r w:rsidRPr="0061068A">
        <w:rPr>
          <w:rFonts w:ascii="Arial" w:hAnsi="Arial" w:cs="Arial"/>
          <w:sz w:val="16"/>
          <w:szCs w:val="16"/>
        </w:rPr>
        <w:t xml:space="preserve"> : </w:t>
      </w:r>
      <w:r w:rsidR="00405F2E">
        <w:rPr>
          <w:rFonts w:ascii="Arial" w:hAnsi="Arial" w:cs="Arial"/>
          <w:sz w:val="16"/>
          <w:szCs w:val="16"/>
        </w:rPr>
        <w:t>Aboubacar Sédikh BEYE</w:t>
      </w:r>
    </w:p>
    <w:p w14:paraId="58BE836A" w14:textId="77777777"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 xml:space="preserve">Directeur </w:t>
      </w:r>
      <w:r>
        <w:rPr>
          <w:rFonts w:ascii="Arial" w:hAnsi="Arial" w:cs="Arial"/>
          <w:b/>
          <w:bCs/>
          <w:sz w:val="16"/>
          <w:szCs w:val="16"/>
        </w:rPr>
        <w:t>g</w:t>
      </w:r>
      <w:r w:rsidRPr="0061068A">
        <w:rPr>
          <w:rFonts w:ascii="Arial" w:hAnsi="Arial" w:cs="Arial"/>
          <w:b/>
          <w:bCs/>
          <w:sz w:val="16"/>
          <w:szCs w:val="16"/>
        </w:rPr>
        <w:t>énéral Adjoint</w:t>
      </w:r>
      <w:r w:rsidRPr="0061068A">
        <w:rPr>
          <w:rFonts w:ascii="Arial" w:hAnsi="Arial" w:cs="Arial"/>
          <w:sz w:val="16"/>
          <w:szCs w:val="16"/>
        </w:rPr>
        <w:t xml:space="preserve"> : </w:t>
      </w:r>
      <w:r>
        <w:rPr>
          <w:rFonts w:ascii="Arial" w:hAnsi="Arial" w:cs="Arial"/>
          <w:sz w:val="16"/>
          <w:szCs w:val="16"/>
        </w:rPr>
        <w:t>Abdou DIOUF</w:t>
      </w:r>
    </w:p>
    <w:p w14:paraId="1FC459A5" w14:textId="77777777"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 xml:space="preserve">Directeur des Statistiques </w:t>
      </w:r>
      <w:r>
        <w:rPr>
          <w:rFonts w:ascii="Arial" w:hAnsi="Arial" w:cs="Arial"/>
          <w:b/>
          <w:bCs/>
          <w:sz w:val="16"/>
          <w:szCs w:val="16"/>
        </w:rPr>
        <w:t>é</w:t>
      </w:r>
      <w:r w:rsidRPr="0061068A">
        <w:rPr>
          <w:rFonts w:ascii="Arial" w:hAnsi="Arial" w:cs="Arial"/>
          <w:b/>
          <w:bCs/>
          <w:sz w:val="16"/>
          <w:szCs w:val="16"/>
        </w:rPr>
        <w:t xml:space="preserve">conomiques et de la Comptabilité </w:t>
      </w:r>
      <w:r>
        <w:rPr>
          <w:rFonts w:ascii="Arial" w:hAnsi="Arial" w:cs="Arial"/>
          <w:b/>
          <w:bCs/>
          <w:sz w:val="16"/>
          <w:szCs w:val="16"/>
        </w:rPr>
        <w:t>n</w:t>
      </w:r>
      <w:r w:rsidRPr="0061068A">
        <w:rPr>
          <w:rFonts w:ascii="Arial" w:hAnsi="Arial" w:cs="Arial"/>
          <w:b/>
          <w:bCs/>
          <w:sz w:val="16"/>
          <w:szCs w:val="16"/>
        </w:rPr>
        <w:t xml:space="preserve">ationale </w:t>
      </w:r>
      <w:r w:rsidRPr="0061068A">
        <w:rPr>
          <w:rFonts w:ascii="Arial" w:hAnsi="Arial" w:cs="Arial"/>
          <w:sz w:val="16"/>
          <w:szCs w:val="16"/>
        </w:rPr>
        <w:t>: M</w:t>
      </w:r>
      <w:r>
        <w:rPr>
          <w:rFonts w:ascii="Arial" w:hAnsi="Arial" w:cs="Arial"/>
          <w:sz w:val="16"/>
          <w:szCs w:val="16"/>
        </w:rPr>
        <w:t>amadou Ngalgou KANE</w:t>
      </w:r>
    </w:p>
    <w:p w14:paraId="4AAFC424" w14:textId="77777777"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 xml:space="preserve">Chef de la Division des Statistiques </w:t>
      </w:r>
      <w:r>
        <w:rPr>
          <w:rFonts w:ascii="Arial" w:hAnsi="Arial" w:cs="Arial"/>
          <w:b/>
          <w:bCs/>
          <w:sz w:val="16"/>
          <w:szCs w:val="16"/>
        </w:rPr>
        <w:t>c</w:t>
      </w:r>
      <w:r w:rsidR="00372846">
        <w:rPr>
          <w:rFonts w:ascii="Arial" w:hAnsi="Arial" w:cs="Arial"/>
          <w:b/>
          <w:bCs/>
          <w:sz w:val="16"/>
          <w:szCs w:val="16"/>
        </w:rPr>
        <w:t>onjoncturelles</w:t>
      </w:r>
      <w:r>
        <w:rPr>
          <w:rFonts w:ascii="Arial" w:hAnsi="Arial" w:cs="Arial"/>
          <w:b/>
          <w:bCs/>
          <w:sz w:val="16"/>
          <w:szCs w:val="16"/>
        </w:rPr>
        <w:t xml:space="preserve"> </w:t>
      </w:r>
      <w:r w:rsidRPr="0061068A">
        <w:rPr>
          <w:rFonts w:ascii="Arial" w:hAnsi="Arial" w:cs="Arial"/>
          <w:b/>
          <w:bCs/>
          <w:sz w:val="16"/>
          <w:szCs w:val="16"/>
        </w:rPr>
        <w:t xml:space="preserve">: </w:t>
      </w:r>
      <w:r>
        <w:rPr>
          <w:rFonts w:ascii="Arial" w:hAnsi="Arial" w:cs="Arial"/>
          <w:bCs/>
          <w:sz w:val="16"/>
          <w:szCs w:val="16"/>
        </w:rPr>
        <w:t>Amath DIAGO</w:t>
      </w:r>
    </w:p>
    <w:p w14:paraId="54047191" w14:textId="77777777" w:rsidR="003B7749" w:rsidRPr="00651652"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Pr>
          <w:rFonts w:ascii="Arial" w:hAnsi="Arial" w:cs="Arial"/>
          <w:b/>
          <w:bCs/>
          <w:sz w:val="16"/>
          <w:szCs w:val="16"/>
        </w:rPr>
        <w:t>Chef du Bureau des Prix</w:t>
      </w:r>
      <w:r w:rsidRPr="0061068A">
        <w:rPr>
          <w:rFonts w:ascii="Arial" w:hAnsi="Arial" w:cs="Arial"/>
          <w:sz w:val="16"/>
          <w:szCs w:val="16"/>
        </w:rPr>
        <w:t xml:space="preserve"> : </w:t>
      </w:r>
      <w:r w:rsidRPr="00651652">
        <w:rPr>
          <w:rFonts w:ascii="Arial" w:hAnsi="Arial" w:cs="Arial"/>
          <w:sz w:val="16"/>
          <w:szCs w:val="16"/>
        </w:rPr>
        <w:t>El Hadji Malick CISSE</w:t>
      </w:r>
    </w:p>
    <w:p w14:paraId="4985B55F" w14:textId="77777777" w:rsidR="003B7749"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Pr>
          <w:rFonts w:ascii="Arial" w:hAnsi="Arial" w:cs="Arial"/>
          <w:b/>
          <w:sz w:val="16"/>
          <w:szCs w:val="16"/>
        </w:rPr>
        <w:t xml:space="preserve">Comité de rédaction </w:t>
      </w:r>
      <w:r w:rsidRPr="00651652">
        <w:rPr>
          <w:rFonts w:ascii="Arial" w:hAnsi="Arial" w:cs="Arial"/>
          <w:b/>
          <w:sz w:val="16"/>
          <w:szCs w:val="16"/>
        </w:rPr>
        <w:t>:</w:t>
      </w:r>
      <w:r w:rsidRPr="00651652">
        <w:rPr>
          <w:rFonts w:ascii="Arial" w:hAnsi="Arial" w:cs="Arial"/>
          <w:sz w:val="16"/>
          <w:szCs w:val="16"/>
        </w:rPr>
        <w:t xml:space="preserve"> El Hadji Malick CISSE</w:t>
      </w:r>
      <w:r>
        <w:rPr>
          <w:rFonts w:ascii="Arial" w:hAnsi="Arial" w:cs="Arial"/>
          <w:sz w:val="16"/>
          <w:szCs w:val="16"/>
        </w:rPr>
        <w:t>,</w:t>
      </w:r>
      <w:r w:rsidRPr="00651652">
        <w:rPr>
          <w:rFonts w:ascii="Arial" w:hAnsi="Arial" w:cs="Arial"/>
          <w:sz w:val="16"/>
          <w:szCs w:val="16"/>
        </w:rPr>
        <w:t xml:space="preserve"> Ndèye Mareme DIOP</w:t>
      </w:r>
      <w:r>
        <w:rPr>
          <w:rFonts w:ascii="Arial" w:hAnsi="Arial" w:cs="Arial"/>
          <w:sz w:val="16"/>
          <w:szCs w:val="16"/>
        </w:rPr>
        <w:t xml:space="preserve">, </w:t>
      </w:r>
      <w:r w:rsidRPr="00651652">
        <w:rPr>
          <w:rFonts w:ascii="Arial" w:hAnsi="Arial" w:cs="Arial"/>
          <w:sz w:val="16"/>
          <w:szCs w:val="16"/>
        </w:rPr>
        <w:t>Modou Ndoumbé Dame DIOP</w:t>
      </w:r>
      <w:r>
        <w:rPr>
          <w:rFonts w:ascii="Arial" w:hAnsi="Arial" w:cs="Arial"/>
          <w:sz w:val="16"/>
          <w:szCs w:val="16"/>
        </w:rPr>
        <w:t>, Ibrahima THIAM</w:t>
      </w:r>
    </w:p>
    <w:p w14:paraId="298BD45B" w14:textId="77777777" w:rsidR="003B7749" w:rsidRPr="00A307BB"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A307BB">
        <w:rPr>
          <w:rFonts w:ascii="Arial" w:hAnsi="Arial" w:cs="Arial"/>
          <w:b/>
          <w:sz w:val="16"/>
          <w:szCs w:val="16"/>
        </w:rPr>
        <w:t>Collaborateurs </w:t>
      </w:r>
      <w:r w:rsidRPr="00A307BB">
        <w:rPr>
          <w:rFonts w:ascii="Arial" w:hAnsi="Arial" w:cs="Arial"/>
          <w:sz w:val="16"/>
          <w:szCs w:val="16"/>
        </w:rPr>
        <w:t xml:space="preserve">: </w:t>
      </w:r>
      <w:proofErr w:type="spellStart"/>
      <w:r w:rsidRPr="00A307BB">
        <w:rPr>
          <w:rFonts w:ascii="Arial" w:hAnsi="Arial" w:cs="Arial"/>
          <w:sz w:val="16"/>
          <w:szCs w:val="16"/>
        </w:rPr>
        <w:t>Khoudia</w:t>
      </w:r>
      <w:proofErr w:type="spellEnd"/>
      <w:r w:rsidRPr="00A307BB">
        <w:rPr>
          <w:rFonts w:ascii="Arial" w:hAnsi="Arial" w:cs="Arial"/>
          <w:sz w:val="16"/>
          <w:szCs w:val="16"/>
        </w:rPr>
        <w:t xml:space="preserve"> WADE, </w:t>
      </w:r>
      <w:proofErr w:type="spellStart"/>
      <w:r w:rsidR="00DA0ECD">
        <w:rPr>
          <w:rFonts w:ascii="Arial" w:hAnsi="Arial" w:cs="Arial"/>
          <w:sz w:val="16"/>
          <w:szCs w:val="16"/>
        </w:rPr>
        <w:t>Ndiassé</w:t>
      </w:r>
      <w:proofErr w:type="spellEnd"/>
      <w:r w:rsidR="00DA0ECD">
        <w:rPr>
          <w:rFonts w:ascii="Arial" w:hAnsi="Arial" w:cs="Arial"/>
          <w:sz w:val="16"/>
          <w:szCs w:val="16"/>
        </w:rPr>
        <w:t xml:space="preserve"> WADE</w:t>
      </w:r>
      <w:r w:rsidRPr="00A307BB">
        <w:rPr>
          <w:rFonts w:ascii="Arial" w:hAnsi="Arial" w:cs="Arial"/>
          <w:sz w:val="16"/>
          <w:szCs w:val="16"/>
        </w:rPr>
        <w:t>, Serigne THIAM, Saliou MBENGUE, Alioune TAMBOURA</w:t>
      </w:r>
    </w:p>
    <w:p w14:paraId="745E6E8A" w14:textId="77777777" w:rsidR="003B7749" w:rsidRPr="00F43AB7"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Distribution</w:t>
      </w:r>
      <w:r w:rsidR="00405F2E">
        <w:rPr>
          <w:rFonts w:ascii="Arial" w:hAnsi="Arial" w:cs="Arial"/>
          <w:sz w:val="16"/>
          <w:szCs w:val="16"/>
        </w:rPr>
        <w:t xml:space="preserve"> : Division de la Diffusion</w:t>
      </w:r>
      <w:r w:rsidRPr="0061068A">
        <w:rPr>
          <w:rFonts w:ascii="Arial" w:hAnsi="Arial" w:cs="Arial"/>
          <w:sz w:val="16"/>
          <w:szCs w:val="16"/>
        </w:rPr>
        <w:t>, El Hadji Malick GUEYE</w:t>
      </w:r>
      <w:r w:rsidR="00405F2E">
        <w:rPr>
          <w:rFonts w:ascii="Arial" w:hAnsi="Arial" w:cs="Arial"/>
          <w:sz w:val="16"/>
          <w:szCs w:val="16"/>
        </w:rPr>
        <w:t xml:space="preserve"> et</w:t>
      </w:r>
      <w:r>
        <w:rPr>
          <w:rFonts w:ascii="Arial" w:hAnsi="Arial" w:cs="Arial"/>
          <w:sz w:val="16"/>
          <w:szCs w:val="16"/>
        </w:rPr>
        <w:t xml:space="preserve"> Alain François DIATTA</w:t>
      </w:r>
    </w:p>
    <w:p w14:paraId="65C388E9" w14:textId="77777777" w:rsidR="00A96E5F" w:rsidRPr="00A96E5F" w:rsidRDefault="00A96E5F" w:rsidP="00A96E5F">
      <w:pPr>
        <w:tabs>
          <w:tab w:val="left" w:pos="2745"/>
        </w:tabs>
      </w:pPr>
    </w:p>
    <w:sectPr w:rsidR="00A96E5F" w:rsidRPr="00A96E5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C177F" w14:textId="77777777" w:rsidR="00345834" w:rsidRDefault="00345834" w:rsidP="00A96E5F">
      <w:pPr>
        <w:spacing w:after="0" w:line="240" w:lineRule="auto"/>
      </w:pPr>
      <w:r>
        <w:separator/>
      </w:r>
    </w:p>
  </w:endnote>
  <w:endnote w:type="continuationSeparator" w:id="0">
    <w:p w14:paraId="71E04E99" w14:textId="77777777" w:rsidR="00345834" w:rsidRDefault="00345834" w:rsidP="00A9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8494040"/>
      <w:docPartObj>
        <w:docPartGallery w:val="Page Numbers (Bottom of Page)"/>
        <w:docPartUnique/>
      </w:docPartObj>
    </w:sdtPr>
    <w:sdtEndPr/>
    <w:sdtContent>
      <w:p w14:paraId="7BD16347" w14:textId="77777777" w:rsidR="005C1AF9" w:rsidRDefault="005C1AF9">
        <w:pPr>
          <w:pStyle w:val="Pieddepage"/>
          <w:jc w:val="right"/>
        </w:pPr>
        <w:r>
          <w:fldChar w:fldCharType="begin"/>
        </w:r>
        <w:r>
          <w:instrText>PAGE   \* MERGEFORMAT</w:instrText>
        </w:r>
        <w:r>
          <w:fldChar w:fldCharType="separate"/>
        </w:r>
        <w:r w:rsidR="001333BF">
          <w:rPr>
            <w:noProof/>
          </w:rPr>
          <w:t>2</w:t>
        </w:r>
        <w:r>
          <w:fldChar w:fldCharType="end"/>
        </w:r>
      </w:p>
    </w:sdtContent>
  </w:sdt>
  <w:p w14:paraId="2ADA9501" w14:textId="77777777" w:rsidR="005C1AF9" w:rsidRDefault="005C1A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831FA" w14:textId="77777777" w:rsidR="00345834" w:rsidRDefault="00345834" w:rsidP="00A96E5F">
      <w:pPr>
        <w:spacing w:after="0" w:line="240" w:lineRule="auto"/>
      </w:pPr>
      <w:r>
        <w:separator/>
      </w:r>
    </w:p>
  </w:footnote>
  <w:footnote w:type="continuationSeparator" w:id="0">
    <w:p w14:paraId="2E58A811" w14:textId="77777777" w:rsidR="00345834" w:rsidRDefault="00345834" w:rsidP="00A96E5F">
      <w:pPr>
        <w:spacing w:after="0" w:line="240" w:lineRule="auto"/>
      </w:pPr>
      <w:r>
        <w:continuationSeparator/>
      </w:r>
    </w:p>
  </w:footnote>
  <w:footnote w:id="1">
    <w:p w14:paraId="1023D441" w14:textId="77777777" w:rsidR="00A96E5F" w:rsidRPr="009239D6" w:rsidRDefault="00A96E5F" w:rsidP="00A96E5F">
      <w:pPr>
        <w:pStyle w:val="Notedebasdepage"/>
        <w:rPr>
          <w:rFonts w:ascii="Arial" w:hAnsi="Arial" w:cs="Arial"/>
          <w:sz w:val="16"/>
          <w:szCs w:val="16"/>
        </w:rPr>
      </w:pPr>
      <w:r>
        <w:rPr>
          <w:rStyle w:val="Appelnotedebasdep"/>
        </w:rPr>
        <w:footnoteRef/>
      </w:r>
      <w:r>
        <w:t xml:space="preserve"> </w:t>
      </w:r>
      <w:r w:rsidRPr="009239D6">
        <w:rPr>
          <w:rFonts w:ascii="Arial" w:hAnsi="Arial" w:cs="Arial"/>
          <w:sz w:val="16"/>
          <w:szCs w:val="16"/>
        </w:rPr>
        <w:t xml:space="preserve">Nomenclature de classification (Classification of </w:t>
      </w:r>
      <w:proofErr w:type="spellStart"/>
      <w:r w:rsidRPr="009239D6">
        <w:rPr>
          <w:rFonts w:ascii="Arial" w:hAnsi="Arial" w:cs="Arial"/>
          <w:sz w:val="16"/>
          <w:szCs w:val="16"/>
        </w:rPr>
        <w:t>individual</w:t>
      </w:r>
      <w:proofErr w:type="spellEnd"/>
      <w:r w:rsidRPr="009239D6">
        <w:rPr>
          <w:rFonts w:ascii="Arial" w:hAnsi="Arial" w:cs="Arial"/>
          <w:sz w:val="16"/>
          <w:szCs w:val="16"/>
        </w:rPr>
        <w:t xml:space="preserve"> consomption by </w:t>
      </w:r>
      <w:proofErr w:type="spellStart"/>
      <w:r w:rsidRPr="009239D6">
        <w:rPr>
          <w:rFonts w:ascii="Arial" w:hAnsi="Arial" w:cs="Arial"/>
          <w:sz w:val="16"/>
          <w:szCs w:val="16"/>
        </w:rPr>
        <w:t>purpose</w:t>
      </w:r>
      <w:proofErr w:type="spellEnd"/>
      <w:r w:rsidRPr="009239D6">
        <w:rPr>
          <w:rFonts w:ascii="Arial" w:hAnsi="Arial" w:cs="Arial"/>
          <w:sz w:val="16"/>
          <w:szCs w:val="16"/>
        </w:rPr>
        <w:t>), qui est structurée de façon emboîtée en fonctions, groupes, sous-groupes et postes.</w:t>
      </w:r>
    </w:p>
  </w:footnote>
  <w:footnote w:id="2">
    <w:p w14:paraId="49927490" w14:textId="77777777" w:rsidR="006A5ED2" w:rsidRPr="004855D9" w:rsidRDefault="006A5ED2" w:rsidP="006A5ED2">
      <w:pPr>
        <w:pStyle w:val="Notedebasdepage"/>
        <w:spacing w:line="276" w:lineRule="auto"/>
        <w:rPr>
          <w:rFonts w:ascii="Arial" w:hAnsi="Arial" w:cs="Arial"/>
          <w:sz w:val="18"/>
        </w:rPr>
      </w:pPr>
      <w:r w:rsidRPr="004855D9">
        <w:rPr>
          <w:rStyle w:val="Appelnotedebasdep"/>
          <w:rFonts w:ascii="Arial" w:hAnsi="Arial" w:cs="Arial"/>
          <w:sz w:val="18"/>
        </w:rPr>
        <w:footnoteRef/>
      </w:r>
      <w:r w:rsidRPr="004855D9">
        <w:rPr>
          <w:rFonts w:ascii="Arial" w:hAnsi="Arial" w:cs="Arial"/>
          <w:sz w:val="18"/>
        </w:rPr>
        <w:t xml:space="preserve"> </w:t>
      </w:r>
      <w:r w:rsidRPr="009239D6">
        <w:rPr>
          <w:rFonts w:ascii="Arial" w:hAnsi="Arial" w:cs="Arial"/>
          <w:sz w:val="16"/>
          <w:szCs w:val="16"/>
        </w:rPr>
        <w:t xml:space="preserve">Classification permettant de suivre le niveau de l’inflation qui serait obtenu en dehors des phénomènes perturbateurs que sont les produits saisonniers et les produits énergétiques : Indice </w:t>
      </w:r>
      <w:r w:rsidRPr="009239D6">
        <w:rPr>
          <w:rFonts w:ascii="Arial" w:hAnsi="Arial" w:cs="Arial"/>
          <w:bCs/>
          <w:sz w:val="16"/>
          <w:szCs w:val="16"/>
        </w:rPr>
        <w:t xml:space="preserve">hors énergie et </w:t>
      </w:r>
      <w:r w:rsidR="005C1AF9" w:rsidRPr="009239D6">
        <w:rPr>
          <w:rFonts w:ascii="Arial" w:hAnsi="Arial" w:cs="Arial"/>
          <w:bCs/>
          <w:sz w:val="16"/>
          <w:szCs w:val="16"/>
        </w:rPr>
        <w:t>produits</w:t>
      </w:r>
      <w:r w:rsidRPr="009239D6">
        <w:rPr>
          <w:rFonts w:ascii="Arial" w:hAnsi="Arial" w:cs="Arial"/>
          <w:bCs/>
          <w:sz w:val="16"/>
          <w:szCs w:val="16"/>
        </w:rPr>
        <w:t xml:space="preserve"> frais</w:t>
      </w:r>
      <w:r w:rsidRPr="009239D6">
        <w:rPr>
          <w:rFonts w:ascii="Arial" w:hAnsi="Arial" w:cs="Arial"/>
          <w:sz w:val="16"/>
          <w:szCs w:val="16"/>
        </w:rPr>
        <w:t>.</w:t>
      </w:r>
    </w:p>
  </w:footnote>
  <w:footnote w:id="3">
    <w:p w14:paraId="128EA5F0" w14:textId="77777777" w:rsidR="00143BC9" w:rsidRPr="009A4C89" w:rsidRDefault="00143BC9" w:rsidP="005C1AF9">
      <w:pPr>
        <w:pStyle w:val="Notedebasdepage"/>
        <w:rPr>
          <w:rFonts w:ascii="Arial" w:hAnsi="Arial" w:cs="Arial"/>
          <w:sz w:val="16"/>
          <w:szCs w:val="16"/>
          <w:lang w:val="fr-FR"/>
        </w:rPr>
      </w:pPr>
      <w:r w:rsidRPr="009A4C89">
        <w:rPr>
          <w:rStyle w:val="Appelnotedebasdep"/>
          <w:rFonts w:ascii="Arial" w:hAnsi="Arial" w:cs="Arial"/>
          <w:sz w:val="16"/>
          <w:szCs w:val="16"/>
        </w:rPr>
        <w:footnoteRef/>
      </w:r>
      <w:r w:rsidRPr="009A4C89">
        <w:rPr>
          <w:rFonts w:ascii="Arial" w:hAnsi="Arial" w:cs="Arial"/>
          <w:sz w:val="16"/>
          <w:szCs w:val="16"/>
        </w:rPr>
        <w:t xml:space="preserve"> </w:t>
      </w:r>
      <w:r w:rsidRPr="009A4C89">
        <w:rPr>
          <w:rFonts w:ascii="Arial" w:hAnsi="Arial" w:cs="Arial"/>
          <w:sz w:val="16"/>
          <w:szCs w:val="16"/>
          <w:lang w:val="fr-FR"/>
        </w:rPr>
        <w:t xml:space="preserve">Bien durable : </w:t>
      </w:r>
      <w:r w:rsidRPr="009A4C89">
        <w:rPr>
          <w:rFonts w:ascii="Arial" w:hAnsi="Arial" w:cs="Arial"/>
          <w:sz w:val="16"/>
          <w:szCs w:val="16"/>
        </w:rPr>
        <w:t xml:space="preserve">qui </w:t>
      </w:r>
      <w:r w:rsidRPr="009A4C89">
        <w:rPr>
          <w:rFonts w:ascii="Arial" w:hAnsi="Arial" w:cs="Arial"/>
          <w:sz w:val="16"/>
          <w:szCs w:val="16"/>
          <w:lang w:val="fr-FR"/>
        </w:rPr>
        <w:t>a</w:t>
      </w:r>
      <w:r w:rsidRPr="009A4C89">
        <w:rPr>
          <w:rFonts w:ascii="Arial" w:hAnsi="Arial" w:cs="Arial"/>
          <w:sz w:val="16"/>
          <w:szCs w:val="16"/>
        </w:rPr>
        <w:t xml:space="preserve"> pour</w:t>
      </w:r>
      <w:r w:rsidRPr="009A4C89">
        <w:rPr>
          <w:rFonts w:ascii="Arial" w:hAnsi="Arial" w:cs="Arial"/>
          <w:sz w:val="16"/>
          <w:szCs w:val="16"/>
          <w:lang w:val="fr-FR"/>
        </w:rPr>
        <w:t xml:space="preserve"> </w:t>
      </w:r>
      <w:r w:rsidRPr="009A4C89">
        <w:rPr>
          <w:rFonts w:ascii="Arial" w:hAnsi="Arial" w:cs="Arial"/>
          <w:sz w:val="16"/>
          <w:szCs w:val="16"/>
        </w:rPr>
        <w:t>caractéristique de résister à l’usage</w:t>
      </w:r>
    </w:p>
  </w:footnote>
  <w:footnote w:id="4">
    <w:p w14:paraId="058091B4" w14:textId="77777777" w:rsidR="00143BC9" w:rsidRPr="009A4C89" w:rsidRDefault="00143BC9" w:rsidP="005C1AF9">
      <w:pPr>
        <w:pStyle w:val="Notedebasdepage"/>
        <w:rPr>
          <w:rFonts w:ascii="Arial" w:hAnsi="Arial" w:cs="Arial"/>
          <w:sz w:val="16"/>
          <w:szCs w:val="16"/>
          <w:lang w:val="fr-FR"/>
        </w:rPr>
      </w:pPr>
      <w:r w:rsidRPr="009A4C89">
        <w:rPr>
          <w:rStyle w:val="Appelnotedebasdep"/>
          <w:rFonts w:ascii="Arial" w:hAnsi="Arial" w:cs="Arial"/>
          <w:sz w:val="16"/>
          <w:szCs w:val="16"/>
        </w:rPr>
        <w:footnoteRef/>
      </w:r>
      <w:r w:rsidRPr="009A4C89">
        <w:rPr>
          <w:rFonts w:ascii="Arial" w:hAnsi="Arial" w:cs="Arial"/>
          <w:sz w:val="16"/>
          <w:szCs w:val="16"/>
        </w:rPr>
        <w:t xml:space="preserve"> </w:t>
      </w:r>
      <w:r w:rsidRPr="009A4C89">
        <w:rPr>
          <w:rFonts w:ascii="Arial" w:hAnsi="Arial" w:cs="Arial"/>
          <w:sz w:val="16"/>
          <w:szCs w:val="16"/>
          <w:lang w:val="fr-FR"/>
        </w:rPr>
        <w:t>Bien semi-durable : qui</w:t>
      </w:r>
      <w:r w:rsidRPr="009A4C89">
        <w:rPr>
          <w:rFonts w:ascii="Arial" w:hAnsi="Arial" w:cs="Arial"/>
          <w:sz w:val="16"/>
          <w:szCs w:val="16"/>
        </w:rPr>
        <w:t xml:space="preserve"> </w:t>
      </w:r>
      <w:r w:rsidRPr="009A4C89">
        <w:rPr>
          <w:rFonts w:ascii="Arial" w:hAnsi="Arial" w:cs="Arial"/>
          <w:sz w:val="16"/>
          <w:szCs w:val="16"/>
          <w:lang w:val="fr-FR"/>
        </w:rPr>
        <w:t xml:space="preserve">a </w:t>
      </w:r>
      <w:r w:rsidRPr="009A4C89">
        <w:rPr>
          <w:rFonts w:ascii="Arial" w:hAnsi="Arial" w:cs="Arial"/>
          <w:sz w:val="16"/>
          <w:szCs w:val="16"/>
        </w:rPr>
        <w:t>une durée de vie prévue relativement moyenne</w:t>
      </w:r>
      <w:r w:rsidRPr="009A4C89">
        <w:rPr>
          <w:rFonts w:ascii="Arial" w:hAnsi="Arial" w:cs="Arial"/>
          <w:sz w:val="16"/>
          <w:szCs w:val="16"/>
          <w:lang w:val="fr-FR"/>
        </w:rPr>
        <w:t xml:space="preserve"> tels que les vêtements, les chaussures ou les articles de ménage en textiles.</w:t>
      </w:r>
    </w:p>
  </w:footnote>
  <w:footnote w:id="5">
    <w:p w14:paraId="30624BA2" w14:textId="77777777" w:rsidR="00143BC9" w:rsidRPr="0078654D" w:rsidRDefault="00143BC9" w:rsidP="005C1AF9">
      <w:pPr>
        <w:pStyle w:val="Notedebasdepage"/>
        <w:rPr>
          <w:lang w:val="fr-FR"/>
        </w:rPr>
      </w:pPr>
      <w:r w:rsidRPr="009A4C89">
        <w:rPr>
          <w:rStyle w:val="Appelnotedebasdep"/>
          <w:rFonts w:ascii="Arial" w:hAnsi="Arial" w:cs="Arial"/>
          <w:sz w:val="16"/>
          <w:szCs w:val="16"/>
        </w:rPr>
        <w:footnoteRef/>
      </w:r>
      <w:r w:rsidRPr="009A4C89">
        <w:rPr>
          <w:rFonts w:ascii="Arial" w:hAnsi="Arial" w:cs="Arial"/>
          <w:sz w:val="16"/>
          <w:szCs w:val="16"/>
        </w:rPr>
        <w:t xml:space="preserve"> </w:t>
      </w:r>
      <w:r w:rsidRPr="009A4C89">
        <w:rPr>
          <w:rFonts w:ascii="Arial" w:hAnsi="Arial" w:cs="Arial"/>
          <w:sz w:val="16"/>
          <w:szCs w:val="16"/>
          <w:lang w:val="fr-FR"/>
        </w:rPr>
        <w:t>Bien non durable : bien à usage unique (utilisable une seule fois)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E5F"/>
    <w:rsid w:val="00004EFF"/>
    <w:rsid w:val="0002247D"/>
    <w:rsid w:val="0002528E"/>
    <w:rsid w:val="00027914"/>
    <w:rsid w:val="00040AB1"/>
    <w:rsid w:val="000527BE"/>
    <w:rsid w:val="00062A6E"/>
    <w:rsid w:val="0006782D"/>
    <w:rsid w:val="000A2C0C"/>
    <w:rsid w:val="000B3CE7"/>
    <w:rsid w:val="000B727C"/>
    <w:rsid w:val="000C1C7A"/>
    <w:rsid w:val="000F0E52"/>
    <w:rsid w:val="00101717"/>
    <w:rsid w:val="00102B5C"/>
    <w:rsid w:val="001126A4"/>
    <w:rsid w:val="00126912"/>
    <w:rsid w:val="001333BF"/>
    <w:rsid w:val="00143BC9"/>
    <w:rsid w:val="00144D39"/>
    <w:rsid w:val="001A650C"/>
    <w:rsid w:val="001D35C4"/>
    <w:rsid w:val="001F4C9C"/>
    <w:rsid w:val="0020202C"/>
    <w:rsid w:val="0026113A"/>
    <w:rsid w:val="002B3E41"/>
    <w:rsid w:val="002E2122"/>
    <w:rsid w:val="002E4178"/>
    <w:rsid w:val="00310B8E"/>
    <w:rsid w:val="00345834"/>
    <w:rsid w:val="00357F57"/>
    <w:rsid w:val="00372846"/>
    <w:rsid w:val="003751F2"/>
    <w:rsid w:val="0038707B"/>
    <w:rsid w:val="00387421"/>
    <w:rsid w:val="003B635E"/>
    <w:rsid w:val="003B7749"/>
    <w:rsid w:val="003E2D12"/>
    <w:rsid w:val="003F11AC"/>
    <w:rsid w:val="00405F2E"/>
    <w:rsid w:val="00411914"/>
    <w:rsid w:val="004472C2"/>
    <w:rsid w:val="00467C2E"/>
    <w:rsid w:val="004759F5"/>
    <w:rsid w:val="00491BAA"/>
    <w:rsid w:val="0049468E"/>
    <w:rsid w:val="004B0C35"/>
    <w:rsid w:val="004C4FA7"/>
    <w:rsid w:val="004D0836"/>
    <w:rsid w:val="004D10E5"/>
    <w:rsid w:val="00500585"/>
    <w:rsid w:val="00507D16"/>
    <w:rsid w:val="005149B0"/>
    <w:rsid w:val="00533561"/>
    <w:rsid w:val="005724A2"/>
    <w:rsid w:val="00585EA0"/>
    <w:rsid w:val="00591EA5"/>
    <w:rsid w:val="005B13DB"/>
    <w:rsid w:val="005C1AF9"/>
    <w:rsid w:val="005E100C"/>
    <w:rsid w:val="00644CEB"/>
    <w:rsid w:val="00660B97"/>
    <w:rsid w:val="00663954"/>
    <w:rsid w:val="0069012A"/>
    <w:rsid w:val="00694CEE"/>
    <w:rsid w:val="006A5ED2"/>
    <w:rsid w:val="006E34BF"/>
    <w:rsid w:val="007010B1"/>
    <w:rsid w:val="00701CFD"/>
    <w:rsid w:val="007038BF"/>
    <w:rsid w:val="00706433"/>
    <w:rsid w:val="00714592"/>
    <w:rsid w:val="00734BA9"/>
    <w:rsid w:val="00737740"/>
    <w:rsid w:val="00742FD4"/>
    <w:rsid w:val="007538F8"/>
    <w:rsid w:val="00760858"/>
    <w:rsid w:val="0079345E"/>
    <w:rsid w:val="007C7620"/>
    <w:rsid w:val="007D5BBD"/>
    <w:rsid w:val="007E7CE4"/>
    <w:rsid w:val="00827E16"/>
    <w:rsid w:val="00857C43"/>
    <w:rsid w:val="008C4C42"/>
    <w:rsid w:val="0091334D"/>
    <w:rsid w:val="00920979"/>
    <w:rsid w:val="009239D6"/>
    <w:rsid w:val="00935810"/>
    <w:rsid w:val="00936175"/>
    <w:rsid w:val="009762CD"/>
    <w:rsid w:val="009A4C89"/>
    <w:rsid w:val="009A58BE"/>
    <w:rsid w:val="009B1B1D"/>
    <w:rsid w:val="009C3AB1"/>
    <w:rsid w:val="009D2996"/>
    <w:rsid w:val="009F4B03"/>
    <w:rsid w:val="00A00A56"/>
    <w:rsid w:val="00A049DD"/>
    <w:rsid w:val="00A305CF"/>
    <w:rsid w:val="00A307BB"/>
    <w:rsid w:val="00A37886"/>
    <w:rsid w:val="00A40F75"/>
    <w:rsid w:val="00A80758"/>
    <w:rsid w:val="00A80826"/>
    <w:rsid w:val="00A9011E"/>
    <w:rsid w:val="00A96E5F"/>
    <w:rsid w:val="00AD6E2A"/>
    <w:rsid w:val="00AF4571"/>
    <w:rsid w:val="00AF52A1"/>
    <w:rsid w:val="00AF69FF"/>
    <w:rsid w:val="00B21780"/>
    <w:rsid w:val="00B23D82"/>
    <w:rsid w:val="00B37ED4"/>
    <w:rsid w:val="00B436A0"/>
    <w:rsid w:val="00B50F3A"/>
    <w:rsid w:val="00B6123F"/>
    <w:rsid w:val="00B627FC"/>
    <w:rsid w:val="00B90F0F"/>
    <w:rsid w:val="00BB3C55"/>
    <w:rsid w:val="00BD29AD"/>
    <w:rsid w:val="00BD4CD1"/>
    <w:rsid w:val="00BD5BDD"/>
    <w:rsid w:val="00BF7004"/>
    <w:rsid w:val="00C116D2"/>
    <w:rsid w:val="00C21E1F"/>
    <w:rsid w:val="00C33480"/>
    <w:rsid w:val="00C41A0A"/>
    <w:rsid w:val="00C46780"/>
    <w:rsid w:val="00C637A1"/>
    <w:rsid w:val="00C8664D"/>
    <w:rsid w:val="00CD0964"/>
    <w:rsid w:val="00CE755E"/>
    <w:rsid w:val="00CF02BE"/>
    <w:rsid w:val="00CF30B1"/>
    <w:rsid w:val="00D73623"/>
    <w:rsid w:val="00D932FA"/>
    <w:rsid w:val="00D94543"/>
    <w:rsid w:val="00DA0ECD"/>
    <w:rsid w:val="00DA6532"/>
    <w:rsid w:val="00DC072C"/>
    <w:rsid w:val="00DD6BBF"/>
    <w:rsid w:val="00E61B14"/>
    <w:rsid w:val="00E70C38"/>
    <w:rsid w:val="00E8073E"/>
    <w:rsid w:val="00E86324"/>
    <w:rsid w:val="00E96591"/>
    <w:rsid w:val="00F13079"/>
    <w:rsid w:val="00F17F57"/>
    <w:rsid w:val="00F43331"/>
    <w:rsid w:val="00F54876"/>
    <w:rsid w:val="00F55327"/>
    <w:rsid w:val="00F92E39"/>
    <w:rsid w:val="00F93C23"/>
    <w:rsid w:val="00FA513D"/>
    <w:rsid w:val="00FC5E35"/>
    <w:rsid w:val="00FD21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5A4E66A"/>
  <w15:chartTrackingRefBased/>
  <w15:docId w15:val="{08E51590-3A15-4B76-AC8A-6F202F6C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E5F"/>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96E5F"/>
    <w:pPr>
      <w:spacing w:after="0" w:line="240" w:lineRule="auto"/>
    </w:pPr>
    <w:rPr>
      <w:rFonts w:ascii="Calibri" w:eastAsia="Times New Roman" w:hAnsi="Calibri" w:cs="Times New Roman"/>
    </w:rPr>
  </w:style>
  <w:style w:type="character" w:customStyle="1" w:styleId="SansinterligneCar">
    <w:name w:val="Sans interligne Car"/>
    <w:link w:val="Sansinterligne"/>
    <w:uiPriority w:val="1"/>
    <w:rsid w:val="00A96E5F"/>
    <w:rPr>
      <w:rFonts w:ascii="Calibri" w:eastAsia="Times New Roman" w:hAnsi="Calibri" w:cs="Times New Roman"/>
    </w:rPr>
  </w:style>
  <w:style w:type="paragraph" w:styleId="Notedebasdepage">
    <w:name w:val="footnote text"/>
    <w:basedOn w:val="Normal"/>
    <w:link w:val="NotedebasdepageCar"/>
    <w:rsid w:val="00A96E5F"/>
    <w:pPr>
      <w:widowControl w:val="0"/>
      <w:overflowPunct w:val="0"/>
      <w:autoSpaceDE w:val="0"/>
      <w:autoSpaceDN w:val="0"/>
      <w:adjustRightInd w:val="0"/>
      <w:spacing w:after="0" w:line="240" w:lineRule="auto"/>
      <w:jc w:val="both"/>
      <w:textAlignment w:val="baseline"/>
    </w:pPr>
    <w:rPr>
      <w:rFonts w:ascii="Times New Roman" w:eastAsia="Times New Roman" w:hAnsi="Times New Roman"/>
      <w:sz w:val="20"/>
      <w:szCs w:val="20"/>
      <w:lang w:val="x-none" w:eastAsia="fr-FR"/>
    </w:rPr>
  </w:style>
  <w:style w:type="character" w:customStyle="1" w:styleId="NotedebasdepageCar">
    <w:name w:val="Note de bas de page Car"/>
    <w:basedOn w:val="Policepardfaut"/>
    <w:link w:val="Notedebasdepage"/>
    <w:rsid w:val="00A96E5F"/>
    <w:rPr>
      <w:rFonts w:ascii="Times New Roman" w:eastAsia="Times New Roman" w:hAnsi="Times New Roman" w:cs="Times New Roman"/>
      <w:sz w:val="20"/>
      <w:szCs w:val="20"/>
      <w:lang w:val="x-none" w:eastAsia="fr-FR"/>
    </w:rPr>
  </w:style>
  <w:style w:type="character" w:styleId="Appelnotedebasdep">
    <w:name w:val="footnote reference"/>
    <w:rsid w:val="00A96E5F"/>
    <w:rPr>
      <w:vertAlign w:val="superscript"/>
    </w:rPr>
  </w:style>
  <w:style w:type="character" w:styleId="Lienhypertexte">
    <w:name w:val="Hyperlink"/>
    <w:basedOn w:val="Policepardfaut"/>
    <w:uiPriority w:val="99"/>
    <w:semiHidden/>
    <w:unhideWhenUsed/>
    <w:rsid w:val="00E70C38"/>
    <w:rPr>
      <w:color w:val="0563C1"/>
      <w:u w:val="single"/>
    </w:rPr>
  </w:style>
  <w:style w:type="paragraph" w:styleId="Textedebulles">
    <w:name w:val="Balloon Text"/>
    <w:basedOn w:val="Normal"/>
    <w:link w:val="TextedebullesCar"/>
    <w:uiPriority w:val="99"/>
    <w:semiHidden/>
    <w:unhideWhenUsed/>
    <w:rsid w:val="002B3E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3E41"/>
    <w:rPr>
      <w:rFonts w:ascii="Segoe UI" w:eastAsia="Calibri" w:hAnsi="Segoe UI" w:cs="Segoe UI"/>
      <w:sz w:val="18"/>
      <w:szCs w:val="18"/>
    </w:rPr>
  </w:style>
  <w:style w:type="paragraph" w:styleId="En-tte">
    <w:name w:val="header"/>
    <w:basedOn w:val="Normal"/>
    <w:link w:val="En-tteCar"/>
    <w:uiPriority w:val="99"/>
    <w:unhideWhenUsed/>
    <w:rsid w:val="005C1AF9"/>
    <w:pPr>
      <w:tabs>
        <w:tab w:val="center" w:pos="4536"/>
        <w:tab w:val="right" w:pos="9072"/>
      </w:tabs>
      <w:spacing w:after="0" w:line="240" w:lineRule="auto"/>
    </w:pPr>
  </w:style>
  <w:style w:type="character" w:customStyle="1" w:styleId="En-tteCar">
    <w:name w:val="En-tête Car"/>
    <w:basedOn w:val="Policepardfaut"/>
    <w:link w:val="En-tte"/>
    <w:uiPriority w:val="99"/>
    <w:rsid w:val="005C1AF9"/>
    <w:rPr>
      <w:rFonts w:ascii="Calibri" w:eastAsia="Calibri" w:hAnsi="Calibri" w:cs="Times New Roman"/>
    </w:rPr>
  </w:style>
  <w:style w:type="paragraph" w:styleId="Pieddepage">
    <w:name w:val="footer"/>
    <w:basedOn w:val="Normal"/>
    <w:link w:val="PieddepageCar"/>
    <w:uiPriority w:val="99"/>
    <w:unhideWhenUsed/>
    <w:rsid w:val="005C1A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1AF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746771">
      <w:bodyDiv w:val="1"/>
      <w:marLeft w:val="0"/>
      <w:marRight w:val="0"/>
      <w:marTop w:val="0"/>
      <w:marBottom w:val="0"/>
      <w:divBdr>
        <w:top w:val="none" w:sz="0" w:space="0" w:color="auto"/>
        <w:left w:val="none" w:sz="0" w:space="0" w:color="auto"/>
        <w:bottom w:val="none" w:sz="0" w:space="0" w:color="auto"/>
        <w:right w:val="none" w:sz="0" w:space="0" w:color="auto"/>
      </w:divBdr>
    </w:div>
    <w:div w:id="21469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file:///D:\CISSE\1-IHPC%20&amp;%20INDICE%20NATIONAL\3-TRAVAUX%20INPC%20&amp;%20IHPC%202014\1-DONNEES\2-TRAITEMENT\I-BASE%20100%202014\BASE%20INHPC_2014%20S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3439911797133407"/>
          <c:y val="8.3464566929133885E-2"/>
          <c:w val="0.46637265711135617"/>
          <c:h val="0.73228346456692917"/>
        </c:manualLayout>
      </c:layout>
      <c:barChart>
        <c:barDir val="bar"/>
        <c:grouping val="clustered"/>
        <c:varyColors val="0"/>
        <c:ser>
          <c:idx val="0"/>
          <c:order val="0"/>
          <c:tx>
            <c:strRef>
              <c:f>Tables!$CI$33</c:f>
              <c:strCache>
                <c:ptCount val="1"/>
                <c:pt idx="0">
                  <c:v>janv-23</c:v>
                </c:pt>
              </c:strCache>
            </c:strRef>
          </c:tx>
          <c:spPr>
            <a:solidFill>
              <a:srgbClr val="FFFF00"/>
            </a:solidFill>
            <a:ln>
              <a:solidFill>
                <a:srgbClr val="FFC000"/>
              </a:solidFill>
            </a:ln>
          </c:spPr>
          <c:invertIfNegative val="0"/>
          <c:cat>
            <c:strRef>
              <c:f>Tables!$A$34:$A$46</c:f>
              <c:strCache>
                <c:ptCount val="13"/>
                <c:pt idx="0">
                  <c:v>Produits alimentaires et boissons non alcoolisées</c:v>
                </c:pt>
                <c:pt idx="1">
                  <c:v>Boissons alcoolisées, tabac et stupéfiants</c:v>
                </c:pt>
                <c:pt idx="2">
                  <c:v>Articles d'habillement et chaussures</c:v>
                </c:pt>
                <c:pt idx="3">
                  <c:v>Logement, eau, gaz, électricité et autres combustibles</c:v>
                </c:pt>
                <c:pt idx="4">
                  <c:v>Meubles, articles de ménage et entretien courant du foyer</c:v>
                </c:pt>
                <c:pt idx="5">
                  <c:v>Santé</c:v>
                </c:pt>
                <c:pt idx="6">
                  <c:v>Transports</c:v>
                </c:pt>
                <c:pt idx="7">
                  <c:v>Communication</c:v>
                </c:pt>
                <c:pt idx="8">
                  <c:v>Loisirs et culture</c:v>
                </c:pt>
                <c:pt idx="9">
                  <c:v>Enseignement</c:v>
                </c:pt>
                <c:pt idx="10">
                  <c:v>Restaurants et Hôtels</c:v>
                </c:pt>
                <c:pt idx="11">
                  <c:v>Biens et services divers</c:v>
                </c:pt>
                <c:pt idx="12">
                  <c:v>Indice global</c:v>
                </c:pt>
              </c:strCache>
            </c:strRef>
          </c:cat>
          <c:val>
            <c:numRef>
              <c:f>Tables!$CI$34:$CI$46</c:f>
              <c:numCache>
                <c:formatCode>0.0%</c:formatCode>
                <c:ptCount val="13"/>
                <c:pt idx="0">
                  <c:v>-3.7495916003176366E-2</c:v>
                </c:pt>
                <c:pt idx="1">
                  <c:v>-1.9859084392682691E-3</c:v>
                </c:pt>
                <c:pt idx="2">
                  <c:v>-1.6973429136730722E-3</c:v>
                </c:pt>
                <c:pt idx="3">
                  <c:v>2.3333227081987262E-2</c:v>
                </c:pt>
                <c:pt idx="4">
                  <c:v>1.1866567393201688E-3</c:v>
                </c:pt>
                <c:pt idx="5">
                  <c:v>-2.1859394448452418E-3</c:v>
                </c:pt>
                <c:pt idx="6">
                  <c:v>2.0675806585432888E-2</c:v>
                </c:pt>
                <c:pt idx="7">
                  <c:v>2.5797983573183636E-4</c:v>
                </c:pt>
                <c:pt idx="8">
                  <c:v>7.3942520725434058E-4</c:v>
                </c:pt>
                <c:pt idx="9">
                  <c:v>0</c:v>
                </c:pt>
                <c:pt idx="10">
                  <c:v>9.68533254916637E-3</c:v>
                </c:pt>
                <c:pt idx="11">
                  <c:v>4.0315341867562804E-3</c:v>
                </c:pt>
                <c:pt idx="12">
                  <c:v>-1.7228683276875101E-2</c:v>
                </c:pt>
              </c:numCache>
            </c:numRef>
          </c:val>
          <c:extLst>
            <c:ext xmlns:c16="http://schemas.microsoft.com/office/drawing/2014/chart" uri="{C3380CC4-5D6E-409C-BE32-E72D297353CC}">
              <c16:uniqueId val="{00000000-65B3-4ED3-8344-B65AD3BAA67C}"/>
            </c:ext>
          </c:extLst>
        </c:ser>
        <c:ser>
          <c:idx val="1"/>
          <c:order val="1"/>
          <c:tx>
            <c:strRef>
              <c:f>Tables!$CJ$33</c:f>
              <c:strCache>
                <c:ptCount val="1"/>
                <c:pt idx="0">
                  <c:v>févr-23</c:v>
                </c:pt>
              </c:strCache>
            </c:strRef>
          </c:tx>
          <c:spPr>
            <a:ln>
              <a:solidFill>
                <a:schemeClr val="tx1"/>
              </a:solidFill>
            </a:ln>
          </c:spPr>
          <c:invertIfNegative val="0"/>
          <c:cat>
            <c:strRef>
              <c:f>Tables!$A$34:$A$46</c:f>
              <c:strCache>
                <c:ptCount val="13"/>
                <c:pt idx="0">
                  <c:v>Produits alimentaires et boissons non alcoolisées</c:v>
                </c:pt>
                <c:pt idx="1">
                  <c:v>Boissons alcoolisées, tabac et stupéfiants</c:v>
                </c:pt>
                <c:pt idx="2">
                  <c:v>Articles d'habillement et chaussures</c:v>
                </c:pt>
                <c:pt idx="3">
                  <c:v>Logement, eau, gaz, électricité et autres combustibles</c:v>
                </c:pt>
                <c:pt idx="4">
                  <c:v>Meubles, articles de ménage et entretien courant du foyer</c:v>
                </c:pt>
                <c:pt idx="5">
                  <c:v>Santé</c:v>
                </c:pt>
                <c:pt idx="6">
                  <c:v>Transports</c:v>
                </c:pt>
                <c:pt idx="7">
                  <c:v>Communication</c:v>
                </c:pt>
                <c:pt idx="8">
                  <c:v>Loisirs et culture</c:v>
                </c:pt>
                <c:pt idx="9">
                  <c:v>Enseignement</c:v>
                </c:pt>
                <c:pt idx="10">
                  <c:v>Restaurants et Hôtels</c:v>
                </c:pt>
                <c:pt idx="11">
                  <c:v>Biens et services divers</c:v>
                </c:pt>
                <c:pt idx="12">
                  <c:v>Indice global</c:v>
                </c:pt>
              </c:strCache>
            </c:strRef>
          </c:cat>
          <c:val>
            <c:numRef>
              <c:f>Tables!$CJ$34:$CJ$46</c:f>
              <c:numCache>
                <c:formatCode>0.0%</c:formatCode>
                <c:ptCount val="13"/>
                <c:pt idx="0">
                  <c:v>5.2153174864266738E-3</c:v>
                </c:pt>
                <c:pt idx="1">
                  <c:v>1.0007306793071713E-3</c:v>
                </c:pt>
                <c:pt idx="2">
                  <c:v>2.1033184988985543E-3</c:v>
                </c:pt>
                <c:pt idx="3">
                  <c:v>1.4567244229795051E-3</c:v>
                </c:pt>
                <c:pt idx="4">
                  <c:v>5.0105359432544017E-3</c:v>
                </c:pt>
                <c:pt idx="5">
                  <c:v>1.2974867986539351E-3</c:v>
                </c:pt>
                <c:pt idx="6">
                  <c:v>4.8663218485431869E-3</c:v>
                </c:pt>
                <c:pt idx="7">
                  <c:v>-3.6739363581549389E-3</c:v>
                </c:pt>
                <c:pt idx="8">
                  <c:v>1.236454442823165E-3</c:v>
                </c:pt>
                <c:pt idx="9">
                  <c:v>0</c:v>
                </c:pt>
                <c:pt idx="10">
                  <c:v>3.5138777650958186E-3</c:v>
                </c:pt>
                <c:pt idx="11">
                  <c:v>3.7568446162634661E-3</c:v>
                </c:pt>
                <c:pt idx="12">
                  <c:v>3.8925984265036906E-3</c:v>
                </c:pt>
              </c:numCache>
            </c:numRef>
          </c:val>
          <c:extLst>
            <c:ext xmlns:c16="http://schemas.microsoft.com/office/drawing/2014/chart" uri="{C3380CC4-5D6E-409C-BE32-E72D297353CC}">
              <c16:uniqueId val="{00000001-65B3-4ED3-8344-B65AD3BAA67C}"/>
            </c:ext>
          </c:extLst>
        </c:ser>
        <c:dLbls>
          <c:showLegendKey val="0"/>
          <c:showVal val="0"/>
          <c:showCatName val="0"/>
          <c:showSerName val="0"/>
          <c:showPercent val="0"/>
          <c:showBubbleSize val="0"/>
        </c:dLbls>
        <c:gapWidth val="50"/>
        <c:axId val="340574016"/>
        <c:axId val="340574576"/>
      </c:barChart>
      <c:catAx>
        <c:axId val="340574016"/>
        <c:scaling>
          <c:orientation val="minMax"/>
        </c:scaling>
        <c:delete val="0"/>
        <c:axPos val="l"/>
        <c:numFmt formatCode="General" sourceLinked="1"/>
        <c:majorTickMark val="out"/>
        <c:minorTickMark val="none"/>
        <c:tickLblPos val="low"/>
        <c:spPr>
          <a:ln>
            <a:solidFill>
              <a:schemeClr val="dk1"/>
            </a:solidFill>
          </a:ln>
        </c:spPr>
        <c:txPr>
          <a:bodyPr rot="0" vert="horz"/>
          <a:lstStyle/>
          <a:p>
            <a:pPr>
              <a:defRPr sz="700" b="0" i="0" u="none" strike="noStrike" baseline="0">
                <a:solidFill>
                  <a:srgbClr val="000000"/>
                </a:solidFill>
                <a:latin typeface="Arial"/>
                <a:ea typeface="Arial"/>
                <a:cs typeface="Arial"/>
              </a:defRPr>
            </a:pPr>
            <a:endParaRPr lang="fr-FR"/>
          </a:p>
        </c:txPr>
        <c:crossAx val="340574576"/>
        <c:crosses val="autoZero"/>
        <c:auto val="1"/>
        <c:lblAlgn val="ctr"/>
        <c:lblOffset val="100"/>
        <c:noMultiLvlLbl val="0"/>
      </c:catAx>
      <c:valAx>
        <c:axId val="340574576"/>
        <c:scaling>
          <c:orientation val="minMax"/>
          <c:min val="-5.000000000000001E-3"/>
        </c:scaling>
        <c:delete val="0"/>
        <c:axPos val="b"/>
        <c:numFmt formatCode="0.0%" sourceLinked="1"/>
        <c:majorTickMark val="out"/>
        <c:minorTickMark val="none"/>
        <c:tickLblPos val="nextTo"/>
        <c:txPr>
          <a:bodyPr rot="-2400000" vert="horz"/>
          <a:lstStyle/>
          <a:p>
            <a:pPr>
              <a:defRPr sz="800" b="0" i="0" u="none" strike="noStrike" baseline="0">
                <a:solidFill>
                  <a:srgbClr val="000000"/>
                </a:solidFill>
                <a:latin typeface="Arial"/>
                <a:ea typeface="Arial"/>
                <a:cs typeface="Arial"/>
              </a:defRPr>
            </a:pPr>
            <a:endParaRPr lang="fr-FR"/>
          </a:p>
        </c:txPr>
        <c:crossAx val="340574016"/>
        <c:crosses val="autoZero"/>
        <c:crossBetween val="between"/>
      </c:valAx>
      <c:spPr>
        <a:noFill/>
        <a:ln>
          <a:solidFill>
            <a:schemeClr val="bg1">
              <a:lumMod val="85000"/>
            </a:schemeClr>
          </a:solidFill>
        </a:ln>
      </c:spPr>
    </c:plotArea>
    <c:legend>
      <c:legendPos val="b"/>
      <c:layout>
        <c:manualLayout>
          <c:xMode val="edge"/>
          <c:yMode val="edge"/>
          <c:x val="0.40752243986030673"/>
          <c:y val="0.92015364746073414"/>
          <c:w val="0.18495546734344154"/>
          <c:h val="6.6423363746198394E-2"/>
        </c:manualLayout>
      </c:layout>
      <c:overlay val="0"/>
      <c:txPr>
        <a:bodyPr/>
        <a:lstStyle/>
        <a:p>
          <a:pPr>
            <a:defRPr sz="825" b="0" i="0" u="none" strike="noStrike" baseline="0">
              <a:solidFill>
                <a:srgbClr val="000000"/>
              </a:solidFill>
              <a:latin typeface="Arial"/>
              <a:ea typeface="Arial"/>
              <a:cs typeface="Arial"/>
            </a:defRPr>
          </a:pPr>
          <a:endParaRPr lang="fr-FR"/>
        </a:p>
      </c:txPr>
    </c:legend>
    <c:plotVisOnly val="1"/>
    <c:dispBlanksAs val="gap"/>
    <c:showDLblsOverMax val="0"/>
  </c:chart>
  <c:spPr>
    <a:solidFill>
      <a:schemeClr val="lt1"/>
    </a:solidFill>
    <a:ln w="25400" cap="flat" cmpd="sng" algn="ctr">
      <a:solidFill>
        <a:schemeClr val="tx1"/>
      </a:solidFill>
      <a:prstDash val="solid"/>
    </a:ln>
    <a:effectLst/>
  </c:spPr>
  <c:txPr>
    <a:bodyPr/>
    <a:lstStyle/>
    <a:p>
      <a:pPr>
        <a:defRPr sz="1000" b="0" i="0" u="none" strike="noStrike" baseline="0">
          <a:solidFill>
            <a:srgbClr val="000000"/>
          </a:solidFill>
          <a:latin typeface="Calibri"/>
          <a:ea typeface="Calibri"/>
          <a:cs typeface="Calibri"/>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B3979-AD87-4522-A156-EEC37975E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848</Words>
  <Characters>4666</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THIAM</dc:creator>
  <cp:keywords/>
  <dc:description/>
  <cp:lastModifiedBy>Alain François DIATTA</cp:lastModifiedBy>
  <cp:revision>2</cp:revision>
  <cp:lastPrinted>2023-03-08T11:54:00Z</cp:lastPrinted>
  <dcterms:created xsi:type="dcterms:W3CDTF">2023-03-10T16:01:00Z</dcterms:created>
  <dcterms:modified xsi:type="dcterms:W3CDTF">2023-03-10T16:01:00Z</dcterms:modified>
</cp:coreProperties>
</file>