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3940" w:type="dxa"/>
        <w:jc w:val="center"/>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40"/>
      </w:tblGrid>
      <w:tr w:rsidR="00093CD3" w:rsidRPr="00CC04FD" w14:paraId="3D185481" w14:textId="77777777" w:rsidTr="00734993">
        <w:trPr>
          <w:trHeight w:val="2520"/>
          <w:jc w:val="center"/>
        </w:trPr>
        <w:tc>
          <w:tcPr>
            <w:tcW w:w="3940" w:type="dxa"/>
            <w:tcBorders>
              <w:top w:val="nil"/>
              <w:bottom w:val="nil"/>
              <w:right w:val="nil"/>
            </w:tcBorders>
          </w:tcPr>
          <w:p w14:paraId="682FA6BA" w14:textId="77777777" w:rsidR="00093CD3" w:rsidRPr="00CC04FD" w:rsidRDefault="007D29A2" w:rsidP="00734993">
            <w:pPr>
              <w:rPr>
                <w:b/>
              </w:rPr>
            </w:pPr>
            <w:r>
              <w:rPr>
                <w:b/>
                <w:noProof/>
              </w:rPr>
              <w:object w:dxaOrig="1440" w:dyaOrig="1440" w14:anchorId="4E9DF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4.85pt;margin-top:9.55pt;width:97.85pt;height:95.05pt;z-index:251658240" wrapcoords="-159 0 -159 21450 21600 21450 21600 0 -159 0">
                  <v:imagedata r:id="rId8" o:title=""/>
                </v:shape>
                <o:OLEObject Type="Embed" ProgID="MSPhotoEd.3" ShapeID="_x0000_s1026" DrawAspect="Content" ObjectID="_1739081762" r:id="rId9"/>
              </w:object>
            </w:r>
          </w:p>
          <w:p w14:paraId="071C295B" w14:textId="77777777" w:rsidR="00093CD3" w:rsidRPr="00CC04FD" w:rsidRDefault="00093CD3" w:rsidP="00734993">
            <w:pPr>
              <w:jc w:val="center"/>
              <w:rPr>
                <w:b/>
              </w:rPr>
            </w:pPr>
          </w:p>
          <w:p w14:paraId="5E6B3E3B" w14:textId="77777777" w:rsidR="00093CD3" w:rsidRPr="00CC04FD" w:rsidRDefault="00093CD3" w:rsidP="00734993">
            <w:pPr>
              <w:spacing w:after="120"/>
              <w:ind w:right="1"/>
              <w:rPr>
                <w:b/>
              </w:rPr>
            </w:pPr>
          </w:p>
          <w:p w14:paraId="533F43C9" w14:textId="77777777" w:rsidR="00093CD3" w:rsidRPr="00CC04FD" w:rsidRDefault="00093CD3" w:rsidP="00734993">
            <w:pPr>
              <w:spacing w:after="120"/>
              <w:ind w:right="1"/>
              <w:rPr>
                <w:b/>
              </w:rPr>
            </w:pPr>
          </w:p>
        </w:tc>
      </w:tr>
    </w:tbl>
    <w:p w14:paraId="696EB493" w14:textId="4B6466B2" w:rsidR="007D7597" w:rsidRPr="007D7597" w:rsidRDefault="007D7597" w:rsidP="007D7597">
      <w:pPr>
        <w:widowControl w:val="0"/>
        <w:pBdr>
          <w:top w:val="thickThinSmallGap" w:sz="24" w:space="1" w:color="auto" w:shadow="1"/>
          <w:left w:val="thickThinSmallGap" w:sz="24" w:space="4" w:color="auto" w:shadow="1"/>
          <w:bottom w:val="thickThinSmallGap" w:sz="24" w:space="1" w:color="auto" w:shadow="1"/>
          <w:right w:val="thickThinSmallGap" w:sz="24" w:space="4" w:color="auto" w:shadow="1"/>
        </w:pBdr>
        <w:overflowPunct w:val="0"/>
        <w:autoSpaceDE w:val="0"/>
        <w:autoSpaceDN w:val="0"/>
        <w:adjustRightInd w:val="0"/>
        <w:spacing w:after="0" w:line="240" w:lineRule="auto"/>
        <w:ind w:left="1134" w:right="425"/>
        <w:jc w:val="center"/>
        <w:textAlignment w:val="baseline"/>
        <w:rPr>
          <w:rFonts w:ascii="Arial" w:eastAsia="Times New Roman" w:hAnsi="Arial" w:cs="Arial"/>
          <w:b/>
          <w:lang w:eastAsia="fr-FR"/>
        </w:rPr>
      </w:pPr>
      <w:r w:rsidRPr="007D7597">
        <w:rPr>
          <w:rFonts w:ascii="Arial" w:eastAsia="Times New Roman" w:hAnsi="Arial" w:cs="Arial"/>
          <w:b/>
          <w:lang w:eastAsia="fr-FR"/>
        </w:rPr>
        <w:t xml:space="preserve">INDICE </w:t>
      </w:r>
      <w:r w:rsidR="00451D41">
        <w:rPr>
          <w:rFonts w:ascii="Arial" w:eastAsia="Times New Roman" w:hAnsi="Arial" w:cs="Arial"/>
          <w:b/>
          <w:lang w:eastAsia="fr-FR"/>
        </w:rPr>
        <w:t>HARMONISE DES PRIX A LA CONSOMMATION (IH</w:t>
      </w:r>
      <w:r w:rsidRPr="007D7597">
        <w:rPr>
          <w:rFonts w:ascii="Arial" w:eastAsia="Times New Roman" w:hAnsi="Arial" w:cs="Arial"/>
          <w:b/>
          <w:lang w:eastAsia="fr-FR"/>
        </w:rPr>
        <w:t>PC)</w:t>
      </w:r>
      <w:r w:rsidR="0038056F">
        <w:rPr>
          <w:rFonts w:ascii="Arial" w:eastAsia="Times New Roman" w:hAnsi="Arial" w:cs="Arial"/>
          <w:b/>
          <w:lang w:eastAsia="fr-FR"/>
        </w:rPr>
        <w:t xml:space="preserve">  </w:t>
      </w:r>
      <w:r>
        <w:rPr>
          <w:rFonts w:ascii="Arial" w:eastAsia="Times New Roman" w:hAnsi="Arial" w:cs="Arial"/>
          <w:b/>
          <w:lang w:eastAsia="fr-FR"/>
        </w:rPr>
        <w:t xml:space="preserve">         </w:t>
      </w:r>
      <w:r w:rsidRPr="007D7597">
        <w:rPr>
          <w:rFonts w:ascii="Arial" w:eastAsia="Times New Roman" w:hAnsi="Arial" w:cs="Arial"/>
          <w:b/>
          <w:lang w:eastAsia="fr-FR"/>
        </w:rPr>
        <w:t xml:space="preserve">(Base 100 en 2014) – </w:t>
      </w:r>
      <w:r w:rsidR="00687D7D">
        <w:rPr>
          <w:rFonts w:ascii="Arial" w:eastAsia="Times New Roman" w:hAnsi="Arial" w:cs="Arial"/>
          <w:b/>
          <w:lang w:eastAsia="fr-FR"/>
        </w:rPr>
        <w:t>Janvier</w:t>
      </w:r>
      <w:r w:rsidR="00736603">
        <w:rPr>
          <w:rFonts w:ascii="Arial" w:eastAsia="Times New Roman" w:hAnsi="Arial" w:cs="Arial"/>
          <w:b/>
          <w:bCs/>
          <w:lang w:eastAsia="fr-FR"/>
        </w:rPr>
        <w:t xml:space="preserve"> 202</w:t>
      </w:r>
      <w:r w:rsidR="00687D7D">
        <w:rPr>
          <w:rFonts w:ascii="Arial" w:eastAsia="Times New Roman" w:hAnsi="Arial" w:cs="Arial"/>
          <w:b/>
          <w:bCs/>
          <w:lang w:eastAsia="fr-FR"/>
        </w:rPr>
        <w:t>3</w:t>
      </w:r>
    </w:p>
    <w:p w14:paraId="571251D4" w14:textId="77777777" w:rsidR="007D7597" w:rsidRPr="007D7597" w:rsidRDefault="007D7597" w:rsidP="007D7597">
      <w:pPr>
        <w:widowControl w:val="0"/>
        <w:overflowPunct w:val="0"/>
        <w:autoSpaceDE w:val="0"/>
        <w:autoSpaceDN w:val="0"/>
        <w:adjustRightInd w:val="0"/>
        <w:spacing w:after="0" w:line="240" w:lineRule="auto"/>
        <w:jc w:val="both"/>
        <w:textAlignment w:val="baseline"/>
        <w:rPr>
          <w:rFonts w:ascii="Arial" w:eastAsia="Times New Roman" w:hAnsi="Arial" w:cs="Arial"/>
          <w:b/>
          <w:bCs/>
          <w:lang w:eastAsia="fr-FR"/>
        </w:rPr>
      </w:pPr>
    </w:p>
    <w:p w14:paraId="74DA1777" w14:textId="77777777" w:rsidR="007D7597" w:rsidRPr="007D7597" w:rsidRDefault="007D7597" w:rsidP="007D7597">
      <w:pPr>
        <w:widowControl w:val="0"/>
        <w:pBdr>
          <w:top w:val="thinThickSmallGap" w:sz="24" w:space="1" w:color="auto"/>
          <w:left w:val="thinThickSmallGap" w:sz="24" w:space="4" w:color="auto"/>
          <w:bottom w:val="thickThinSmallGap" w:sz="24" w:space="1" w:color="auto"/>
          <w:right w:val="thickThinSmallGap" w:sz="24" w:space="4" w:color="auto"/>
        </w:pBdr>
        <w:overflowPunct w:val="0"/>
        <w:autoSpaceDE w:val="0"/>
        <w:autoSpaceDN w:val="0"/>
        <w:adjustRightInd w:val="0"/>
        <w:spacing w:after="0" w:line="240" w:lineRule="auto"/>
        <w:jc w:val="both"/>
        <w:textAlignment w:val="baseline"/>
        <w:rPr>
          <w:rFonts w:ascii="Arial" w:eastAsia="Times New Roman" w:hAnsi="Arial" w:cs="Arial"/>
          <w:b/>
          <w:bCs/>
          <w:sz w:val="20"/>
          <w:szCs w:val="20"/>
          <w:lang w:eastAsia="fr-FR"/>
        </w:rPr>
      </w:pPr>
      <w:r w:rsidRPr="007D7597">
        <w:rPr>
          <w:rFonts w:ascii="Arial" w:eastAsia="Times New Roman" w:hAnsi="Arial" w:cs="Arial"/>
          <w:b/>
          <w:bCs/>
          <w:sz w:val="20"/>
          <w:szCs w:val="20"/>
          <w:lang w:eastAsia="fr-FR"/>
        </w:rPr>
        <w:t>L’Agence nationale de la Statistique et de la Démographie (ANSD) produit et</w:t>
      </w:r>
      <w:r w:rsidR="00736603">
        <w:rPr>
          <w:rFonts w:ascii="Arial" w:eastAsia="Times New Roman" w:hAnsi="Arial" w:cs="Arial"/>
          <w:b/>
          <w:bCs/>
          <w:sz w:val="20"/>
          <w:szCs w:val="20"/>
          <w:lang w:eastAsia="fr-FR"/>
        </w:rPr>
        <w:t xml:space="preserve"> publie tous les mois l'Indice h</w:t>
      </w:r>
      <w:r w:rsidRPr="007D7597">
        <w:rPr>
          <w:rFonts w:ascii="Arial" w:eastAsia="Times New Roman" w:hAnsi="Arial" w:cs="Arial"/>
          <w:b/>
          <w:bCs/>
          <w:sz w:val="20"/>
          <w:szCs w:val="20"/>
          <w:lang w:eastAsia="fr-FR"/>
        </w:rPr>
        <w:t>armonisé des Prix à la Consommation (IHPC). Cet indice, base 100 en 2014, mesure l’évolution des prix à la consommation au plan national. Les indices sont de type Laspeyres et la principale source identifiée pour les pondérations est la deuxième Enquête de Suivi de la Pauvreté au Sénégal (ESPS-II) de 2011. Le champ couvert par l’indice harmonisé des prix à la consommation est l’ensemble du pays découpé en zones écologiques/économiques, à savoir le Sud, le Nord, le Centre Nord, l’Ouest et le Centre Sud. Ces cinq zones sont représentées respectivement par Kolda, Saint Louis, Diourbel, Dakar et Kaolack. La collecte des prix se fait dans les capitales régionales et dans une zone rurale de ces régions</w:t>
      </w:r>
      <w:r w:rsidR="007F4365">
        <w:rPr>
          <w:rFonts w:ascii="Arial" w:eastAsia="Times New Roman" w:hAnsi="Arial" w:cs="Arial"/>
          <w:b/>
          <w:bCs/>
          <w:sz w:val="20"/>
          <w:szCs w:val="20"/>
          <w:lang w:eastAsia="fr-FR"/>
        </w:rPr>
        <w:t>.</w:t>
      </w:r>
      <w:r w:rsidRPr="007D7597">
        <w:t xml:space="preserve"> </w:t>
      </w:r>
      <w:r w:rsidRPr="007D7597">
        <w:rPr>
          <w:rFonts w:ascii="Arial" w:eastAsia="Times New Roman" w:hAnsi="Arial" w:cs="Arial"/>
          <w:b/>
          <w:bCs/>
          <w:sz w:val="20"/>
          <w:szCs w:val="20"/>
          <w:lang w:eastAsia="fr-FR"/>
        </w:rPr>
        <w:t>L’IHPC est publié selon la classification des fonctions de consommation des ménages à 12 fonctions (COICOP</w:t>
      </w:r>
      <w:r w:rsidRPr="007D7597">
        <w:rPr>
          <w:rFonts w:ascii="Arial" w:eastAsia="Times New Roman" w:hAnsi="Arial" w:cs="Arial"/>
          <w:b/>
          <w:bCs/>
          <w:sz w:val="20"/>
          <w:szCs w:val="20"/>
          <w:vertAlign w:val="superscript"/>
          <w:lang w:eastAsia="fr-FR"/>
        </w:rPr>
        <w:footnoteReference w:id="1"/>
      </w:r>
      <w:r w:rsidRPr="007D7597">
        <w:rPr>
          <w:rFonts w:ascii="Arial" w:eastAsia="Times New Roman" w:hAnsi="Arial" w:cs="Arial"/>
          <w:b/>
          <w:bCs/>
          <w:sz w:val="20"/>
          <w:szCs w:val="20"/>
          <w:lang w:eastAsia="fr-FR"/>
        </w:rPr>
        <w:t>). La méthodologie de calcul est commune aux huit pays de l'UEMOA. La note est publiée au plus tard 25 jours après le mois sous revue.</w:t>
      </w:r>
    </w:p>
    <w:p w14:paraId="6DC32E2F" w14:textId="77777777" w:rsidR="00093CD3" w:rsidRDefault="00093CD3" w:rsidP="00093CD3">
      <w:pPr>
        <w:tabs>
          <w:tab w:val="left" w:pos="7476"/>
        </w:tabs>
        <w:rPr>
          <w:rFonts w:ascii="Arial" w:hAnsi="Arial" w:cs="Arial"/>
          <w:b/>
          <w:sz w:val="16"/>
          <w:szCs w:val="16"/>
        </w:rPr>
      </w:pPr>
    </w:p>
    <w:p w14:paraId="21B84B91" w14:textId="77777777" w:rsidR="004B5C75" w:rsidRPr="0055438F" w:rsidRDefault="004B5C75" w:rsidP="004B5C75">
      <w:pPr>
        <w:spacing w:after="120"/>
        <w:ind w:right="1"/>
        <w:jc w:val="both"/>
        <w:rPr>
          <w:rFonts w:ascii="Arial" w:hAnsi="Arial" w:cs="Arial"/>
          <w:b/>
          <w:bCs/>
        </w:rPr>
      </w:pPr>
      <w:r w:rsidRPr="0055438F">
        <w:rPr>
          <w:rFonts w:ascii="Arial" w:hAnsi="Arial" w:cs="Arial"/>
          <w:bCs/>
        </w:rPr>
        <w:t xml:space="preserve">L’Indice </w:t>
      </w:r>
      <w:r w:rsidRPr="0055438F">
        <w:rPr>
          <w:rFonts w:ascii="Arial" w:eastAsia="Times New Roman" w:hAnsi="Arial" w:cs="Arial"/>
          <w:bCs/>
          <w:lang w:eastAsia="fr-FR"/>
        </w:rPr>
        <w:t xml:space="preserve">Harmonisé </w:t>
      </w:r>
      <w:r w:rsidRPr="0055438F">
        <w:rPr>
          <w:rFonts w:ascii="Arial" w:hAnsi="Arial" w:cs="Arial"/>
          <w:bCs/>
        </w:rPr>
        <w:t xml:space="preserve">des Prix à la Consommation (IHPC) du mois de janvier 2023 a baissé de 1,7%, comparé à celui du mois de décembre 2022. </w:t>
      </w:r>
      <w:r w:rsidRPr="0055438F">
        <w:rPr>
          <w:rFonts w:ascii="Arial" w:hAnsi="Arial" w:cs="Arial"/>
          <w:b/>
          <w:bCs/>
        </w:rPr>
        <w:t xml:space="preserve">Cette diminution résulte, principalement, du fléchissement des prix des « produits alimentaires et boissons non alcoolisées » (-3,7%), « Boissons alcoolisées, tabac et stupéfiant » (-0,2%), « Articles d'habillement et chaussures » (-0,2%) ainsi que des services de « santé » (-0,2%). Elle est cependant amoindrie par la hausse des prix des services de « Logement, eau, électricité, gaz et autres combustibles » (+2,3%). </w:t>
      </w:r>
      <w:r w:rsidRPr="0055438F">
        <w:rPr>
          <w:rFonts w:ascii="Arial" w:hAnsi="Arial" w:cs="Arial"/>
          <w:bCs/>
        </w:rPr>
        <w:t>Par rapport au mois de janvier 2022, les prix à la consommation se sont accrus de 10,6%.</w:t>
      </w:r>
    </w:p>
    <w:p w14:paraId="00B9CB47" w14:textId="33F4E703" w:rsidR="0055438F" w:rsidRDefault="001E5499" w:rsidP="0055438F">
      <w:pPr>
        <w:jc w:val="both"/>
        <w:rPr>
          <w:rFonts w:ascii="Arial" w:hAnsi="Arial" w:cs="Arial"/>
          <w:bCs/>
        </w:rPr>
      </w:pPr>
      <w:r w:rsidRPr="0055438F">
        <w:rPr>
          <w:rFonts w:ascii="Arial" w:hAnsi="Arial" w:cs="Arial"/>
          <w:bCs/>
        </w:rPr>
        <w:t xml:space="preserve">Les prix des </w:t>
      </w:r>
      <w:r w:rsidRPr="0055438F">
        <w:rPr>
          <w:rFonts w:ascii="Arial" w:hAnsi="Arial" w:cs="Arial"/>
          <w:b/>
          <w:bCs/>
        </w:rPr>
        <w:t>« produits alimentaires et boissons non alcoolisées »</w:t>
      </w:r>
      <w:r w:rsidRPr="0055438F">
        <w:rPr>
          <w:rFonts w:ascii="Arial" w:hAnsi="Arial" w:cs="Arial"/>
          <w:bCs/>
        </w:rPr>
        <w:t xml:space="preserve"> ont reculé de </w:t>
      </w:r>
      <w:r w:rsidR="004B5C75" w:rsidRPr="0055438F">
        <w:rPr>
          <w:rFonts w:ascii="Arial" w:hAnsi="Arial" w:cs="Arial"/>
          <w:bCs/>
        </w:rPr>
        <w:t>3</w:t>
      </w:r>
      <w:r w:rsidRPr="0055438F">
        <w:rPr>
          <w:rFonts w:ascii="Arial" w:hAnsi="Arial" w:cs="Arial"/>
          <w:bCs/>
        </w:rPr>
        <w:t>,</w:t>
      </w:r>
      <w:r w:rsidR="004B5C75" w:rsidRPr="0055438F">
        <w:rPr>
          <w:rFonts w:ascii="Arial" w:hAnsi="Arial" w:cs="Arial"/>
          <w:bCs/>
        </w:rPr>
        <w:t>7</w:t>
      </w:r>
      <w:r w:rsidRPr="0055438F">
        <w:rPr>
          <w:rFonts w:ascii="Arial" w:hAnsi="Arial" w:cs="Arial"/>
          <w:bCs/>
        </w:rPr>
        <w:t xml:space="preserve">% au mois de </w:t>
      </w:r>
      <w:r w:rsidR="00BB22C2" w:rsidRPr="0055438F">
        <w:rPr>
          <w:rFonts w:ascii="Arial" w:hAnsi="Arial" w:cs="Arial"/>
          <w:bCs/>
        </w:rPr>
        <w:t>janvier</w:t>
      </w:r>
      <w:r w:rsidRPr="0055438F">
        <w:rPr>
          <w:rFonts w:ascii="Arial" w:hAnsi="Arial" w:cs="Arial"/>
          <w:bCs/>
        </w:rPr>
        <w:t xml:space="preserve"> 202</w:t>
      </w:r>
      <w:r w:rsidR="00BB22C2" w:rsidRPr="0055438F">
        <w:rPr>
          <w:rFonts w:ascii="Arial" w:hAnsi="Arial" w:cs="Arial"/>
          <w:bCs/>
        </w:rPr>
        <w:t>3</w:t>
      </w:r>
      <w:r w:rsidRPr="0055438F">
        <w:rPr>
          <w:rFonts w:ascii="Arial" w:hAnsi="Arial" w:cs="Arial"/>
          <w:bCs/>
        </w:rPr>
        <w:t>. Cette baisse provient</w:t>
      </w:r>
      <w:r w:rsidR="001C7A6D">
        <w:rPr>
          <w:rFonts w:ascii="Arial" w:hAnsi="Arial" w:cs="Arial"/>
          <w:bCs/>
        </w:rPr>
        <w:t>,</w:t>
      </w:r>
      <w:r w:rsidRPr="0055438F">
        <w:rPr>
          <w:rFonts w:ascii="Arial" w:hAnsi="Arial" w:cs="Arial"/>
          <w:bCs/>
        </w:rPr>
        <w:t xml:space="preserve"> essentiellement</w:t>
      </w:r>
      <w:r w:rsidR="001C7A6D">
        <w:rPr>
          <w:rFonts w:ascii="Arial" w:hAnsi="Arial" w:cs="Arial"/>
          <w:bCs/>
        </w:rPr>
        <w:t>,</w:t>
      </w:r>
      <w:r w:rsidRPr="0055438F">
        <w:rPr>
          <w:rFonts w:ascii="Arial" w:hAnsi="Arial" w:cs="Arial"/>
          <w:bCs/>
        </w:rPr>
        <w:t xml:space="preserve"> de celle des prix</w:t>
      </w:r>
      <w:r w:rsidR="00D96C97" w:rsidRPr="0055438F">
        <w:rPr>
          <w:rFonts w:ascii="Arial" w:hAnsi="Arial" w:cs="Arial"/>
          <w:bCs/>
        </w:rPr>
        <w:t xml:space="preserve"> </w:t>
      </w:r>
      <w:r w:rsidR="008D7463">
        <w:rPr>
          <w:rFonts w:ascii="Arial" w:hAnsi="Arial" w:cs="Arial"/>
          <w:bCs/>
        </w:rPr>
        <w:t xml:space="preserve">des </w:t>
      </w:r>
      <w:r w:rsidR="001C7A6D" w:rsidRPr="0055438F">
        <w:rPr>
          <w:rFonts w:ascii="Arial" w:eastAsia="Times New Roman" w:hAnsi="Arial" w:cs="Arial"/>
          <w:lang w:val="fr-SN" w:eastAsia="fr-SN"/>
        </w:rPr>
        <w:t>légumes</w:t>
      </w:r>
      <w:r w:rsidR="00D96C97" w:rsidRPr="0055438F">
        <w:rPr>
          <w:rFonts w:ascii="Arial" w:eastAsia="Times New Roman" w:hAnsi="Arial" w:cs="Arial"/>
          <w:lang w:val="fr-SN" w:eastAsia="fr-SN"/>
        </w:rPr>
        <w:t xml:space="preserve"> frais en feuilles (-19,3%), des </w:t>
      </w:r>
      <w:r w:rsidR="0055438F">
        <w:rPr>
          <w:rFonts w:ascii="Arial" w:eastAsia="Times New Roman" w:hAnsi="Arial" w:cs="Arial"/>
          <w:lang w:val="fr-SN" w:eastAsia="fr-SN"/>
        </w:rPr>
        <w:t>p</w:t>
      </w:r>
      <w:r w:rsidR="00D96C97" w:rsidRPr="0055438F">
        <w:rPr>
          <w:rFonts w:ascii="Arial" w:eastAsia="Times New Roman" w:hAnsi="Arial" w:cs="Arial"/>
          <w:lang w:val="fr-SN" w:eastAsia="fr-SN"/>
        </w:rPr>
        <w:t>oissons frais (-14,3%), de</w:t>
      </w:r>
      <w:r w:rsidR="0055438F">
        <w:rPr>
          <w:rFonts w:ascii="Arial" w:eastAsia="Times New Roman" w:hAnsi="Arial" w:cs="Arial"/>
          <w:lang w:val="fr-SN" w:eastAsia="fr-SN"/>
        </w:rPr>
        <w:t>s</w:t>
      </w:r>
      <w:r w:rsidR="00D96C97" w:rsidRPr="0055438F">
        <w:rPr>
          <w:rFonts w:ascii="Arial" w:eastAsia="Times New Roman" w:hAnsi="Arial" w:cs="Arial"/>
          <w:lang w:val="fr-SN" w:eastAsia="fr-SN"/>
        </w:rPr>
        <w:t xml:space="preserve"> </w:t>
      </w:r>
      <w:r w:rsidR="0055438F">
        <w:rPr>
          <w:rFonts w:ascii="Arial" w:eastAsia="Times New Roman" w:hAnsi="Arial" w:cs="Arial"/>
          <w:lang w:val="fr-SN" w:eastAsia="fr-SN"/>
        </w:rPr>
        <w:t>f</w:t>
      </w:r>
      <w:r w:rsidR="00D96C97" w:rsidRPr="0055438F">
        <w:rPr>
          <w:rFonts w:ascii="Arial" w:eastAsia="Times New Roman" w:hAnsi="Arial" w:cs="Arial"/>
          <w:lang w:val="fr-SN" w:eastAsia="fr-SN"/>
        </w:rPr>
        <w:t xml:space="preserve">arines, semoules et gruaux </w:t>
      </w:r>
      <w:r w:rsidR="00144D73">
        <w:rPr>
          <w:rFonts w:ascii="Arial" w:eastAsia="Times New Roman" w:hAnsi="Arial" w:cs="Arial"/>
          <w:lang w:val="fr-SN" w:eastAsia="fr-SN"/>
        </w:rPr>
        <w:t xml:space="preserve">                </w:t>
      </w:r>
      <w:r w:rsidR="00D96C97" w:rsidRPr="0055438F">
        <w:rPr>
          <w:rFonts w:ascii="Arial" w:eastAsia="Times New Roman" w:hAnsi="Arial" w:cs="Arial"/>
          <w:lang w:val="fr-SN" w:eastAsia="fr-SN"/>
        </w:rPr>
        <w:t>(-13,6%)</w:t>
      </w:r>
      <w:r w:rsidR="00BB22C2" w:rsidRPr="0055438F">
        <w:rPr>
          <w:rFonts w:ascii="Arial" w:eastAsia="Times New Roman" w:hAnsi="Arial" w:cs="Arial"/>
          <w:lang w:val="fr-SN" w:eastAsia="fr-SN"/>
        </w:rPr>
        <w:t xml:space="preserve">, des </w:t>
      </w:r>
      <w:r w:rsidR="0055438F">
        <w:rPr>
          <w:rFonts w:ascii="Arial" w:eastAsia="Times New Roman" w:hAnsi="Arial" w:cs="Arial"/>
          <w:lang w:val="fr-SN" w:eastAsia="fr-SN"/>
        </w:rPr>
        <w:t>l</w:t>
      </w:r>
      <w:r w:rsidR="00BB22C2" w:rsidRPr="0055438F">
        <w:rPr>
          <w:rFonts w:ascii="Arial" w:eastAsia="Times New Roman" w:hAnsi="Arial" w:cs="Arial"/>
          <w:lang w:val="fr-SN" w:eastAsia="fr-SN"/>
        </w:rPr>
        <w:t>égumes frais en fruits ou racine</w:t>
      </w:r>
      <w:r w:rsidR="00144D73">
        <w:rPr>
          <w:rFonts w:ascii="Arial" w:eastAsia="Times New Roman" w:hAnsi="Arial" w:cs="Arial"/>
          <w:lang w:val="fr-SN" w:eastAsia="fr-SN"/>
        </w:rPr>
        <w:t>s</w:t>
      </w:r>
      <w:r w:rsidR="00BB22C2" w:rsidRPr="0055438F">
        <w:rPr>
          <w:rFonts w:ascii="Arial" w:eastAsia="Times New Roman" w:hAnsi="Arial" w:cs="Arial"/>
          <w:lang w:val="fr-SN" w:eastAsia="fr-SN"/>
        </w:rPr>
        <w:t xml:space="preserve"> (-12,2%) </w:t>
      </w:r>
      <w:r w:rsidR="00C56873">
        <w:rPr>
          <w:rFonts w:ascii="Arial" w:eastAsia="Times New Roman" w:hAnsi="Arial" w:cs="Arial"/>
          <w:lang w:val="fr-SN" w:eastAsia="fr-SN"/>
        </w:rPr>
        <w:t>ainsi que celle</w:t>
      </w:r>
      <w:r w:rsidR="0055438F">
        <w:rPr>
          <w:rFonts w:ascii="Arial" w:eastAsia="Times New Roman" w:hAnsi="Arial" w:cs="Arial"/>
          <w:lang w:val="fr-SN" w:eastAsia="fr-SN"/>
        </w:rPr>
        <w:t xml:space="preserve"> </w:t>
      </w:r>
      <w:r w:rsidR="00BB22C2" w:rsidRPr="0055438F">
        <w:rPr>
          <w:rFonts w:ascii="Arial" w:eastAsia="Times New Roman" w:hAnsi="Arial" w:cs="Arial"/>
          <w:lang w:val="fr-SN" w:eastAsia="fr-SN"/>
        </w:rPr>
        <w:t xml:space="preserve">des </w:t>
      </w:r>
      <w:r w:rsidR="0055438F">
        <w:rPr>
          <w:rFonts w:ascii="Arial" w:eastAsia="Times New Roman" w:hAnsi="Arial" w:cs="Arial"/>
          <w:lang w:val="fr-SN" w:eastAsia="fr-SN"/>
        </w:rPr>
        <w:t>p</w:t>
      </w:r>
      <w:r w:rsidR="00BB22C2" w:rsidRPr="0055438F">
        <w:rPr>
          <w:rFonts w:ascii="Arial" w:eastAsia="Times New Roman" w:hAnsi="Arial" w:cs="Arial"/>
          <w:lang w:val="fr-SN" w:eastAsia="fr-SN"/>
        </w:rPr>
        <w:t>oissons et autres produits séchés ou fumés (-7,5%).</w:t>
      </w:r>
      <w:r w:rsidR="00DE5A77" w:rsidRPr="0055438F">
        <w:rPr>
          <w:rFonts w:ascii="Arial" w:hAnsi="Arial" w:cs="Arial"/>
          <w:bCs/>
        </w:rPr>
        <w:t xml:space="preserve"> </w:t>
      </w:r>
      <w:r w:rsidR="008D7463">
        <w:rPr>
          <w:rFonts w:ascii="Arial" w:hAnsi="Arial" w:cs="Arial"/>
          <w:bCs/>
        </w:rPr>
        <w:t>Cependant, e</w:t>
      </w:r>
      <w:r w:rsidRPr="0055438F">
        <w:rPr>
          <w:rFonts w:ascii="Arial" w:hAnsi="Arial" w:cs="Arial"/>
          <w:bCs/>
        </w:rPr>
        <w:t xml:space="preserve">n rythme annuel, les prix de </w:t>
      </w:r>
      <w:r w:rsidR="0055438F">
        <w:rPr>
          <w:rFonts w:ascii="Arial" w:hAnsi="Arial" w:cs="Arial"/>
          <w:bCs/>
        </w:rPr>
        <w:t>cette</w:t>
      </w:r>
      <w:r w:rsidRPr="0055438F">
        <w:rPr>
          <w:rFonts w:ascii="Arial" w:hAnsi="Arial" w:cs="Arial"/>
          <w:bCs/>
        </w:rPr>
        <w:t xml:space="preserve"> fonction se sont accrus de 1</w:t>
      </w:r>
      <w:r w:rsidR="004B5C75" w:rsidRPr="0055438F">
        <w:rPr>
          <w:rFonts w:ascii="Arial" w:hAnsi="Arial" w:cs="Arial"/>
          <w:bCs/>
        </w:rPr>
        <w:t>3</w:t>
      </w:r>
      <w:r w:rsidRPr="0055438F">
        <w:rPr>
          <w:rFonts w:ascii="Arial" w:hAnsi="Arial" w:cs="Arial"/>
          <w:bCs/>
        </w:rPr>
        <w:t>,</w:t>
      </w:r>
      <w:r w:rsidR="004B5C75" w:rsidRPr="0055438F">
        <w:rPr>
          <w:rFonts w:ascii="Arial" w:hAnsi="Arial" w:cs="Arial"/>
          <w:bCs/>
        </w:rPr>
        <w:t>7</w:t>
      </w:r>
      <w:r w:rsidRPr="0055438F">
        <w:rPr>
          <w:rFonts w:ascii="Arial" w:hAnsi="Arial" w:cs="Arial"/>
          <w:bCs/>
        </w:rPr>
        <w:t>%.</w:t>
      </w:r>
    </w:p>
    <w:p w14:paraId="3829640B" w14:textId="77777777" w:rsidR="00C45720" w:rsidRDefault="00C45720" w:rsidP="00C45720">
      <w:pPr>
        <w:spacing w:after="240"/>
        <w:jc w:val="both"/>
        <w:rPr>
          <w:rFonts w:ascii="Arial" w:hAnsi="Arial" w:cs="Arial"/>
          <w:bCs/>
        </w:rPr>
      </w:pPr>
      <w:r w:rsidRPr="0055438F">
        <w:rPr>
          <w:rFonts w:ascii="Arial" w:hAnsi="Arial" w:cs="Arial"/>
          <w:bCs/>
        </w:rPr>
        <w:t xml:space="preserve">Les prix des </w:t>
      </w:r>
      <w:r w:rsidRPr="0055438F">
        <w:rPr>
          <w:rFonts w:ascii="Arial" w:hAnsi="Arial" w:cs="Arial"/>
          <w:b/>
          <w:bCs/>
        </w:rPr>
        <w:t>« boissons alcoolisées, tabacs et stupéfiants »</w:t>
      </w:r>
      <w:r w:rsidRPr="0055438F">
        <w:rPr>
          <w:rFonts w:ascii="Arial" w:hAnsi="Arial" w:cs="Arial"/>
          <w:bCs/>
        </w:rPr>
        <w:t xml:space="preserve"> se sont repliés de 0,2% au mois de janvier 2023, comparés au mois précédent. La diminution des prix du tabac et stupéfiants (-0,5%) a favorisé ce repli. Par rapport à la même période de 20</w:t>
      </w:r>
      <w:r>
        <w:rPr>
          <w:rFonts w:ascii="Arial" w:hAnsi="Arial" w:cs="Arial"/>
          <w:bCs/>
        </w:rPr>
        <w:t>22</w:t>
      </w:r>
      <w:r w:rsidRPr="0055438F">
        <w:rPr>
          <w:rFonts w:ascii="Arial" w:hAnsi="Arial" w:cs="Arial"/>
          <w:bCs/>
        </w:rPr>
        <w:t>, ils ont crû de 4,1%.</w:t>
      </w:r>
    </w:p>
    <w:p w14:paraId="7A30D3A9" w14:textId="6F1FEF96" w:rsidR="00C45720" w:rsidRDefault="00C45720" w:rsidP="00C45720">
      <w:pPr>
        <w:spacing w:after="240"/>
        <w:jc w:val="both"/>
        <w:rPr>
          <w:rFonts w:ascii="Arial" w:hAnsi="Arial" w:cs="Arial"/>
          <w:bCs/>
        </w:rPr>
      </w:pPr>
      <w:r w:rsidRPr="0055438F">
        <w:rPr>
          <w:rFonts w:ascii="Arial" w:hAnsi="Arial" w:cs="Arial"/>
          <w:bCs/>
        </w:rPr>
        <w:t xml:space="preserve">La dépréciation des </w:t>
      </w:r>
      <w:r w:rsidRPr="0055438F">
        <w:rPr>
          <w:rFonts w:ascii="Arial" w:hAnsi="Arial" w:cs="Arial"/>
          <w:b/>
          <w:bCs/>
        </w:rPr>
        <w:t>« articles d'habillement et chaussures »</w:t>
      </w:r>
      <w:r w:rsidRPr="0055438F">
        <w:rPr>
          <w:rFonts w:ascii="Arial" w:hAnsi="Arial" w:cs="Arial"/>
          <w:bCs/>
        </w:rPr>
        <w:t xml:space="preserve"> de 0,2%, en rythme mensuel, résulte, principalement, de celle de la </w:t>
      </w:r>
      <w:r w:rsidRPr="0055438F">
        <w:rPr>
          <w:rFonts w:ascii="Arial" w:eastAsia="Times New Roman" w:hAnsi="Arial" w:cs="Arial"/>
          <w:lang w:val="fr-SN" w:eastAsia="fr-SN"/>
        </w:rPr>
        <w:t xml:space="preserve">confection et réparation </w:t>
      </w:r>
      <w:r>
        <w:rPr>
          <w:rFonts w:ascii="Arial" w:eastAsia="Times New Roman" w:hAnsi="Arial" w:cs="Arial"/>
          <w:lang w:val="fr-SN" w:eastAsia="fr-SN"/>
        </w:rPr>
        <w:t xml:space="preserve">de </w:t>
      </w:r>
      <w:r w:rsidRPr="0055438F">
        <w:rPr>
          <w:rFonts w:ascii="Arial" w:eastAsia="Times New Roman" w:hAnsi="Arial" w:cs="Arial"/>
          <w:lang w:val="fr-SN" w:eastAsia="fr-SN"/>
        </w:rPr>
        <w:t xml:space="preserve">vêtements </w:t>
      </w:r>
      <w:r>
        <w:rPr>
          <w:rFonts w:ascii="Arial" w:eastAsia="Times New Roman" w:hAnsi="Arial" w:cs="Arial"/>
          <w:lang w:val="fr-SN" w:eastAsia="fr-SN"/>
        </w:rPr>
        <w:t xml:space="preserve">pour </w:t>
      </w:r>
      <w:r w:rsidRPr="0055438F">
        <w:rPr>
          <w:rFonts w:ascii="Arial" w:eastAsia="Times New Roman" w:hAnsi="Arial" w:cs="Arial"/>
          <w:lang w:val="fr-SN" w:eastAsia="fr-SN"/>
        </w:rPr>
        <w:t xml:space="preserve">femmes </w:t>
      </w:r>
      <w:r w:rsidR="00144D73">
        <w:rPr>
          <w:rFonts w:ascii="Arial" w:eastAsia="Times New Roman" w:hAnsi="Arial" w:cs="Arial"/>
          <w:lang w:val="fr-SN" w:eastAsia="fr-SN"/>
        </w:rPr>
        <w:t xml:space="preserve">         </w:t>
      </w:r>
      <w:r w:rsidRPr="0055438F">
        <w:rPr>
          <w:rFonts w:ascii="Arial" w:eastAsia="Times New Roman" w:hAnsi="Arial" w:cs="Arial"/>
          <w:lang w:val="fr-SN" w:eastAsia="fr-SN"/>
        </w:rPr>
        <w:t xml:space="preserve">(-2,5%), des </w:t>
      </w:r>
      <w:r>
        <w:rPr>
          <w:rFonts w:ascii="Arial" w:eastAsia="Times New Roman" w:hAnsi="Arial" w:cs="Arial"/>
          <w:lang w:val="fr-SN" w:eastAsia="fr-SN"/>
        </w:rPr>
        <w:t>v</w:t>
      </w:r>
      <w:r w:rsidRPr="0055438F">
        <w:rPr>
          <w:rFonts w:ascii="Arial" w:eastAsia="Times New Roman" w:hAnsi="Arial" w:cs="Arial"/>
          <w:lang w:val="fr-SN" w:eastAsia="fr-SN"/>
        </w:rPr>
        <w:t xml:space="preserve">êtements de dessus </w:t>
      </w:r>
      <w:r>
        <w:rPr>
          <w:rFonts w:ascii="Arial" w:eastAsia="Times New Roman" w:hAnsi="Arial" w:cs="Arial"/>
          <w:lang w:val="fr-SN" w:eastAsia="fr-SN"/>
        </w:rPr>
        <w:t xml:space="preserve">pour </w:t>
      </w:r>
      <w:r w:rsidRPr="0055438F">
        <w:rPr>
          <w:rFonts w:ascii="Arial" w:eastAsia="Times New Roman" w:hAnsi="Arial" w:cs="Arial"/>
          <w:lang w:val="fr-SN" w:eastAsia="fr-SN"/>
        </w:rPr>
        <w:t xml:space="preserve">hommes (-1,1%) ainsi que de la confection et </w:t>
      </w:r>
      <w:r w:rsidRPr="0055438F">
        <w:rPr>
          <w:rFonts w:ascii="Arial" w:eastAsia="Times New Roman" w:hAnsi="Arial" w:cs="Arial"/>
          <w:lang w:val="fr-SN" w:eastAsia="fr-SN"/>
        </w:rPr>
        <w:lastRenderedPageBreak/>
        <w:t xml:space="preserve">réparation </w:t>
      </w:r>
      <w:r>
        <w:rPr>
          <w:rFonts w:ascii="Arial" w:eastAsia="Times New Roman" w:hAnsi="Arial" w:cs="Arial"/>
          <w:lang w:val="fr-SN" w:eastAsia="fr-SN"/>
        </w:rPr>
        <w:t xml:space="preserve">de </w:t>
      </w:r>
      <w:r w:rsidRPr="0055438F">
        <w:rPr>
          <w:rFonts w:ascii="Arial" w:eastAsia="Times New Roman" w:hAnsi="Arial" w:cs="Arial"/>
          <w:lang w:val="fr-SN" w:eastAsia="fr-SN"/>
        </w:rPr>
        <w:t xml:space="preserve">vêtements </w:t>
      </w:r>
      <w:r>
        <w:rPr>
          <w:rFonts w:ascii="Arial" w:eastAsia="Times New Roman" w:hAnsi="Arial" w:cs="Arial"/>
          <w:lang w:val="fr-SN" w:eastAsia="fr-SN"/>
        </w:rPr>
        <w:t xml:space="preserve">pour </w:t>
      </w:r>
      <w:r w:rsidRPr="0055438F">
        <w:rPr>
          <w:rFonts w:ascii="Arial" w:eastAsia="Times New Roman" w:hAnsi="Arial" w:cs="Arial"/>
          <w:lang w:val="fr-SN" w:eastAsia="fr-SN"/>
        </w:rPr>
        <w:t xml:space="preserve">hommes (-1,0%). </w:t>
      </w:r>
      <w:r w:rsidRPr="0055438F">
        <w:rPr>
          <w:rFonts w:ascii="Arial" w:hAnsi="Arial" w:cs="Arial"/>
          <w:bCs/>
        </w:rPr>
        <w:t>En variation annuelle, les prix ont augmenté de 5,3%.</w:t>
      </w:r>
    </w:p>
    <w:p w14:paraId="27CE8A41" w14:textId="77777777" w:rsidR="00C45720" w:rsidRDefault="00C45720" w:rsidP="00C45720">
      <w:pPr>
        <w:spacing w:after="240"/>
        <w:jc w:val="both"/>
        <w:rPr>
          <w:rFonts w:ascii="Arial" w:hAnsi="Arial" w:cs="Arial"/>
          <w:bCs/>
        </w:rPr>
      </w:pPr>
      <w:r w:rsidRPr="0055438F">
        <w:rPr>
          <w:rFonts w:ascii="Arial" w:hAnsi="Arial" w:cs="Arial"/>
          <w:bCs/>
        </w:rPr>
        <w:t xml:space="preserve">La baisse des prix des services de </w:t>
      </w:r>
      <w:r w:rsidRPr="0055438F">
        <w:rPr>
          <w:rFonts w:ascii="Arial" w:hAnsi="Arial" w:cs="Arial"/>
          <w:b/>
          <w:bCs/>
        </w:rPr>
        <w:t>« santé »</w:t>
      </w:r>
      <w:r w:rsidRPr="0055438F">
        <w:rPr>
          <w:rFonts w:ascii="Arial" w:hAnsi="Arial" w:cs="Arial"/>
          <w:bCs/>
        </w:rPr>
        <w:t xml:space="preserve"> (-0,2%) au mois de janvier 2023, provient principalement de cel</w:t>
      </w:r>
      <w:r>
        <w:rPr>
          <w:rFonts w:ascii="Arial" w:hAnsi="Arial" w:cs="Arial"/>
          <w:bCs/>
        </w:rPr>
        <w:t>le</w:t>
      </w:r>
      <w:r w:rsidRPr="0055438F">
        <w:rPr>
          <w:rFonts w:ascii="Arial" w:hAnsi="Arial" w:cs="Arial"/>
          <w:bCs/>
        </w:rPr>
        <w:t xml:space="preserve"> des prix des médicaments traditionnels (-5,7%). En variation annuelle, les prix ont évolué de +2,9%.</w:t>
      </w:r>
    </w:p>
    <w:p w14:paraId="733627C8" w14:textId="77777777" w:rsidR="00C45720" w:rsidRDefault="00C45720" w:rsidP="00C45720">
      <w:pPr>
        <w:spacing w:after="240"/>
        <w:jc w:val="both"/>
        <w:rPr>
          <w:rFonts w:ascii="Arial" w:hAnsi="Arial" w:cs="Arial"/>
          <w:bCs/>
        </w:rPr>
      </w:pPr>
      <w:r w:rsidRPr="0055438F">
        <w:rPr>
          <w:rFonts w:ascii="Arial" w:hAnsi="Arial" w:cs="Arial"/>
          <w:bCs/>
        </w:rPr>
        <w:t xml:space="preserve">Les prix des services de </w:t>
      </w:r>
      <w:r w:rsidRPr="0055438F">
        <w:rPr>
          <w:rFonts w:ascii="Arial" w:hAnsi="Arial" w:cs="Arial"/>
          <w:b/>
          <w:bCs/>
        </w:rPr>
        <w:t>« l’enseignement »</w:t>
      </w:r>
      <w:r w:rsidRPr="0055438F">
        <w:rPr>
          <w:rFonts w:ascii="Arial" w:hAnsi="Arial" w:cs="Arial"/>
          <w:bCs/>
        </w:rPr>
        <w:t xml:space="preserve"> sont demeurés constants en variation mensuelle. Cependant, en rythme annuel, ils se sont renchéris de 1,9%.</w:t>
      </w:r>
    </w:p>
    <w:p w14:paraId="00466B9F" w14:textId="77777777" w:rsidR="00C45720" w:rsidRDefault="00DE5A77" w:rsidP="00C45720">
      <w:pPr>
        <w:spacing w:after="240"/>
        <w:jc w:val="both"/>
        <w:rPr>
          <w:rFonts w:ascii="Arial" w:hAnsi="Arial" w:cs="Arial"/>
          <w:bCs/>
        </w:rPr>
      </w:pPr>
      <w:r w:rsidRPr="0055438F">
        <w:rPr>
          <w:rFonts w:ascii="Arial" w:hAnsi="Arial" w:cs="Arial"/>
          <w:bCs/>
        </w:rPr>
        <w:t xml:space="preserve">Les prix des services de </w:t>
      </w:r>
      <w:r w:rsidRPr="0055438F">
        <w:rPr>
          <w:rFonts w:ascii="Arial" w:hAnsi="Arial" w:cs="Arial"/>
          <w:b/>
          <w:bCs/>
        </w:rPr>
        <w:t>« communication »</w:t>
      </w:r>
      <w:r w:rsidR="00A71A70" w:rsidRPr="0055438F">
        <w:rPr>
          <w:rFonts w:ascii="Arial" w:hAnsi="Arial" w:cs="Arial"/>
          <w:bCs/>
        </w:rPr>
        <w:t xml:space="preserve"> n’ont pas connu de variation en rythme mensuel. </w:t>
      </w:r>
      <w:r w:rsidRPr="0055438F">
        <w:rPr>
          <w:rFonts w:ascii="Arial" w:hAnsi="Arial" w:cs="Arial"/>
          <w:bCs/>
        </w:rPr>
        <w:t>Comparés à la même période de 202</w:t>
      </w:r>
      <w:r w:rsidR="00A71A70" w:rsidRPr="0055438F">
        <w:rPr>
          <w:rFonts w:ascii="Arial" w:hAnsi="Arial" w:cs="Arial"/>
          <w:bCs/>
        </w:rPr>
        <w:t>2</w:t>
      </w:r>
      <w:r w:rsidRPr="0055438F">
        <w:rPr>
          <w:rFonts w:ascii="Arial" w:hAnsi="Arial" w:cs="Arial"/>
          <w:bCs/>
        </w:rPr>
        <w:t xml:space="preserve">, ils se sont appréciés de </w:t>
      </w:r>
      <w:r w:rsidR="00A71A70" w:rsidRPr="0055438F">
        <w:rPr>
          <w:rFonts w:ascii="Arial" w:hAnsi="Arial" w:cs="Arial"/>
          <w:bCs/>
        </w:rPr>
        <w:t>8</w:t>
      </w:r>
      <w:r w:rsidRPr="0055438F">
        <w:rPr>
          <w:rFonts w:ascii="Arial" w:hAnsi="Arial" w:cs="Arial"/>
          <w:bCs/>
        </w:rPr>
        <w:t>,</w:t>
      </w:r>
      <w:r w:rsidR="00A71A70" w:rsidRPr="0055438F">
        <w:rPr>
          <w:rFonts w:ascii="Arial" w:hAnsi="Arial" w:cs="Arial"/>
          <w:bCs/>
        </w:rPr>
        <w:t>1</w:t>
      </w:r>
      <w:r w:rsidRPr="0055438F">
        <w:rPr>
          <w:rFonts w:ascii="Arial" w:hAnsi="Arial" w:cs="Arial"/>
          <w:bCs/>
        </w:rPr>
        <w:t>%.</w:t>
      </w:r>
    </w:p>
    <w:p w14:paraId="403C83AD" w14:textId="1356950D" w:rsidR="00C56873" w:rsidRDefault="00C45720" w:rsidP="00C45720">
      <w:pPr>
        <w:spacing w:after="240"/>
        <w:jc w:val="both"/>
        <w:rPr>
          <w:rFonts w:ascii="Arial" w:hAnsi="Arial" w:cs="Arial"/>
          <w:bCs/>
        </w:rPr>
      </w:pPr>
      <w:r w:rsidRPr="0055438F">
        <w:rPr>
          <w:rFonts w:ascii="Arial" w:hAnsi="Arial" w:cs="Arial"/>
          <w:bCs/>
        </w:rPr>
        <w:t xml:space="preserve">Les prix des </w:t>
      </w:r>
      <w:r w:rsidRPr="0055438F">
        <w:rPr>
          <w:rFonts w:ascii="Arial" w:hAnsi="Arial" w:cs="Arial"/>
          <w:b/>
          <w:bCs/>
        </w:rPr>
        <w:t>« meubles, articles de ménages et entretien courant du foyer »</w:t>
      </w:r>
      <w:r w:rsidRPr="0055438F">
        <w:rPr>
          <w:rFonts w:ascii="Arial" w:hAnsi="Arial" w:cs="Arial"/>
          <w:bCs/>
        </w:rPr>
        <w:t xml:space="preserve"> ont augmenté de 0,1%, en raison, essentiellement, du renchérissement des </w:t>
      </w:r>
      <w:r w:rsidRPr="0055438F">
        <w:rPr>
          <w:rFonts w:ascii="Arial" w:eastAsia="Times New Roman" w:hAnsi="Arial" w:cs="Arial"/>
          <w:lang w:val="fr-SN" w:eastAsia="fr-SN"/>
        </w:rPr>
        <w:t>peti</w:t>
      </w:r>
      <w:r>
        <w:rPr>
          <w:rFonts w:ascii="Arial" w:eastAsia="Times New Roman" w:hAnsi="Arial" w:cs="Arial"/>
          <w:lang w:val="fr-SN" w:eastAsia="fr-SN"/>
        </w:rPr>
        <w:t>ts</w:t>
      </w:r>
      <w:r w:rsidRPr="0055438F">
        <w:rPr>
          <w:rFonts w:ascii="Arial" w:eastAsia="Times New Roman" w:hAnsi="Arial" w:cs="Arial"/>
          <w:lang w:val="fr-SN" w:eastAsia="fr-SN"/>
        </w:rPr>
        <w:t xml:space="preserve"> appareil</w:t>
      </w:r>
      <w:r>
        <w:rPr>
          <w:rFonts w:ascii="Arial" w:eastAsia="Times New Roman" w:hAnsi="Arial" w:cs="Arial"/>
          <w:lang w:val="fr-SN" w:eastAsia="fr-SN"/>
        </w:rPr>
        <w:t>s</w:t>
      </w:r>
      <w:r w:rsidRPr="0055438F">
        <w:rPr>
          <w:rFonts w:ascii="Arial" w:eastAsia="Times New Roman" w:hAnsi="Arial" w:cs="Arial"/>
          <w:lang w:val="fr-SN" w:eastAsia="fr-SN"/>
        </w:rPr>
        <w:t xml:space="preserve"> électroménager</w:t>
      </w:r>
      <w:r>
        <w:rPr>
          <w:rFonts w:ascii="Arial" w:eastAsia="Times New Roman" w:hAnsi="Arial" w:cs="Arial"/>
          <w:lang w:val="fr-SN" w:eastAsia="fr-SN"/>
        </w:rPr>
        <w:t>s</w:t>
      </w:r>
      <w:r w:rsidRPr="0055438F">
        <w:rPr>
          <w:rFonts w:ascii="Arial" w:eastAsia="Times New Roman" w:hAnsi="Arial" w:cs="Arial"/>
          <w:lang w:val="fr-SN" w:eastAsia="fr-SN"/>
        </w:rPr>
        <w:t xml:space="preserve"> ou ménager</w:t>
      </w:r>
      <w:r>
        <w:rPr>
          <w:rFonts w:ascii="Arial" w:eastAsia="Times New Roman" w:hAnsi="Arial" w:cs="Arial"/>
          <w:lang w:val="fr-SN" w:eastAsia="fr-SN"/>
        </w:rPr>
        <w:t>s</w:t>
      </w:r>
      <w:r w:rsidRPr="0055438F">
        <w:rPr>
          <w:rFonts w:ascii="Arial" w:eastAsia="Times New Roman" w:hAnsi="Arial" w:cs="Arial"/>
          <w:lang w:val="fr-SN" w:eastAsia="fr-SN"/>
        </w:rPr>
        <w:t xml:space="preserve"> et réparation (</w:t>
      </w:r>
      <w:r w:rsidR="00C56873">
        <w:rPr>
          <w:rFonts w:ascii="Arial" w:eastAsia="Times New Roman" w:hAnsi="Arial" w:cs="Arial"/>
          <w:lang w:val="fr-SN" w:eastAsia="fr-SN"/>
        </w:rPr>
        <w:t>+</w:t>
      </w:r>
      <w:r w:rsidRPr="0055438F">
        <w:rPr>
          <w:rFonts w:ascii="Arial" w:eastAsia="Times New Roman" w:hAnsi="Arial" w:cs="Arial"/>
          <w:lang w:val="fr-SN" w:eastAsia="fr-SN"/>
        </w:rPr>
        <w:t xml:space="preserve">0,8%), du </w:t>
      </w:r>
      <w:r>
        <w:rPr>
          <w:rFonts w:ascii="Arial" w:eastAsia="Times New Roman" w:hAnsi="Arial" w:cs="Arial"/>
          <w:lang w:val="fr-SN" w:eastAsia="fr-SN"/>
        </w:rPr>
        <w:t>m</w:t>
      </w:r>
      <w:r w:rsidRPr="0055438F">
        <w:rPr>
          <w:rFonts w:ascii="Arial" w:eastAsia="Times New Roman" w:hAnsi="Arial" w:cs="Arial"/>
          <w:lang w:val="fr-SN" w:eastAsia="fr-SN"/>
        </w:rPr>
        <w:t>obilier pour chambre à coucher et salle de bain (</w:t>
      </w:r>
      <w:r w:rsidR="00C56873">
        <w:rPr>
          <w:rFonts w:ascii="Arial" w:eastAsia="Times New Roman" w:hAnsi="Arial" w:cs="Arial"/>
          <w:lang w:val="fr-SN" w:eastAsia="fr-SN"/>
        </w:rPr>
        <w:t>+</w:t>
      </w:r>
      <w:r w:rsidRPr="0055438F">
        <w:rPr>
          <w:rFonts w:ascii="Arial" w:eastAsia="Times New Roman" w:hAnsi="Arial" w:cs="Arial"/>
          <w:lang w:val="fr-SN" w:eastAsia="fr-SN"/>
        </w:rPr>
        <w:t xml:space="preserve">0,4%), des </w:t>
      </w:r>
      <w:r>
        <w:rPr>
          <w:rFonts w:ascii="Arial" w:eastAsia="Times New Roman" w:hAnsi="Arial" w:cs="Arial"/>
          <w:lang w:val="fr-SN" w:eastAsia="fr-SN"/>
        </w:rPr>
        <w:t>a</w:t>
      </w:r>
      <w:r w:rsidRPr="0055438F">
        <w:rPr>
          <w:rFonts w:ascii="Arial" w:eastAsia="Times New Roman" w:hAnsi="Arial" w:cs="Arial"/>
          <w:lang w:val="fr-SN" w:eastAsia="fr-SN"/>
        </w:rPr>
        <w:t>utres mobiliers de maison et articles d’ameublement et réparation (</w:t>
      </w:r>
      <w:r>
        <w:rPr>
          <w:rFonts w:ascii="Arial" w:eastAsia="Times New Roman" w:hAnsi="Arial" w:cs="Arial"/>
          <w:lang w:val="fr-SN" w:eastAsia="fr-SN"/>
        </w:rPr>
        <w:t>+</w:t>
      </w:r>
      <w:r w:rsidRPr="0055438F">
        <w:rPr>
          <w:rFonts w:ascii="Arial" w:eastAsia="Times New Roman" w:hAnsi="Arial" w:cs="Arial"/>
          <w:lang w:val="fr-SN" w:eastAsia="fr-SN"/>
        </w:rPr>
        <w:t xml:space="preserve">0,3%) et du </w:t>
      </w:r>
      <w:r>
        <w:rPr>
          <w:rFonts w:ascii="Arial" w:eastAsia="Times New Roman" w:hAnsi="Arial" w:cs="Arial"/>
          <w:lang w:val="fr-SN" w:eastAsia="fr-SN"/>
        </w:rPr>
        <w:t>m</w:t>
      </w:r>
      <w:r w:rsidRPr="0055438F">
        <w:rPr>
          <w:rFonts w:ascii="Arial" w:eastAsia="Times New Roman" w:hAnsi="Arial" w:cs="Arial"/>
          <w:lang w:val="fr-SN" w:eastAsia="fr-SN"/>
        </w:rPr>
        <w:t>obilier pour salle de s</w:t>
      </w:r>
      <w:r>
        <w:rPr>
          <w:rFonts w:ascii="Arial" w:eastAsia="Times New Roman" w:hAnsi="Arial" w:cs="Arial"/>
          <w:lang w:val="fr-SN" w:eastAsia="fr-SN"/>
        </w:rPr>
        <w:t>é</w:t>
      </w:r>
      <w:r w:rsidRPr="0055438F">
        <w:rPr>
          <w:rFonts w:ascii="Arial" w:eastAsia="Times New Roman" w:hAnsi="Arial" w:cs="Arial"/>
          <w:lang w:val="fr-SN" w:eastAsia="fr-SN"/>
        </w:rPr>
        <w:t>jour, salle à manger, bureau (domicile) (</w:t>
      </w:r>
      <w:r>
        <w:rPr>
          <w:rFonts w:ascii="Arial" w:eastAsia="Times New Roman" w:hAnsi="Arial" w:cs="Arial"/>
          <w:lang w:val="fr-SN" w:eastAsia="fr-SN"/>
        </w:rPr>
        <w:t>+</w:t>
      </w:r>
      <w:r w:rsidRPr="0055438F">
        <w:rPr>
          <w:rFonts w:ascii="Arial" w:eastAsia="Times New Roman" w:hAnsi="Arial" w:cs="Arial"/>
          <w:lang w:val="fr-SN" w:eastAsia="fr-SN"/>
        </w:rPr>
        <w:t>0,3%).</w:t>
      </w:r>
      <w:r w:rsidRPr="0055438F">
        <w:rPr>
          <w:rFonts w:ascii="Arial" w:hAnsi="Arial" w:cs="Arial"/>
          <w:bCs/>
        </w:rPr>
        <w:t xml:space="preserve"> En glissement annuel, ils se sont bonifiés de 5,6%.</w:t>
      </w:r>
    </w:p>
    <w:p w14:paraId="59576374" w14:textId="3737368B" w:rsidR="00C45720" w:rsidRDefault="00C45720" w:rsidP="00C45720">
      <w:pPr>
        <w:spacing w:after="240"/>
        <w:jc w:val="both"/>
        <w:rPr>
          <w:rFonts w:ascii="Arial" w:hAnsi="Arial" w:cs="Arial"/>
          <w:bCs/>
        </w:rPr>
      </w:pPr>
      <w:r w:rsidRPr="0055438F">
        <w:rPr>
          <w:rFonts w:ascii="Arial" w:hAnsi="Arial" w:cs="Arial"/>
          <w:bCs/>
        </w:rPr>
        <w:t xml:space="preserve">Les prix des services de </w:t>
      </w:r>
      <w:r w:rsidRPr="0055438F">
        <w:rPr>
          <w:rFonts w:ascii="Arial" w:hAnsi="Arial" w:cs="Arial"/>
          <w:b/>
          <w:bCs/>
        </w:rPr>
        <w:t>« loisirs et cultures »</w:t>
      </w:r>
      <w:r w:rsidRPr="0055438F">
        <w:rPr>
          <w:rFonts w:ascii="Arial" w:hAnsi="Arial" w:cs="Arial"/>
          <w:bCs/>
        </w:rPr>
        <w:t xml:space="preserve"> se sont accrus de 0,1% au cours de la période sous revue, sous l’effet de la hausse de ceux d</w:t>
      </w:r>
      <w:r>
        <w:rPr>
          <w:rFonts w:ascii="Arial" w:hAnsi="Arial" w:cs="Arial"/>
          <w:bCs/>
        </w:rPr>
        <w:t>es</w:t>
      </w:r>
      <w:r w:rsidRPr="0055438F">
        <w:rPr>
          <w:rFonts w:ascii="Arial" w:hAnsi="Arial" w:cs="Arial"/>
          <w:bCs/>
        </w:rPr>
        <w:t xml:space="preserve"> </w:t>
      </w:r>
      <w:r w:rsidRPr="0055438F">
        <w:rPr>
          <w:rFonts w:ascii="Arial" w:eastAsia="Times New Roman" w:hAnsi="Arial" w:cs="Arial"/>
          <w:lang w:val="fr-SN" w:eastAsia="fr-SN"/>
        </w:rPr>
        <w:t>matérie</w:t>
      </w:r>
      <w:r>
        <w:rPr>
          <w:rFonts w:ascii="Arial" w:eastAsia="Times New Roman" w:hAnsi="Arial" w:cs="Arial"/>
          <w:lang w:val="fr-SN" w:eastAsia="fr-SN"/>
        </w:rPr>
        <w:t>ls</w:t>
      </w:r>
      <w:r w:rsidRPr="0055438F">
        <w:rPr>
          <w:rFonts w:ascii="Arial" w:eastAsia="Times New Roman" w:hAnsi="Arial" w:cs="Arial"/>
          <w:lang w:val="fr-SN" w:eastAsia="fr-SN"/>
        </w:rPr>
        <w:t xml:space="preserve"> audiovisuel</w:t>
      </w:r>
      <w:r>
        <w:rPr>
          <w:rFonts w:ascii="Arial" w:eastAsia="Times New Roman" w:hAnsi="Arial" w:cs="Arial"/>
          <w:lang w:val="fr-SN" w:eastAsia="fr-SN"/>
        </w:rPr>
        <w:t>s</w:t>
      </w:r>
      <w:r w:rsidRPr="0055438F">
        <w:rPr>
          <w:rFonts w:ascii="Arial" w:eastAsia="Times New Roman" w:hAnsi="Arial" w:cs="Arial"/>
          <w:lang w:val="fr-SN" w:eastAsia="fr-SN"/>
        </w:rPr>
        <w:t>, photographique</w:t>
      </w:r>
      <w:r>
        <w:rPr>
          <w:rFonts w:ascii="Arial" w:eastAsia="Times New Roman" w:hAnsi="Arial" w:cs="Arial"/>
          <w:lang w:val="fr-SN" w:eastAsia="fr-SN"/>
        </w:rPr>
        <w:t>s</w:t>
      </w:r>
      <w:r w:rsidRPr="0055438F">
        <w:rPr>
          <w:rFonts w:ascii="Arial" w:eastAsia="Times New Roman" w:hAnsi="Arial" w:cs="Arial"/>
          <w:lang w:val="fr-SN" w:eastAsia="fr-SN"/>
        </w:rPr>
        <w:t xml:space="preserve"> et de traitement de l'image et du son (+0,2%)</w:t>
      </w:r>
      <w:r w:rsidRPr="0055438F">
        <w:rPr>
          <w:rFonts w:ascii="Arial" w:hAnsi="Arial" w:cs="Arial"/>
          <w:bCs/>
        </w:rPr>
        <w:t>. En variation annuelle, ils se sont accrus de 15,9%.</w:t>
      </w:r>
    </w:p>
    <w:p w14:paraId="616F2682" w14:textId="71632F2B" w:rsidR="00C45720" w:rsidRPr="00C45720" w:rsidRDefault="00C45720" w:rsidP="00C45720">
      <w:pPr>
        <w:spacing w:after="240"/>
        <w:jc w:val="both"/>
        <w:rPr>
          <w:rFonts w:ascii="Arial" w:hAnsi="Arial" w:cs="Arial"/>
          <w:bCs/>
        </w:rPr>
      </w:pPr>
      <w:r w:rsidRPr="0055438F">
        <w:rPr>
          <w:rFonts w:ascii="Arial" w:hAnsi="Arial" w:cs="Arial"/>
          <w:bCs/>
        </w:rPr>
        <w:t xml:space="preserve">Les prix des </w:t>
      </w:r>
      <w:r w:rsidRPr="0055438F">
        <w:rPr>
          <w:rFonts w:ascii="Arial" w:hAnsi="Arial" w:cs="Arial"/>
          <w:b/>
          <w:bCs/>
        </w:rPr>
        <w:t>« biens et services divers »</w:t>
      </w:r>
      <w:r w:rsidRPr="0055438F">
        <w:rPr>
          <w:rFonts w:ascii="Arial" w:hAnsi="Arial" w:cs="Arial"/>
          <w:bCs/>
        </w:rPr>
        <w:t xml:space="preserve"> ont progressé de 0,4% au mois de janvier 2023, comparés à ceux de décembre 2022. Cette hausse fait suite au relèvement des prix</w:t>
      </w:r>
      <w:r w:rsidR="008D7463">
        <w:rPr>
          <w:rFonts w:ascii="Arial" w:hAnsi="Arial" w:cs="Arial"/>
          <w:bCs/>
        </w:rPr>
        <w:t xml:space="preserve"> </w:t>
      </w:r>
      <w:r w:rsidR="00144D73">
        <w:rPr>
          <w:rFonts w:ascii="Arial" w:hAnsi="Arial" w:cs="Arial"/>
          <w:bCs/>
        </w:rPr>
        <w:t>des a</w:t>
      </w:r>
      <w:r w:rsidR="00144D73" w:rsidRPr="00144D73">
        <w:rPr>
          <w:rFonts w:ascii="Arial" w:hAnsi="Arial" w:cs="Arial"/>
          <w:bCs/>
        </w:rPr>
        <w:t>ssurance</w:t>
      </w:r>
      <w:r w:rsidR="00144D73">
        <w:rPr>
          <w:rFonts w:ascii="Arial" w:hAnsi="Arial" w:cs="Arial"/>
          <w:bCs/>
        </w:rPr>
        <w:t>s</w:t>
      </w:r>
      <w:r w:rsidR="00144D73" w:rsidRPr="00144D73">
        <w:rPr>
          <w:rFonts w:ascii="Arial" w:hAnsi="Arial" w:cs="Arial"/>
          <w:bCs/>
        </w:rPr>
        <w:t xml:space="preserve"> transport </w:t>
      </w:r>
      <w:r w:rsidRPr="0055438F">
        <w:rPr>
          <w:rFonts w:ascii="Arial" w:hAnsi="Arial" w:cs="Arial"/>
          <w:bCs/>
        </w:rPr>
        <w:t>(+1,1%)</w:t>
      </w:r>
      <w:r w:rsidR="00144D73">
        <w:rPr>
          <w:rFonts w:ascii="Arial" w:hAnsi="Arial" w:cs="Arial"/>
          <w:bCs/>
        </w:rPr>
        <w:t xml:space="preserve"> dû, principalement, </w:t>
      </w:r>
      <w:r w:rsidR="00EE26B7">
        <w:rPr>
          <w:rFonts w:ascii="Arial" w:hAnsi="Arial" w:cs="Arial"/>
          <w:bCs/>
        </w:rPr>
        <w:t>à</w:t>
      </w:r>
      <w:r w:rsidR="00144D73">
        <w:rPr>
          <w:rFonts w:ascii="Arial" w:hAnsi="Arial" w:cs="Arial"/>
          <w:bCs/>
        </w:rPr>
        <w:t xml:space="preserve"> la hausse des taxes </w:t>
      </w:r>
      <w:r w:rsidR="008D7463">
        <w:rPr>
          <w:rFonts w:ascii="Arial" w:hAnsi="Arial" w:cs="Arial"/>
          <w:bCs/>
        </w:rPr>
        <w:t>appliquées</w:t>
      </w:r>
      <w:r w:rsidR="00144D73">
        <w:rPr>
          <w:rFonts w:ascii="Arial" w:hAnsi="Arial" w:cs="Arial"/>
          <w:bCs/>
        </w:rPr>
        <w:t xml:space="preserve"> par l’Etat </w:t>
      </w:r>
      <w:r w:rsidRPr="0055438F">
        <w:rPr>
          <w:rFonts w:ascii="Arial" w:hAnsi="Arial" w:cs="Arial"/>
          <w:bCs/>
        </w:rPr>
        <w:t>et des produits pour soins corporels (+0,7%). En rythme annuel, ils ont été majorés de 6,4%.</w:t>
      </w:r>
    </w:p>
    <w:p w14:paraId="4A1B5D79" w14:textId="54329F06" w:rsidR="00C45720" w:rsidRPr="0055438F" w:rsidRDefault="00C45720" w:rsidP="00E20B4F">
      <w:pPr>
        <w:spacing w:after="240"/>
        <w:jc w:val="both"/>
        <w:rPr>
          <w:rFonts w:ascii="Arial" w:hAnsi="Arial" w:cs="Arial"/>
          <w:bCs/>
        </w:rPr>
      </w:pPr>
      <w:r w:rsidRPr="0055438F">
        <w:rPr>
          <w:rFonts w:ascii="Arial" w:hAnsi="Arial" w:cs="Arial"/>
          <w:bCs/>
        </w:rPr>
        <w:t xml:space="preserve">Les prix des services des </w:t>
      </w:r>
      <w:r w:rsidRPr="0055438F">
        <w:rPr>
          <w:rFonts w:ascii="Arial" w:hAnsi="Arial" w:cs="Arial"/>
          <w:b/>
          <w:bCs/>
        </w:rPr>
        <w:t>« restaurants et hôtels »</w:t>
      </w:r>
      <w:r w:rsidRPr="0055438F">
        <w:rPr>
          <w:rFonts w:ascii="Arial" w:hAnsi="Arial" w:cs="Arial"/>
          <w:bCs/>
        </w:rPr>
        <w:t xml:space="preserve"> se sont appréciés de 1,0% en rythme mensuel, en raison, principalement, de la progression de ceux des services de restaurants, cafés et établissements (+1,0%). Comparativement au mois de janvier 2022, ils se sont accrus de 9,5%.</w:t>
      </w:r>
    </w:p>
    <w:p w14:paraId="32E37C6E" w14:textId="15B3E83C" w:rsidR="00C056FB" w:rsidRDefault="000C166D" w:rsidP="00EB60CF">
      <w:pPr>
        <w:jc w:val="both"/>
        <w:rPr>
          <w:rFonts w:ascii="Arial" w:hAnsi="Arial" w:cs="Arial"/>
          <w:bCs/>
        </w:rPr>
      </w:pPr>
      <w:r w:rsidRPr="0055438F">
        <w:rPr>
          <w:rFonts w:ascii="Arial" w:hAnsi="Arial" w:cs="Arial"/>
          <w:bCs/>
        </w:rPr>
        <w:t xml:space="preserve">Les prix des services de </w:t>
      </w:r>
      <w:r w:rsidRPr="0055438F">
        <w:rPr>
          <w:rFonts w:ascii="Arial" w:hAnsi="Arial" w:cs="Arial"/>
          <w:b/>
          <w:bCs/>
        </w:rPr>
        <w:t>« transports »</w:t>
      </w:r>
      <w:r w:rsidRPr="0055438F">
        <w:rPr>
          <w:rFonts w:ascii="Arial" w:hAnsi="Arial" w:cs="Arial"/>
          <w:bCs/>
        </w:rPr>
        <w:t xml:space="preserve"> ont augmenté de </w:t>
      </w:r>
      <w:r w:rsidR="00EB60CF" w:rsidRPr="0055438F">
        <w:rPr>
          <w:rFonts w:ascii="Arial" w:hAnsi="Arial" w:cs="Arial"/>
          <w:bCs/>
        </w:rPr>
        <w:t>2</w:t>
      </w:r>
      <w:r w:rsidRPr="0055438F">
        <w:rPr>
          <w:rFonts w:ascii="Arial" w:hAnsi="Arial" w:cs="Arial"/>
          <w:bCs/>
        </w:rPr>
        <w:t>,</w:t>
      </w:r>
      <w:r w:rsidR="00EB60CF" w:rsidRPr="0055438F">
        <w:rPr>
          <w:rFonts w:ascii="Arial" w:hAnsi="Arial" w:cs="Arial"/>
          <w:bCs/>
        </w:rPr>
        <w:t>1</w:t>
      </w:r>
      <w:r w:rsidRPr="0055438F">
        <w:rPr>
          <w:rFonts w:ascii="Arial" w:hAnsi="Arial" w:cs="Arial"/>
          <w:bCs/>
        </w:rPr>
        <w:t xml:space="preserve">% au mois de </w:t>
      </w:r>
      <w:r w:rsidR="00076490">
        <w:rPr>
          <w:rFonts w:ascii="Arial" w:hAnsi="Arial" w:cs="Arial"/>
          <w:bCs/>
        </w:rPr>
        <w:t>janvier</w:t>
      </w:r>
      <w:r w:rsidRPr="0055438F">
        <w:rPr>
          <w:rFonts w:ascii="Arial" w:hAnsi="Arial" w:cs="Arial"/>
          <w:bCs/>
        </w:rPr>
        <w:t xml:space="preserve"> 202</w:t>
      </w:r>
      <w:r w:rsidR="00076490">
        <w:rPr>
          <w:rFonts w:ascii="Arial" w:hAnsi="Arial" w:cs="Arial"/>
          <w:bCs/>
        </w:rPr>
        <w:t>3</w:t>
      </w:r>
      <w:r w:rsidRPr="0055438F">
        <w:rPr>
          <w:rFonts w:ascii="Arial" w:hAnsi="Arial" w:cs="Arial"/>
          <w:bCs/>
        </w:rPr>
        <w:t xml:space="preserve">, en liaison, essentiellement, avec </w:t>
      </w:r>
      <w:r w:rsidR="00916DCB" w:rsidRPr="0055438F">
        <w:rPr>
          <w:rFonts w:ascii="Arial" w:hAnsi="Arial" w:cs="Arial"/>
          <w:bCs/>
        </w:rPr>
        <w:t>la hausse de c</w:t>
      </w:r>
      <w:r w:rsidRPr="0055438F">
        <w:rPr>
          <w:rFonts w:ascii="Arial" w:hAnsi="Arial" w:cs="Arial"/>
          <w:bCs/>
        </w:rPr>
        <w:t xml:space="preserve">eux </w:t>
      </w:r>
      <w:r w:rsidR="00916DCB" w:rsidRPr="0055438F">
        <w:rPr>
          <w:rFonts w:ascii="Arial" w:hAnsi="Arial" w:cs="Arial"/>
          <w:bCs/>
        </w:rPr>
        <w:t>d</w:t>
      </w:r>
      <w:r w:rsidR="00076490">
        <w:rPr>
          <w:rFonts w:ascii="Arial" w:hAnsi="Arial" w:cs="Arial"/>
          <w:bCs/>
        </w:rPr>
        <w:t>u</w:t>
      </w:r>
      <w:r w:rsidR="00916DCB" w:rsidRPr="0055438F">
        <w:rPr>
          <w:rFonts w:ascii="Arial" w:hAnsi="Arial" w:cs="Arial"/>
          <w:bCs/>
        </w:rPr>
        <w:t xml:space="preserve"> </w:t>
      </w:r>
      <w:r w:rsidR="00EB60CF" w:rsidRPr="0055438F">
        <w:rPr>
          <w:rFonts w:ascii="Arial" w:eastAsia="Times New Roman" w:hAnsi="Arial" w:cs="Arial"/>
          <w:lang w:val="fr-SN" w:eastAsia="fr-SN"/>
        </w:rPr>
        <w:t>carburant et</w:t>
      </w:r>
      <w:r w:rsidR="00076490">
        <w:rPr>
          <w:rFonts w:ascii="Arial" w:eastAsia="Times New Roman" w:hAnsi="Arial" w:cs="Arial"/>
          <w:lang w:val="fr-SN" w:eastAsia="fr-SN"/>
        </w:rPr>
        <w:t xml:space="preserve"> </w:t>
      </w:r>
      <w:r w:rsidR="00EB60CF" w:rsidRPr="0055438F">
        <w:rPr>
          <w:rFonts w:ascii="Arial" w:eastAsia="Times New Roman" w:hAnsi="Arial" w:cs="Arial"/>
          <w:lang w:val="fr-SN" w:eastAsia="fr-SN"/>
        </w:rPr>
        <w:t>lubrifiants</w:t>
      </w:r>
      <w:r w:rsidR="00916DCB" w:rsidRPr="0055438F">
        <w:rPr>
          <w:rFonts w:ascii="Arial" w:hAnsi="Arial" w:cs="Arial"/>
          <w:bCs/>
        </w:rPr>
        <w:t xml:space="preserve"> (+</w:t>
      </w:r>
      <w:r w:rsidR="00EB60CF" w:rsidRPr="0055438F">
        <w:rPr>
          <w:rFonts w:ascii="Arial" w:hAnsi="Arial" w:cs="Arial"/>
          <w:bCs/>
        </w:rPr>
        <w:t>9</w:t>
      </w:r>
      <w:r w:rsidR="00916DCB" w:rsidRPr="0055438F">
        <w:rPr>
          <w:rFonts w:ascii="Arial" w:hAnsi="Arial" w:cs="Arial"/>
          <w:bCs/>
        </w:rPr>
        <w:t>,</w:t>
      </w:r>
      <w:r w:rsidR="00EB60CF" w:rsidRPr="0055438F">
        <w:rPr>
          <w:rFonts w:ascii="Arial" w:hAnsi="Arial" w:cs="Arial"/>
          <w:bCs/>
        </w:rPr>
        <w:t>0</w:t>
      </w:r>
      <w:r w:rsidR="00916DCB" w:rsidRPr="0055438F">
        <w:rPr>
          <w:rFonts w:ascii="Arial" w:hAnsi="Arial" w:cs="Arial"/>
          <w:bCs/>
        </w:rPr>
        <w:t>%) et</w:t>
      </w:r>
      <w:r w:rsidRPr="0055438F">
        <w:rPr>
          <w:rFonts w:ascii="Arial" w:hAnsi="Arial" w:cs="Arial"/>
          <w:bCs/>
        </w:rPr>
        <w:t xml:space="preserve"> d</w:t>
      </w:r>
      <w:r w:rsidR="00EB60CF" w:rsidRPr="0055438F">
        <w:rPr>
          <w:rFonts w:ascii="Arial" w:hAnsi="Arial" w:cs="Arial"/>
          <w:bCs/>
        </w:rPr>
        <w:t xml:space="preserve">u </w:t>
      </w:r>
      <w:r w:rsidR="00EB60CF" w:rsidRPr="0055438F">
        <w:rPr>
          <w:rFonts w:ascii="Arial" w:eastAsia="Times New Roman" w:hAnsi="Arial" w:cs="Arial"/>
          <w:lang w:val="fr-SN" w:eastAsia="fr-SN"/>
        </w:rPr>
        <w:t>transport routier de passagers</w:t>
      </w:r>
      <w:r w:rsidR="00EB60CF" w:rsidRPr="0055438F">
        <w:rPr>
          <w:rFonts w:ascii="Arial" w:hAnsi="Arial" w:cs="Arial"/>
          <w:bCs/>
        </w:rPr>
        <w:t xml:space="preserve"> </w:t>
      </w:r>
      <w:r w:rsidRPr="0055438F">
        <w:rPr>
          <w:rFonts w:ascii="Arial" w:hAnsi="Arial" w:cs="Arial"/>
          <w:bCs/>
        </w:rPr>
        <w:t>(+</w:t>
      </w:r>
      <w:r w:rsidR="00EB60CF" w:rsidRPr="0055438F">
        <w:rPr>
          <w:rFonts w:ascii="Arial" w:hAnsi="Arial" w:cs="Arial"/>
          <w:bCs/>
        </w:rPr>
        <w:t>0</w:t>
      </w:r>
      <w:r w:rsidRPr="0055438F">
        <w:rPr>
          <w:rFonts w:ascii="Arial" w:hAnsi="Arial" w:cs="Arial"/>
          <w:bCs/>
        </w:rPr>
        <w:t>,</w:t>
      </w:r>
      <w:r w:rsidR="00EB60CF" w:rsidRPr="0055438F">
        <w:rPr>
          <w:rFonts w:ascii="Arial" w:hAnsi="Arial" w:cs="Arial"/>
          <w:bCs/>
        </w:rPr>
        <w:t>9</w:t>
      </w:r>
      <w:r w:rsidRPr="0055438F">
        <w:rPr>
          <w:rFonts w:ascii="Arial" w:hAnsi="Arial" w:cs="Arial"/>
          <w:bCs/>
        </w:rPr>
        <w:t xml:space="preserve">%). </w:t>
      </w:r>
      <w:r w:rsidR="00916DCB" w:rsidRPr="0055438F">
        <w:rPr>
          <w:rFonts w:ascii="Arial" w:hAnsi="Arial" w:cs="Arial"/>
          <w:bCs/>
        </w:rPr>
        <w:t>C</w:t>
      </w:r>
      <w:r w:rsidRPr="0055438F">
        <w:rPr>
          <w:rFonts w:ascii="Arial" w:hAnsi="Arial" w:cs="Arial"/>
          <w:bCs/>
        </w:rPr>
        <w:t xml:space="preserve">omparés au mois de </w:t>
      </w:r>
      <w:r w:rsidR="00EB60CF" w:rsidRPr="0055438F">
        <w:rPr>
          <w:rFonts w:ascii="Arial" w:hAnsi="Arial" w:cs="Arial"/>
          <w:bCs/>
        </w:rPr>
        <w:t>janvier</w:t>
      </w:r>
      <w:r w:rsidRPr="0055438F">
        <w:rPr>
          <w:rFonts w:ascii="Arial" w:hAnsi="Arial" w:cs="Arial"/>
          <w:bCs/>
        </w:rPr>
        <w:t xml:space="preserve"> 202</w:t>
      </w:r>
      <w:r w:rsidR="00EB60CF" w:rsidRPr="0055438F">
        <w:rPr>
          <w:rFonts w:ascii="Arial" w:hAnsi="Arial" w:cs="Arial"/>
          <w:bCs/>
        </w:rPr>
        <w:t>2</w:t>
      </w:r>
      <w:r w:rsidRPr="0055438F">
        <w:rPr>
          <w:rFonts w:ascii="Arial" w:hAnsi="Arial" w:cs="Arial"/>
          <w:bCs/>
        </w:rPr>
        <w:t xml:space="preserve">, </w:t>
      </w:r>
      <w:r w:rsidR="00FD2411" w:rsidRPr="0055438F">
        <w:rPr>
          <w:rFonts w:ascii="Arial" w:hAnsi="Arial" w:cs="Arial"/>
          <w:bCs/>
        </w:rPr>
        <w:t>ils</w:t>
      </w:r>
      <w:r w:rsidRPr="0055438F">
        <w:rPr>
          <w:rFonts w:ascii="Arial" w:hAnsi="Arial" w:cs="Arial"/>
          <w:bCs/>
        </w:rPr>
        <w:t xml:space="preserve"> ont </w:t>
      </w:r>
      <w:r w:rsidR="00916DCB" w:rsidRPr="0055438F">
        <w:rPr>
          <w:rFonts w:ascii="Arial" w:hAnsi="Arial" w:cs="Arial"/>
          <w:bCs/>
        </w:rPr>
        <w:t>évolué</w:t>
      </w:r>
      <w:r w:rsidRPr="0055438F">
        <w:rPr>
          <w:rFonts w:ascii="Arial" w:hAnsi="Arial" w:cs="Arial"/>
          <w:bCs/>
        </w:rPr>
        <w:t xml:space="preserve"> de </w:t>
      </w:r>
      <w:r w:rsidR="00EB60CF" w:rsidRPr="0055438F">
        <w:rPr>
          <w:rFonts w:ascii="Arial" w:hAnsi="Arial" w:cs="Arial"/>
          <w:bCs/>
        </w:rPr>
        <w:t>4</w:t>
      </w:r>
      <w:r w:rsidRPr="0055438F">
        <w:rPr>
          <w:rFonts w:ascii="Arial" w:hAnsi="Arial" w:cs="Arial"/>
          <w:bCs/>
        </w:rPr>
        <w:t>,</w:t>
      </w:r>
      <w:r w:rsidR="00EB60CF" w:rsidRPr="0055438F">
        <w:rPr>
          <w:rFonts w:ascii="Arial" w:hAnsi="Arial" w:cs="Arial"/>
          <w:bCs/>
        </w:rPr>
        <w:t>3</w:t>
      </w:r>
      <w:r w:rsidRPr="0055438F">
        <w:rPr>
          <w:rFonts w:ascii="Arial" w:hAnsi="Arial" w:cs="Arial"/>
          <w:bCs/>
        </w:rPr>
        <w:t>%.</w:t>
      </w:r>
    </w:p>
    <w:p w14:paraId="1D7A531B" w14:textId="0515717F" w:rsidR="00C45720" w:rsidRDefault="00C45720" w:rsidP="00C45720">
      <w:pPr>
        <w:spacing w:after="240"/>
        <w:jc w:val="both"/>
        <w:rPr>
          <w:rFonts w:ascii="Arial" w:hAnsi="Arial" w:cs="Arial"/>
          <w:bCs/>
        </w:rPr>
      </w:pPr>
      <w:r w:rsidRPr="0055438F">
        <w:rPr>
          <w:rFonts w:ascii="Arial" w:hAnsi="Arial" w:cs="Arial"/>
          <w:bCs/>
        </w:rPr>
        <w:t xml:space="preserve">Le relèvement des prix des biens et services de </w:t>
      </w:r>
      <w:r w:rsidRPr="0055438F">
        <w:rPr>
          <w:rFonts w:ascii="Arial" w:hAnsi="Arial" w:cs="Arial"/>
          <w:b/>
          <w:bCs/>
        </w:rPr>
        <w:t>« logement, eau, électricité, gaz et autres combustibles »</w:t>
      </w:r>
      <w:r w:rsidRPr="0055438F">
        <w:rPr>
          <w:rFonts w:ascii="Arial" w:hAnsi="Arial" w:cs="Arial"/>
          <w:bCs/>
        </w:rPr>
        <w:t xml:space="preserve"> </w:t>
      </w:r>
      <w:r>
        <w:rPr>
          <w:rFonts w:ascii="Arial" w:hAnsi="Arial" w:cs="Arial"/>
          <w:bCs/>
        </w:rPr>
        <w:t xml:space="preserve">de </w:t>
      </w:r>
      <w:r w:rsidRPr="0055438F">
        <w:rPr>
          <w:rFonts w:ascii="Arial" w:hAnsi="Arial" w:cs="Arial"/>
          <w:bCs/>
        </w:rPr>
        <w:t>2,3%</w:t>
      </w:r>
      <w:r>
        <w:rPr>
          <w:rFonts w:ascii="Arial" w:hAnsi="Arial" w:cs="Arial"/>
          <w:bCs/>
        </w:rPr>
        <w:t>,</w:t>
      </w:r>
      <w:r w:rsidRPr="0055438F">
        <w:rPr>
          <w:rFonts w:ascii="Arial" w:hAnsi="Arial" w:cs="Arial"/>
          <w:bCs/>
        </w:rPr>
        <w:t xml:space="preserve"> en rythme mensuel</w:t>
      </w:r>
      <w:r>
        <w:rPr>
          <w:rFonts w:ascii="Arial" w:hAnsi="Arial" w:cs="Arial"/>
          <w:bCs/>
        </w:rPr>
        <w:t>,</w:t>
      </w:r>
      <w:r w:rsidRPr="0055438F">
        <w:rPr>
          <w:rFonts w:ascii="Arial" w:hAnsi="Arial" w:cs="Arial"/>
          <w:bCs/>
        </w:rPr>
        <w:t xml:space="preserve"> provient</w:t>
      </w:r>
      <w:r w:rsidR="009737A0">
        <w:rPr>
          <w:rFonts w:ascii="Arial" w:hAnsi="Arial" w:cs="Arial"/>
          <w:bCs/>
        </w:rPr>
        <w:t>, principalement,</w:t>
      </w:r>
      <w:r w:rsidRPr="0055438F">
        <w:rPr>
          <w:rFonts w:ascii="Arial" w:hAnsi="Arial" w:cs="Arial"/>
          <w:bCs/>
        </w:rPr>
        <w:t xml:space="preserve"> de </w:t>
      </w:r>
      <w:r w:rsidR="009737A0">
        <w:rPr>
          <w:rFonts w:ascii="Arial" w:hAnsi="Arial" w:cs="Arial"/>
          <w:bCs/>
        </w:rPr>
        <w:t xml:space="preserve">celui de l’électricité (+20,5%). Cette situation est induite par la réduction de la subvention </w:t>
      </w:r>
      <w:r w:rsidR="00EE26B7">
        <w:rPr>
          <w:rFonts w:ascii="Arial" w:hAnsi="Arial" w:cs="Arial"/>
          <w:bCs/>
        </w:rPr>
        <w:t>de l’Eta</w:t>
      </w:r>
      <w:r w:rsidR="008D7463">
        <w:rPr>
          <w:rFonts w:ascii="Arial" w:hAnsi="Arial" w:cs="Arial"/>
          <w:bCs/>
        </w:rPr>
        <w:t>t</w:t>
      </w:r>
      <w:r w:rsidR="00EE26B7">
        <w:rPr>
          <w:rFonts w:ascii="Arial" w:hAnsi="Arial" w:cs="Arial"/>
          <w:bCs/>
        </w:rPr>
        <w:t xml:space="preserve"> sur</w:t>
      </w:r>
      <w:r w:rsidR="009737A0">
        <w:rPr>
          <w:rFonts w:ascii="Arial" w:hAnsi="Arial" w:cs="Arial"/>
          <w:bCs/>
        </w:rPr>
        <w:t xml:space="preserve"> l’électricité.</w:t>
      </w:r>
      <w:r w:rsidR="008D7463">
        <w:rPr>
          <w:rFonts w:ascii="Arial" w:hAnsi="Arial" w:cs="Arial"/>
          <w:bCs/>
        </w:rPr>
        <w:t xml:space="preserve"> Par contre, la baisse des prix des s</w:t>
      </w:r>
      <w:r w:rsidR="008D7463" w:rsidRPr="008D7463">
        <w:rPr>
          <w:rFonts w:ascii="Arial" w:hAnsi="Arial" w:cs="Arial"/>
          <w:bCs/>
        </w:rPr>
        <w:t>ervices d'entretien et de réparations courantes</w:t>
      </w:r>
      <w:r w:rsidR="008D7463">
        <w:rPr>
          <w:rFonts w:ascii="Arial" w:hAnsi="Arial" w:cs="Arial"/>
          <w:bCs/>
        </w:rPr>
        <w:t xml:space="preserve"> (-1,6%) et </w:t>
      </w:r>
      <w:r w:rsidR="009737A0">
        <w:rPr>
          <w:rFonts w:ascii="Arial" w:hAnsi="Arial" w:cs="Arial"/>
          <w:bCs/>
        </w:rPr>
        <w:t xml:space="preserve">des </w:t>
      </w:r>
      <w:r w:rsidR="008D7463">
        <w:rPr>
          <w:rFonts w:ascii="Arial" w:hAnsi="Arial" w:cs="Arial"/>
          <w:bCs/>
        </w:rPr>
        <w:t xml:space="preserve"> produits pour </w:t>
      </w:r>
      <w:r w:rsidR="008D7463" w:rsidRPr="008D7463">
        <w:rPr>
          <w:rFonts w:ascii="Arial" w:hAnsi="Arial" w:cs="Arial"/>
          <w:bCs/>
        </w:rPr>
        <w:t>entretien et réparation courante</w:t>
      </w:r>
      <w:r w:rsidR="008D7463">
        <w:rPr>
          <w:rFonts w:ascii="Arial" w:hAnsi="Arial" w:cs="Arial"/>
          <w:bCs/>
        </w:rPr>
        <w:t xml:space="preserve"> (-0,9%) </w:t>
      </w:r>
      <w:r w:rsidR="009737A0">
        <w:rPr>
          <w:rFonts w:ascii="Arial" w:hAnsi="Arial" w:cs="Arial"/>
          <w:bCs/>
        </w:rPr>
        <w:t xml:space="preserve"> a atténué cette hausse. </w:t>
      </w:r>
      <w:r w:rsidRPr="0055438F">
        <w:rPr>
          <w:rFonts w:ascii="Arial" w:hAnsi="Arial" w:cs="Arial"/>
          <w:bCs/>
        </w:rPr>
        <w:t>En rythme annuel, ils ont progressé de 8,7%.</w:t>
      </w:r>
    </w:p>
    <w:p w14:paraId="38262A7B" w14:textId="1069E6F7" w:rsidR="004B5C75" w:rsidRPr="0055438F" w:rsidRDefault="004B5C75" w:rsidP="004B5C75">
      <w:pPr>
        <w:spacing w:after="0"/>
        <w:ind w:right="1"/>
        <w:jc w:val="both"/>
        <w:rPr>
          <w:rFonts w:ascii="Arial" w:hAnsi="Arial" w:cs="Arial"/>
          <w:bCs/>
        </w:rPr>
      </w:pPr>
      <w:r w:rsidRPr="0055438F">
        <w:rPr>
          <w:rFonts w:ascii="Arial" w:hAnsi="Arial" w:cs="Arial"/>
          <w:bCs/>
        </w:rPr>
        <w:t>L’inflation sous-jacente</w:t>
      </w:r>
      <w:r w:rsidRPr="0055438F">
        <w:rPr>
          <w:rStyle w:val="Appelnotedebasdep"/>
          <w:rFonts w:ascii="Arial" w:hAnsi="Arial" w:cs="Arial"/>
          <w:bCs/>
        </w:rPr>
        <w:footnoteReference w:id="2"/>
      </w:r>
      <w:r w:rsidRPr="0055438F">
        <w:rPr>
          <w:rFonts w:ascii="Arial" w:hAnsi="Arial" w:cs="Arial"/>
          <w:bCs/>
        </w:rPr>
        <w:t xml:space="preserve"> s’est dépréciée de 1,1% en rythme mensuel et </w:t>
      </w:r>
      <w:r w:rsidR="008D7463">
        <w:rPr>
          <w:rFonts w:ascii="Arial" w:hAnsi="Arial" w:cs="Arial"/>
          <w:bCs/>
        </w:rPr>
        <w:t xml:space="preserve">s’est relevée </w:t>
      </w:r>
      <w:r w:rsidRPr="0055438F">
        <w:rPr>
          <w:rFonts w:ascii="Arial" w:hAnsi="Arial" w:cs="Arial"/>
          <w:bCs/>
        </w:rPr>
        <w:t xml:space="preserve">de 7,0% par rapport au mois de janvier 2022. </w:t>
      </w:r>
    </w:p>
    <w:p w14:paraId="2B387C23" w14:textId="77777777" w:rsidR="004B5C75" w:rsidRPr="0055438F" w:rsidRDefault="004B5C75" w:rsidP="004B5C75">
      <w:pPr>
        <w:spacing w:after="0"/>
        <w:ind w:right="1"/>
        <w:jc w:val="both"/>
        <w:rPr>
          <w:rFonts w:ascii="Arial" w:hAnsi="Arial" w:cs="Arial"/>
          <w:bCs/>
        </w:rPr>
      </w:pPr>
      <w:r w:rsidRPr="0055438F">
        <w:rPr>
          <w:rFonts w:ascii="Arial" w:hAnsi="Arial" w:cs="Arial"/>
          <w:bCs/>
        </w:rPr>
        <w:lastRenderedPageBreak/>
        <w:t>Selon l’origine, les prix des produits locaux et importés ont baissé, respectivement, de 2,7% et 0,1% en janvier 2023, comparativement au mois précédent. En variation annuelle, ils se sont accrus, respectivement, de 11,1% et 8,4%.</w:t>
      </w:r>
    </w:p>
    <w:p w14:paraId="49EB5E42" w14:textId="77777777" w:rsidR="006071D4" w:rsidRDefault="006071D4" w:rsidP="00871CA5">
      <w:pPr>
        <w:rPr>
          <w:rFonts w:ascii="Arial" w:hAnsi="Arial" w:cs="Arial"/>
          <w:b/>
          <w:sz w:val="16"/>
          <w:szCs w:val="16"/>
        </w:rPr>
      </w:pPr>
    </w:p>
    <w:p w14:paraId="4A138E37" w14:textId="2C18AE81" w:rsidR="00D41DBC" w:rsidRPr="00871CA5" w:rsidRDefault="00D41DBC" w:rsidP="00871CA5">
      <w:pPr>
        <w:rPr>
          <w:rFonts w:ascii="Arial" w:hAnsi="Arial" w:cs="Arial"/>
          <w:b/>
          <w:sz w:val="16"/>
          <w:szCs w:val="16"/>
        </w:rPr>
      </w:pPr>
      <w:r w:rsidRPr="00871CA5">
        <w:rPr>
          <w:rFonts w:ascii="Arial" w:hAnsi="Arial" w:cs="Arial"/>
          <w:b/>
          <w:sz w:val="16"/>
          <w:szCs w:val="16"/>
        </w:rPr>
        <w:t>Tableau 1: L’Indice global et les 12 fonctions de consommation de l’IHPC (Base 100 en 2014)</w:t>
      </w:r>
    </w:p>
    <w:tbl>
      <w:tblPr>
        <w:tblW w:w="0" w:type="auto"/>
        <w:tblLayout w:type="fixed"/>
        <w:tblCellMar>
          <w:left w:w="70" w:type="dxa"/>
          <w:right w:w="70" w:type="dxa"/>
        </w:tblCellMar>
        <w:tblLook w:val="04A0" w:firstRow="1" w:lastRow="0" w:firstColumn="1" w:lastColumn="0" w:noHBand="0" w:noVBand="1"/>
      </w:tblPr>
      <w:tblGrid>
        <w:gridCol w:w="3261"/>
        <w:gridCol w:w="567"/>
        <w:gridCol w:w="567"/>
        <w:gridCol w:w="567"/>
        <w:gridCol w:w="708"/>
        <w:gridCol w:w="709"/>
        <w:gridCol w:w="567"/>
        <w:gridCol w:w="353"/>
        <w:gridCol w:w="356"/>
        <w:gridCol w:w="709"/>
        <w:gridCol w:w="708"/>
      </w:tblGrid>
      <w:tr w:rsidR="00151923" w:rsidRPr="008D30F6" w14:paraId="66C58FFF" w14:textId="77777777" w:rsidTr="00151923">
        <w:trPr>
          <w:trHeight w:val="330"/>
        </w:trPr>
        <w:tc>
          <w:tcPr>
            <w:tcW w:w="3261" w:type="dxa"/>
            <w:vMerge w:val="restart"/>
            <w:tcBorders>
              <w:top w:val="double" w:sz="6" w:space="0" w:color="auto"/>
              <w:left w:val="nil"/>
              <w:bottom w:val="double" w:sz="6" w:space="0" w:color="000000"/>
              <w:right w:val="nil"/>
            </w:tcBorders>
            <w:shd w:val="clear" w:color="auto" w:fill="auto"/>
            <w:noWrap/>
            <w:vAlign w:val="center"/>
            <w:hideMark/>
          </w:tcPr>
          <w:p w14:paraId="5349E0EC"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Libellés</w:t>
            </w:r>
          </w:p>
        </w:tc>
        <w:tc>
          <w:tcPr>
            <w:tcW w:w="567" w:type="dxa"/>
            <w:tcBorders>
              <w:top w:val="double" w:sz="6" w:space="0" w:color="auto"/>
              <w:left w:val="nil"/>
              <w:bottom w:val="single" w:sz="8" w:space="0" w:color="auto"/>
              <w:right w:val="nil"/>
            </w:tcBorders>
            <w:shd w:val="clear" w:color="auto" w:fill="auto"/>
            <w:noWrap/>
            <w:vAlign w:val="center"/>
            <w:hideMark/>
          </w:tcPr>
          <w:p w14:paraId="5446A5CF"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Poids</w:t>
            </w:r>
          </w:p>
        </w:tc>
        <w:tc>
          <w:tcPr>
            <w:tcW w:w="3471" w:type="dxa"/>
            <w:gridSpan w:val="6"/>
            <w:tcBorders>
              <w:top w:val="double" w:sz="6" w:space="0" w:color="auto"/>
              <w:left w:val="nil"/>
              <w:bottom w:val="single" w:sz="8" w:space="0" w:color="auto"/>
              <w:right w:val="nil"/>
            </w:tcBorders>
            <w:shd w:val="clear" w:color="auto" w:fill="auto"/>
            <w:noWrap/>
            <w:vAlign w:val="center"/>
            <w:hideMark/>
          </w:tcPr>
          <w:p w14:paraId="3553DB81"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 </w:t>
            </w:r>
          </w:p>
        </w:tc>
        <w:tc>
          <w:tcPr>
            <w:tcW w:w="1773" w:type="dxa"/>
            <w:gridSpan w:val="3"/>
            <w:tcBorders>
              <w:top w:val="double" w:sz="6" w:space="0" w:color="auto"/>
              <w:left w:val="nil"/>
              <w:bottom w:val="single" w:sz="8" w:space="0" w:color="auto"/>
              <w:right w:val="nil"/>
            </w:tcBorders>
            <w:shd w:val="clear" w:color="auto" w:fill="auto"/>
            <w:noWrap/>
            <w:vAlign w:val="center"/>
            <w:hideMark/>
          </w:tcPr>
          <w:p w14:paraId="6D18AD84"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Variation sur</w:t>
            </w:r>
          </w:p>
        </w:tc>
      </w:tr>
      <w:tr w:rsidR="00151923" w:rsidRPr="008D30F6" w14:paraId="64F52A5C" w14:textId="77777777" w:rsidTr="00151923">
        <w:trPr>
          <w:trHeight w:val="315"/>
        </w:trPr>
        <w:tc>
          <w:tcPr>
            <w:tcW w:w="3261" w:type="dxa"/>
            <w:vMerge/>
            <w:tcBorders>
              <w:top w:val="double" w:sz="6" w:space="0" w:color="auto"/>
              <w:left w:val="nil"/>
              <w:bottom w:val="double" w:sz="6" w:space="0" w:color="000000"/>
              <w:right w:val="nil"/>
            </w:tcBorders>
            <w:vAlign w:val="center"/>
            <w:hideMark/>
          </w:tcPr>
          <w:p w14:paraId="44320AF8"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p>
        </w:tc>
        <w:tc>
          <w:tcPr>
            <w:tcW w:w="567" w:type="dxa"/>
            <w:tcBorders>
              <w:top w:val="nil"/>
              <w:left w:val="nil"/>
              <w:bottom w:val="double" w:sz="6" w:space="0" w:color="auto"/>
              <w:right w:val="nil"/>
            </w:tcBorders>
            <w:shd w:val="clear" w:color="000000" w:fill="DBE5F1"/>
            <w:noWrap/>
            <w:vAlign w:val="center"/>
            <w:hideMark/>
          </w:tcPr>
          <w:p w14:paraId="4EDBA40F" w14:textId="77777777" w:rsidR="008D30F6" w:rsidRPr="008D30F6" w:rsidRDefault="008D30F6" w:rsidP="008D30F6">
            <w:pPr>
              <w:spacing w:after="0" w:line="240" w:lineRule="auto"/>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val="fr-SN" w:eastAsia="fr-SN"/>
              </w:rPr>
              <w:t> </w:t>
            </w:r>
          </w:p>
        </w:tc>
        <w:tc>
          <w:tcPr>
            <w:tcW w:w="567" w:type="dxa"/>
            <w:tcBorders>
              <w:top w:val="nil"/>
              <w:left w:val="nil"/>
              <w:bottom w:val="double" w:sz="6" w:space="0" w:color="auto"/>
              <w:right w:val="nil"/>
            </w:tcBorders>
            <w:shd w:val="clear" w:color="000000" w:fill="DBE5F1"/>
            <w:noWrap/>
            <w:vAlign w:val="center"/>
            <w:hideMark/>
          </w:tcPr>
          <w:p w14:paraId="5B31B6BA"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jan.22</w:t>
            </w:r>
          </w:p>
        </w:tc>
        <w:tc>
          <w:tcPr>
            <w:tcW w:w="567" w:type="dxa"/>
            <w:tcBorders>
              <w:top w:val="nil"/>
              <w:left w:val="nil"/>
              <w:bottom w:val="double" w:sz="6" w:space="0" w:color="auto"/>
              <w:right w:val="nil"/>
            </w:tcBorders>
            <w:shd w:val="clear" w:color="000000" w:fill="DBE5F1"/>
            <w:noWrap/>
            <w:vAlign w:val="center"/>
            <w:hideMark/>
          </w:tcPr>
          <w:p w14:paraId="1D3BF143"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oct.22</w:t>
            </w:r>
          </w:p>
        </w:tc>
        <w:tc>
          <w:tcPr>
            <w:tcW w:w="708" w:type="dxa"/>
            <w:tcBorders>
              <w:top w:val="nil"/>
              <w:left w:val="nil"/>
              <w:bottom w:val="double" w:sz="6" w:space="0" w:color="auto"/>
              <w:right w:val="nil"/>
            </w:tcBorders>
            <w:shd w:val="clear" w:color="000000" w:fill="DBE5F1"/>
            <w:noWrap/>
            <w:vAlign w:val="center"/>
            <w:hideMark/>
          </w:tcPr>
          <w:p w14:paraId="1FA35C34"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nov.22</w:t>
            </w:r>
          </w:p>
        </w:tc>
        <w:tc>
          <w:tcPr>
            <w:tcW w:w="709" w:type="dxa"/>
            <w:tcBorders>
              <w:top w:val="nil"/>
              <w:left w:val="nil"/>
              <w:bottom w:val="double" w:sz="6" w:space="0" w:color="auto"/>
              <w:right w:val="nil"/>
            </w:tcBorders>
            <w:shd w:val="clear" w:color="000000" w:fill="DBE5F1"/>
            <w:noWrap/>
            <w:vAlign w:val="center"/>
            <w:hideMark/>
          </w:tcPr>
          <w:p w14:paraId="5914E798"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dec.22</w:t>
            </w:r>
          </w:p>
        </w:tc>
        <w:tc>
          <w:tcPr>
            <w:tcW w:w="567" w:type="dxa"/>
            <w:tcBorders>
              <w:top w:val="nil"/>
              <w:left w:val="nil"/>
              <w:bottom w:val="double" w:sz="6" w:space="0" w:color="auto"/>
              <w:right w:val="nil"/>
            </w:tcBorders>
            <w:shd w:val="clear" w:color="000000" w:fill="DBE5F1"/>
            <w:noWrap/>
            <w:vAlign w:val="center"/>
            <w:hideMark/>
          </w:tcPr>
          <w:p w14:paraId="12058E9C"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jan.23</w:t>
            </w:r>
          </w:p>
        </w:tc>
        <w:tc>
          <w:tcPr>
            <w:tcW w:w="709" w:type="dxa"/>
            <w:gridSpan w:val="2"/>
            <w:tcBorders>
              <w:top w:val="nil"/>
              <w:left w:val="nil"/>
              <w:bottom w:val="double" w:sz="6" w:space="0" w:color="auto"/>
              <w:right w:val="nil"/>
            </w:tcBorders>
            <w:shd w:val="clear" w:color="000000" w:fill="DBE5F1"/>
            <w:noWrap/>
            <w:vAlign w:val="center"/>
            <w:hideMark/>
          </w:tcPr>
          <w:p w14:paraId="7A3CA8B9"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 mois</w:t>
            </w:r>
          </w:p>
        </w:tc>
        <w:tc>
          <w:tcPr>
            <w:tcW w:w="709" w:type="dxa"/>
            <w:tcBorders>
              <w:top w:val="nil"/>
              <w:left w:val="nil"/>
              <w:bottom w:val="double" w:sz="6" w:space="0" w:color="auto"/>
              <w:right w:val="nil"/>
            </w:tcBorders>
            <w:shd w:val="clear" w:color="000000" w:fill="DBE5F1"/>
            <w:noWrap/>
            <w:vAlign w:val="center"/>
            <w:hideMark/>
          </w:tcPr>
          <w:p w14:paraId="0421A7F0"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3 mois</w:t>
            </w:r>
          </w:p>
        </w:tc>
        <w:tc>
          <w:tcPr>
            <w:tcW w:w="708" w:type="dxa"/>
            <w:tcBorders>
              <w:top w:val="nil"/>
              <w:left w:val="nil"/>
              <w:bottom w:val="double" w:sz="6" w:space="0" w:color="auto"/>
              <w:right w:val="nil"/>
            </w:tcBorders>
            <w:shd w:val="clear" w:color="000000" w:fill="DBE5F1"/>
            <w:noWrap/>
            <w:vAlign w:val="center"/>
            <w:hideMark/>
          </w:tcPr>
          <w:p w14:paraId="1A3456DD"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12 mois</w:t>
            </w:r>
          </w:p>
        </w:tc>
      </w:tr>
      <w:tr w:rsidR="008D30F6" w:rsidRPr="008D30F6" w14:paraId="2A1C81C0" w14:textId="77777777" w:rsidTr="00151923">
        <w:trPr>
          <w:trHeight w:val="315"/>
        </w:trPr>
        <w:tc>
          <w:tcPr>
            <w:tcW w:w="3261" w:type="dxa"/>
            <w:tcBorders>
              <w:top w:val="nil"/>
              <w:left w:val="nil"/>
              <w:bottom w:val="nil"/>
              <w:right w:val="nil"/>
            </w:tcBorders>
            <w:shd w:val="clear" w:color="auto" w:fill="auto"/>
            <w:noWrap/>
            <w:vAlign w:val="center"/>
            <w:hideMark/>
          </w:tcPr>
          <w:p w14:paraId="2C66EF9A"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Indice global</w:t>
            </w:r>
          </w:p>
        </w:tc>
        <w:tc>
          <w:tcPr>
            <w:tcW w:w="567" w:type="dxa"/>
            <w:tcBorders>
              <w:top w:val="nil"/>
              <w:left w:val="nil"/>
              <w:bottom w:val="nil"/>
              <w:right w:val="nil"/>
            </w:tcBorders>
            <w:shd w:val="clear" w:color="auto" w:fill="auto"/>
            <w:noWrap/>
            <w:vAlign w:val="center"/>
            <w:hideMark/>
          </w:tcPr>
          <w:p w14:paraId="0402BB2B"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10000</w:t>
            </w:r>
          </w:p>
        </w:tc>
        <w:tc>
          <w:tcPr>
            <w:tcW w:w="567" w:type="dxa"/>
            <w:tcBorders>
              <w:top w:val="nil"/>
              <w:left w:val="nil"/>
              <w:bottom w:val="nil"/>
              <w:right w:val="nil"/>
            </w:tcBorders>
            <w:shd w:val="clear" w:color="auto" w:fill="auto"/>
            <w:noWrap/>
            <w:vAlign w:val="center"/>
            <w:hideMark/>
          </w:tcPr>
          <w:p w14:paraId="77D31A63"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112,8</w:t>
            </w:r>
          </w:p>
        </w:tc>
        <w:tc>
          <w:tcPr>
            <w:tcW w:w="567" w:type="dxa"/>
            <w:tcBorders>
              <w:top w:val="nil"/>
              <w:left w:val="nil"/>
              <w:bottom w:val="nil"/>
              <w:right w:val="nil"/>
            </w:tcBorders>
            <w:shd w:val="clear" w:color="auto" w:fill="auto"/>
            <w:noWrap/>
            <w:vAlign w:val="center"/>
            <w:hideMark/>
          </w:tcPr>
          <w:p w14:paraId="78A849E3"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127,9</w:t>
            </w:r>
          </w:p>
        </w:tc>
        <w:tc>
          <w:tcPr>
            <w:tcW w:w="708" w:type="dxa"/>
            <w:tcBorders>
              <w:top w:val="nil"/>
              <w:left w:val="nil"/>
              <w:bottom w:val="nil"/>
              <w:right w:val="nil"/>
            </w:tcBorders>
            <w:shd w:val="clear" w:color="auto" w:fill="auto"/>
            <w:noWrap/>
            <w:vAlign w:val="center"/>
            <w:hideMark/>
          </w:tcPr>
          <w:p w14:paraId="6B278877"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128,2</w:t>
            </w:r>
          </w:p>
        </w:tc>
        <w:tc>
          <w:tcPr>
            <w:tcW w:w="709" w:type="dxa"/>
            <w:tcBorders>
              <w:top w:val="nil"/>
              <w:left w:val="nil"/>
              <w:bottom w:val="nil"/>
              <w:right w:val="nil"/>
            </w:tcBorders>
            <w:shd w:val="clear" w:color="auto" w:fill="auto"/>
            <w:noWrap/>
            <w:vAlign w:val="center"/>
            <w:hideMark/>
          </w:tcPr>
          <w:p w14:paraId="66AB38EF"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126,9</w:t>
            </w:r>
          </w:p>
        </w:tc>
        <w:tc>
          <w:tcPr>
            <w:tcW w:w="567" w:type="dxa"/>
            <w:tcBorders>
              <w:top w:val="nil"/>
              <w:left w:val="nil"/>
              <w:bottom w:val="nil"/>
              <w:right w:val="nil"/>
            </w:tcBorders>
            <w:shd w:val="clear" w:color="auto" w:fill="auto"/>
            <w:noWrap/>
            <w:vAlign w:val="center"/>
            <w:hideMark/>
          </w:tcPr>
          <w:p w14:paraId="51B424D4"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124,7</w:t>
            </w:r>
          </w:p>
        </w:tc>
        <w:tc>
          <w:tcPr>
            <w:tcW w:w="709" w:type="dxa"/>
            <w:gridSpan w:val="2"/>
            <w:tcBorders>
              <w:top w:val="nil"/>
              <w:left w:val="nil"/>
              <w:bottom w:val="nil"/>
              <w:right w:val="nil"/>
            </w:tcBorders>
            <w:shd w:val="clear" w:color="auto" w:fill="auto"/>
            <w:vAlign w:val="center"/>
            <w:hideMark/>
          </w:tcPr>
          <w:p w14:paraId="06F5CA76"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-1,7%</w:t>
            </w:r>
          </w:p>
        </w:tc>
        <w:tc>
          <w:tcPr>
            <w:tcW w:w="709" w:type="dxa"/>
            <w:tcBorders>
              <w:top w:val="nil"/>
              <w:left w:val="nil"/>
              <w:bottom w:val="nil"/>
              <w:right w:val="nil"/>
            </w:tcBorders>
            <w:shd w:val="clear" w:color="auto" w:fill="auto"/>
            <w:vAlign w:val="center"/>
            <w:hideMark/>
          </w:tcPr>
          <w:p w14:paraId="1E64C47F"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-2,5%</w:t>
            </w:r>
          </w:p>
        </w:tc>
        <w:tc>
          <w:tcPr>
            <w:tcW w:w="708" w:type="dxa"/>
            <w:tcBorders>
              <w:top w:val="nil"/>
              <w:left w:val="nil"/>
              <w:bottom w:val="nil"/>
              <w:right w:val="nil"/>
            </w:tcBorders>
            <w:shd w:val="clear" w:color="auto" w:fill="auto"/>
            <w:vAlign w:val="center"/>
            <w:hideMark/>
          </w:tcPr>
          <w:p w14:paraId="1AD2F562"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10,6%</w:t>
            </w:r>
          </w:p>
        </w:tc>
      </w:tr>
      <w:tr w:rsidR="00151923" w:rsidRPr="008D30F6" w14:paraId="0DACB9C6" w14:textId="77777777" w:rsidTr="00151923">
        <w:trPr>
          <w:trHeight w:val="300"/>
        </w:trPr>
        <w:tc>
          <w:tcPr>
            <w:tcW w:w="3261" w:type="dxa"/>
            <w:tcBorders>
              <w:top w:val="nil"/>
              <w:left w:val="nil"/>
              <w:bottom w:val="nil"/>
              <w:right w:val="nil"/>
            </w:tcBorders>
            <w:shd w:val="clear" w:color="000000" w:fill="DBE5F1"/>
            <w:noWrap/>
            <w:vAlign w:val="center"/>
            <w:hideMark/>
          </w:tcPr>
          <w:p w14:paraId="22AA71BA"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   Produits alimentaires et boissons non alcoolisées</w:t>
            </w:r>
          </w:p>
        </w:tc>
        <w:tc>
          <w:tcPr>
            <w:tcW w:w="567" w:type="dxa"/>
            <w:tcBorders>
              <w:top w:val="nil"/>
              <w:left w:val="nil"/>
              <w:bottom w:val="nil"/>
              <w:right w:val="nil"/>
            </w:tcBorders>
            <w:shd w:val="clear" w:color="000000" w:fill="DBE5F1"/>
            <w:noWrap/>
            <w:vAlign w:val="center"/>
            <w:hideMark/>
          </w:tcPr>
          <w:p w14:paraId="7FD9B147"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4964</w:t>
            </w:r>
          </w:p>
        </w:tc>
        <w:tc>
          <w:tcPr>
            <w:tcW w:w="567" w:type="dxa"/>
            <w:tcBorders>
              <w:top w:val="nil"/>
              <w:left w:val="nil"/>
              <w:bottom w:val="nil"/>
              <w:right w:val="nil"/>
            </w:tcBorders>
            <w:shd w:val="clear" w:color="000000" w:fill="DBE5F1"/>
            <w:noWrap/>
            <w:vAlign w:val="center"/>
            <w:hideMark/>
          </w:tcPr>
          <w:p w14:paraId="5D72E049"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121,3</w:t>
            </w:r>
          </w:p>
        </w:tc>
        <w:tc>
          <w:tcPr>
            <w:tcW w:w="567" w:type="dxa"/>
            <w:tcBorders>
              <w:top w:val="nil"/>
              <w:left w:val="nil"/>
              <w:bottom w:val="nil"/>
              <w:right w:val="nil"/>
            </w:tcBorders>
            <w:shd w:val="clear" w:color="000000" w:fill="DBE5F1"/>
            <w:noWrap/>
            <w:vAlign w:val="center"/>
            <w:hideMark/>
          </w:tcPr>
          <w:p w14:paraId="1B133527"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146,5</w:t>
            </w:r>
          </w:p>
        </w:tc>
        <w:tc>
          <w:tcPr>
            <w:tcW w:w="708" w:type="dxa"/>
            <w:tcBorders>
              <w:top w:val="nil"/>
              <w:left w:val="nil"/>
              <w:bottom w:val="nil"/>
              <w:right w:val="nil"/>
            </w:tcBorders>
            <w:shd w:val="clear" w:color="000000" w:fill="DBE5F1"/>
            <w:noWrap/>
            <w:vAlign w:val="center"/>
            <w:hideMark/>
          </w:tcPr>
          <w:p w14:paraId="4AEACA78"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146,3</w:t>
            </w:r>
          </w:p>
        </w:tc>
        <w:tc>
          <w:tcPr>
            <w:tcW w:w="709" w:type="dxa"/>
            <w:tcBorders>
              <w:top w:val="nil"/>
              <w:left w:val="nil"/>
              <w:bottom w:val="nil"/>
              <w:right w:val="nil"/>
            </w:tcBorders>
            <w:shd w:val="clear" w:color="000000" w:fill="DBE5F1"/>
            <w:noWrap/>
            <w:vAlign w:val="center"/>
            <w:hideMark/>
          </w:tcPr>
          <w:p w14:paraId="2C664B5D"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143,3</w:t>
            </w:r>
          </w:p>
        </w:tc>
        <w:tc>
          <w:tcPr>
            <w:tcW w:w="567" w:type="dxa"/>
            <w:tcBorders>
              <w:top w:val="nil"/>
              <w:left w:val="nil"/>
              <w:bottom w:val="nil"/>
              <w:right w:val="nil"/>
            </w:tcBorders>
            <w:shd w:val="clear" w:color="000000" w:fill="DBE5F1"/>
            <w:noWrap/>
            <w:vAlign w:val="center"/>
            <w:hideMark/>
          </w:tcPr>
          <w:p w14:paraId="6B660C98"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137,9</w:t>
            </w:r>
          </w:p>
        </w:tc>
        <w:tc>
          <w:tcPr>
            <w:tcW w:w="709" w:type="dxa"/>
            <w:gridSpan w:val="2"/>
            <w:tcBorders>
              <w:top w:val="nil"/>
              <w:left w:val="nil"/>
              <w:bottom w:val="nil"/>
              <w:right w:val="nil"/>
            </w:tcBorders>
            <w:shd w:val="clear" w:color="000000" w:fill="DDEBF7"/>
            <w:noWrap/>
            <w:vAlign w:val="center"/>
            <w:hideMark/>
          </w:tcPr>
          <w:p w14:paraId="44FE0CF1"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-3,7%</w:t>
            </w:r>
          </w:p>
        </w:tc>
        <w:tc>
          <w:tcPr>
            <w:tcW w:w="709" w:type="dxa"/>
            <w:tcBorders>
              <w:top w:val="nil"/>
              <w:left w:val="nil"/>
              <w:bottom w:val="nil"/>
              <w:right w:val="nil"/>
            </w:tcBorders>
            <w:shd w:val="clear" w:color="000000" w:fill="DDEBF7"/>
            <w:noWrap/>
            <w:vAlign w:val="center"/>
            <w:hideMark/>
          </w:tcPr>
          <w:p w14:paraId="61435EC7"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-5,8%</w:t>
            </w:r>
          </w:p>
        </w:tc>
        <w:tc>
          <w:tcPr>
            <w:tcW w:w="708" w:type="dxa"/>
            <w:tcBorders>
              <w:top w:val="nil"/>
              <w:left w:val="nil"/>
              <w:bottom w:val="nil"/>
              <w:right w:val="nil"/>
            </w:tcBorders>
            <w:shd w:val="clear" w:color="000000" w:fill="DDEBF7"/>
            <w:noWrap/>
            <w:vAlign w:val="center"/>
            <w:hideMark/>
          </w:tcPr>
          <w:p w14:paraId="7097E157"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13,7%</w:t>
            </w:r>
          </w:p>
        </w:tc>
      </w:tr>
      <w:tr w:rsidR="00151923" w:rsidRPr="008D30F6" w14:paraId="06B6D30E" w14:textId="77777777" w:rsidTr="00151923">
        <w:trPr>
          <w:trHeight w:val="300"/>
        </w:trPr>
        <w:tc>
          <w:tcPr>
            <w:tcW w:w="3261" w:type="dxa"/>
            <w:tcBorders>
              <w:top w:val="nil"/>
              <w:left w:val="nil"/>
              <w:bottom w:val="nil"/>
              <w:right w:val="nil"/>
            </w:tcBorders>
            <w:shd w:val="clear" w:color="auto" w:fill="auto"/>
            <w:noWrap/>
            <w:vAlign w:val="center"/>
            <w:hideMark/>
          </w:tcPr>
          <w:p w14:paraId="365F9B73"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2   Boissons alcoolisées, tabac et stupéfiant</w:t>
            </w:r>
          </w:p>
        </w:tc>
        <w:tc>
          <w:tcPr>
            <w:tcW w:w="567" w:type="dxa"/>
            <w:tcBorders>
              <w:top w:val="nil"/>
              <w:left w:val="nil"/>
              <w:bottom w:val="nil"/>
              <w:right w:val="nil"/>
            </w:tcBorders>
            <w:shd w:val="clear" w:color="auto" w:fill="auto"/>
            <w:noWrap/>
            <w:vAlign w:val="center"/>
            <w:hideMark/>
          </w:tcPr>
          <w:p w14:paraId="0CDB5F4D"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49</w:t>
            </w:r>
          </w:p>
        </w:tc>
        <w:tc>
          <w:tcPr>
            <w:tcW w:w="567" w:type="dxa"/>
            <w:tcBorders>
              <w:top w:val="nil"/>
              <w:left w:val="nil"/>
              <w:bottom w:val="nil"/>
              <w:right w:val="nil"/>
            </w:tcBorders>
            <w:shd w:val="clear" w:color="auto" w:fill="auto"/>
            <w:noWrap/>
            <w:vAlign w:val="center"/>
            <w:hideMark/>
          </w:tcPr>
          <w:p w14:paraId="56E3BC4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116,8</w:t>
            </w:r>
          </w:p>
        </w:tc>
        <w:tc>
          <w:tcPr>
            <w:tcW w:w="567" w:type="dxa"/>
            <w:tcBorders>
              <w:top w:val="nil"/>
              <w:left w:val="nil"/>
              <w:bottom w:val="nil"/>
              <w:right w:val="nil"/>
            </w:tcBorders>
            <w:shd w:val="clear" w:color="auto" w:fill="auto"/>
            <w:noWrap/>
            <w:vAlign w:val="center"/>
            <w:hideMark/>
          </w:tcPr>
          <w:p w14:paraId="79B9D4B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121,7</w:t>
            </w:r>
          </w:p>
        </w:tc>
        <w:tc>
          <w:tcPr>
            <w:tcW w:w="708" w:type="dxa"/>
            <w:tcBorders>
              <w:top w:val="nil"/>
              <w:left w:val="nil"/>
              <w:bottom w:val="nil"/>
              <w:right w:val="nil"/>
            </w:tcBorders>
            <w:shd w:val="clear" w:color="auto" w:fill="auto"/>
            <w:noWrap/>
            <w:vAlign w:val="center"/>
            <w:hideMark/>
          </w:tcPr>
          <w:p w14:paraId="6921644A"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121,7</w:t>
            </w:r>
          </w:p>
        </w:tc>
        <w:tc>
          <w:tcPr>
            <w:tcW w:w="709" w:type="dxa"/>
            <w:tcBorders>
              <w:top w:val="nil"/>
              <w:left w:val="nil"/>
              <w:bottom w:val="nil"/>
              <w:right w:val="nil"/>
            </w:tcBorders>
            <w:shd w:val="clear" w:color="auto" w:fill="auto"/>
            <w:noWrap/>
            <w:vAlign w:val="center"/>
            <w:hideMark/>
          </w:tcPr>
          <w:p w14:paraId="41114A91"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121,9</w:t>
            </w:r>
          </w:p>
        </w:tc>
        <w:tc>
          <w:tcPr>
            <w:tcW w:w="567" w:type="dxa"/>
            <w:tcBorders>
              <w:top w:val="nil"/>
              <w:left w:val="nil"/>
              <w:bottom w:val="nil"/>
              <w:right w:val="nil"/>
            </w:tcBorders>
            <w:shd w:val="clear" w:color="auto" w:fill="auto"/>
            <w:noWrap/>
            <w:vAlign w:val="center"/>
            <w:hideMark/>
          </w:tcPr>
          <w:p w14:paraId="4F6674CA"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121,6</w:t>
            </w:r>
          </w:p>
        </w:tc>
        <w:tc>
          <w:tcPr>
            <w:tcW w:w="709" w:type="dxa"/>
            <w:gridSpan w:val="2"/>
            <w:tcBorders>
              <w:top w:val="nil"/>
              <w:left w:val="nil"/>
              <w:bottom w:val="nil"/>
              <w:right w:val="nil"/>
            </w:tcBorders>
            <w:shd w:val="clear" w:color="auto" w:fill="auto"/>
            <w:noWrap/>
            <w:vAlign w:val="center"/>
            <w:hideMark/>
          </w:tcPr>
          <w:p w14:paraId="289B5A9A"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-0,2%</w:t>
            </w:r>
          </w:p>
        </w:tc>
        <w:tc>
          <w:tcPr>
            <w:tcW w:w="709" w:type="dxa"/>
            <w:tcBorders>
              <w:top w:val="nil"/>
              <w:left w:val="nil"/>
              <w:bottom w:val="nil"/>
              <w:right w:val="nil"/>
            </w:tcBorders>
            <w:shd w:val="clear" w:color="auto" w:fill="auto"/>
            <w:noWrap/>
            <w:vAlign w:val="center"/>
            <w:hideMark/>
          </w:tcPr>
          <w:p w14:paraId="6AEF8B07"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-0,1%</w:t>
            </w:r>
          </w:p>
        </w:tc>
        <w:tc>
          <w:tcPr>
            <w:tcW w:w="708" w:type="dxa"/>
            <w:tcBorders>
              <w:top w:val="nil"/>
              <w:left w:val="nil"/>
              <w:bottom w:val="nil"/>
              <w:right w:val="nil"/>
            </w:tcBorders>
            <w:shd w:val="clear" w:color="auto" w:fill="auto"/>
            <w:noWrap/>
            <w:vAlign w:val="center"/>
            <w:hideMark/>
          </w:tcPr>
          <w:p w14:paraId="02B57785"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4,1%</w:t>
            </w:r>
          </w:p>
        </w:tc>
      </w:tr>
      <w:tr w:rsidR="00151923" w:rsidRPr="008D30F6" w14:paraId="24BFD51A" w14:textId="77777777" w:rsidTr="00151923">
        <w:trPr>
          <w:trHeight w:val="300"/>
        </w:trPr>
        <w:tc>
          <w:tcPr>
            <w:tcW w:w="3261" w:type="dxa"/>
            <w:tcBorders>
              <w:top w:val="nil"/>
              <w:left w:val="nil"/>
              <w:bottom w:val="nil"/>
              <w:right w:val="nil"/>
            </w:tcBorders>
            <w:shd w:val="clear" w:color="000000" w:fill="DBE5F1"/>
            <w:noWrap/>
            <w:vAlign w:val="center"/>
            <w:hideMark/>
          </w:tcPr>
          <w:p w14:paraId="2ECB7A3C"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3   Articles d'habillement et chaussures</w:t>
            </w:r>
          </w:p>
        </w:tc>
        <w:tc>
          <w:tcPr>
            <w:tcW w:w="567" w:type="dxa"/>
            <w:tcBorders>
              <w:top w:val="nil"/>
              <w:left w:val="nil"/>
              <w:bottom w:val="nil"/>
              <w:right w:val="nil"/>
            </w:tcBorders>
            <w:shd w:val="clear" w:color="000000" w:fill="DBE5F1"/>
            <w:noWrap/>
            <w:vAlign w:val="center"/>
            <w:hideMark/>
          </w:tcPr>
          <w:p w14:paraId="4F1D1878"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730</w:t>
            </w:r>
          </w:p>
        </w:tc>
        <w:tc>
          <w:tcPr>
            <w:tcW w:w="567" w:type="dxa"/>
            <w:tcBorders>
              <w:top w:val="nil"/>
              <w:left w:val="nil"/>
              <w:bottom w:val="nil"/>
              <w:right w:val="nil"/>
            </w:tcBorders>
            <w:shd w:val="clear" w:color="000000" w:fill="DBE5F1"/>
            <w:noWrap/>
            <w:vAlign w:val="center"/>
            <w:hideMark/>
          </w:tcPr>
          <w:p w14:paraId="2A408588"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104,2</w:t>
            </w:r>
          </w:p>
        </w:tc>
        <w:tc>
          <w:tcPr>
            <w:tcW w:w="567" w:type="dxa"/>
            <w:tcBorders>
              <w:top w:val="nil"/>
              <w:left w:val="nil"/>
              <w:bottom w:val="nil"/>
              <w:right w:val="nil"/>
            </w:tcBorders>
            <w:shd w:val="clear" w:color="000000" w:fill="DBE5F1"/>
            <w:noWrap/>
            <w:vAlign w:val="center"/>
            <w:hideMark/>
          </w:tcPr>
          <w:p w14:paraId="084F6A9B"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108,9</w:t>
            </w:r>
          </w:p>
        </w:tc>
        <w:tc>
          <w:tcPr>
            <w:tcW w:w="708" w:type="dxa"/>
            <w:tcBorders>
              <w:top w:val="nil"/>
              <w:left w:val="nil"/>
              <w:bottom w:val="nil"/>
              <w:right w:val="nil"/>
            </w:tcBorders>
            <w:shd w:val="clear" w:color="000000" w:fill="DBE5F1"/>
            <w:noWrap/>
            <w:vAlign w:val="center"/>
            <w:hideMark/>
          </w:tcPr>
          <w:p w14:paraId="69B978A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109,3</w:t>
            </w:r>
          </w:p>
        </w:tc>
        <w:tc>
          <w:tcPr>
            <w:tcW w:w="709" w:type="dxa"/>
            <w:tcBorders>
              <w:top w:val="nil"/>
              <w:left w:val="nil"/>
              <w:bottom w:val="nil"/>
              <w:right w:val="nil"/>
            </w:tcBorders>
            <w:shd w:val="clear" w:color="000000" w:fill="DBE5F1"/>
            <w:noWrap/>
            <w:vAlign w:val="center"/>
            <w:hideMark/>
          </w:tcPr>
          <w:p w14:paraId="0B55746F"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109,9</w:t>
            </w:r>
          </w:p>
        </w:tc>
        <w:tc>
          <w:tcPr>
            <w:tcW w:w="567" w:type="dxa"/>
            <w:tcBorders>
              <w:top w:val="nil"/>
              <w:left w:val="nil"/>
              <w:bottom w:val="nil"/>
              <w:right w:val="nil"/>
            </w:tcBorders>
            <w:shd w:val="clear" w:color="000000" w:fill="DBE5F1"/>
            <w:noWrap/>
            <w:vAlign w:val="center"/>
            <w:hideMark/>
          </w:tcPr>
          <w:p w14:paraId="686085C9"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109,7</w:t>
            </w:r>
          </w:p>
        </w:tc>
        <w:tc>
          <w:tcPr>
            <w:tcW w:w="709" w:type="dxa"/>
            <w:gridSpan w:val="2"/>
            <w:tcBorders>
              <w:top w:val="nil"/>
              <w:left w:val="nil"/>
              <w:bottom w:val="nil"/>
              <w:right w:val="nil"/>
            </w:tcBorders>
            <w:shd w:val="clear" w:color="000000" w:fill="DDEBF7"/>
            <w:noWrap/>
            <w:vAlign w:val="center"/>
            <w:hideMark/>
          </w:tcPr>
          <w:p w14:paraId="59F96A73"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-0,2%</w:t>
            </w:r>
          </w:p>
        </w:tc>
        <w:tc>
          <w:tcPr>
            <w:tcW w:w="709" w:type="dxa"/>
            <w:tcBorders>
              <w:top w:val="nil"/>
              <w:left w:val="nil"/>
              <w:bottom w:val="nil"/>
              <w:right w:val="nil"/>
            </w:tcBorders>
            <w:shd w:val="clear" w:color="000000" w:fill="DDEBF7"/>
            <w:noWrap/>
            <w:vAlign w:val="center"/>
            <w:hideMark/>
          </w:tcPr>
          <w:p w14:paraId="5075B656"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0,7%</w:t>
            </w:r>
          </w:p>
        </w:tc>
        <w:tc>
          <w:tcPr>
            <w:tcW w:w="708" w:type="dxa"/>
            <w:tcBorders>
              <w:top w:val="nil"/>
              <w:left w:val="nil"/>
              <w:bottom w:val="nil"/>
              <w:right w:val="nil"/>
            </w:tcBorders>
            <w:shd w:val="clear" w:color="000000" w:fill="DDEBF7"/>
            <w:noWrap/>
            <w:vAlign w:val="center"/>
            <w:hideMark/>
          </w:tcPr>
          <w:p w14:paraId="4EE0E50C"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5,3%</w:t>
            </w:r>
          </w:p>
        </w:tc>
      </w:tr>
      <w:tr w:rsidR="00151923" w:rsidRPr="008D30F6" w14:paraId="7F93365F" w14:textId="77777777" w:rsidTr="00151923">
        <w:trPr>
          <w:trHeight w:val="300"/>
        </w:trPr>
        <w:tc>
          <w:tcPr>
            <w:tcW w:w="3261" w:type="dxa"/>
            <w:tcBorders>
              <w:top w:val="nil"/>
              <w:left w:val="nil"/>
              <w:bottom w:val="nil"/>
              <w:right w:val="nil"/>
            </w:tcBorders>
            <w:shd w:val="clear" w:color="auto" w:fill="auto"/>
            <w:noWrap/>
            <w:vAlign w:val="center"/>
            <w:hideMark/>
          </w:tcPr>
          <w:p w14:paraId="6E5F14D1"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4   Logement, eau, électricité, gaz et autres combustibles</w:t>
            </w:r>
          </w:p>
        </w:tc>
        <w:tc>
          <w:tcPr>
            <w:tcW w:w="567" w:type="dxa"/>
            <w:tcBorders>
              <w:top w:val="nil"/>
              <w:left w:val="nil"/>
              <w:bottom w:val="nil"/>
              <w:right w:val="nil"/>
            </w:tcBorders>
            <w:shd w:val="clear" w:color="auto" w:fill="auto"/>
            <w:noWrap/>
            <w:vAlign w:val="center"/>
            <w:hideMark/>
          </w:tcPr>
          <w:p w14:paraId="50AE95FA"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1204</w:t>
            </w:r>
          </w:p>
        </w:tc>
        <w:tc>
          <w:tcPr>
            <w:tcW w:w="567" w:type="dxa"/>
            <w:tcBorders>
              <w:top w:val="nil"/>
              <w:left w:val="nil"/>
              <w:bottom w:val="nil"/>
              <w:right w:val="nil"/>
            </w:tcBorders>
            <w:shd w:val="clear" w:color="auto" w:fill="auto"/>
            <w:noWrap/>
            <w:vAlign w:val="center"/>
            <w:hideMark/>
          </w:tcPr>
          <w:p w14:paraId="54BC81FE"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102,4</w:t>
            </w:r>
          </w:p>
        </w:tc>
        <w:tc>
          <w:tcPr>
            <w:tcW w:w="567" w:type="dxa"/>
            <w:tcBorders>
              <w:top w:val="nil"/>
              <w:left w:val="nil"/>
              <w:bottom w:val="nil"/>
              <w:right w:val="nil"/>
            </w:tcBorders>
            <w:shd w:val="clear" w:color="auto" w:fill="auto"/>
            <w:noWrap/>
            <w:vAlign w:val="center"/>
            <w:hideMark/>
          </w:tcPr>
          <w:p w14:paraId="5ED3D5DF"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107,8</w:t>
            </w:r>
          </w:p>
        </w:tc>
        <w:tc>
          <w:tcPr>
            <w:tcW w:w="708" w:type="dxa"/>
            <w:tcBorders>
              <w:top w:val="nil"/>
              <w:left w:val="nil"/>
              <w:bottom w:val="nil"/>
              <w:right w:val="nil"/>
            </w:tcBorders>
            <w:shd w:val="clear" w:color="auto" w:fill="auto"/>
            <w:noWrap/>
            <w:vAlign w:val="center"/>
            <w:hideMark/>
          </w:tcPr>
          <w:p w14:paraId="7FC0BBBA"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108,6</w:t>
            </w:r>
          </w:p>
        </w:tc>
        <w:tc>
          <w:tcPr>
            <w:tcW w:w="709" w:type="dxa"/>
            <w:tcBorders>
              <w:top w:val="nil"/>
              <w:left w:val="nil"/>
              <w:bottom w:val="nil"/>
              <w:right w:val="nil"/>
            </w:tcBorders>
            <w:shd w:val="clear" w:color="auto" w:fill="auto"/>
            <w:noWrap/>
            <w:vAlign w:val="center"/>
            <w:hideMark/>
          </w:tcPr>
          <w:p w14:paraId="1FEEC81B"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108,8</w:t>
            </w:r>
          </w:p>
        </w:tc>
        <w:tc>
          <w:tcPr>
            <w:tcW w:w="567" w:type="dxa"/>
            <w:tcBorders>
              <w:top w:val="nil"/>
              <w:left w:val="nil"/>
              <w:bottom w:val="nil"/>
              <w:right w:val="nil"/>
            </w:tcBorders>
            <w:shd w:val="clear" w:color="auto" w:fill="auto"/>
            <w:noWrap/>
            <w:vAlign w:val="center"/>
            <w:hideMark/>
          </w:tcPr>
          <w:p w14:paraId="267F7F43"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111,3</w:t>
            </w:r>
          </w:p>
        </w:tc>
        <w:tc>
          <w:tcPr>
            <w:tcW w:w="709" w:type="dxa"/>
            <w:gridSpan w:val="2"/>
            <w:tcBorders>
              <w:top w:val="nil"/>
              <w:left w:val="nil"/>
              <w:bottom w:val="nil"/>
              <w:right w:val="nil"/>
            </w:tcBorders>
            <w:shd w:val="clear" w:color="auto" w:fill="auto"/>
            <w:noWrap/>
            <w:vAlign w:val="center"/>
            <w:hideMark/>
          </w:tcPr>
          <w:p w14:paraId="044203D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2,3%</w:t>
            </w:r>
          </w:p>
        </w:tc>
        <w:tc>
          <w:tcPr>
            <w:tcW w:w="709" w:type="dxa"/>
            <w:tcBorders>
              <w:top w:val="nil"/>
              <w:left w:val="nil"/>
              <w:bottom w:val="nil"/>
              <w:right w:val="nil"/>
            </w:tcBorders>
            <w:shd w:val="clear" w:color="auto" w:fill="auto"/>
            <w:noWrap/>
            <w:vAlign w:val="center"/>
            <w:hideMark/>
          </w:tcPr>
          <w:p w14:paraId="7398E733"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3,2%</w:t>
            </w:r>
          </w:p>
        </w:tc>
        <w:tc>
          <w:tcPr>
            <w:tcW w:w="708" w:type="dxa"/>
            <w:tcBorders>
              <w:top w:val="nil"/>
              <w:left w:val="nil"/>
              <w:bottom w:val="nil"/>
              <w:right w:val="nil"/>
            </w:tcBorders>
            <w:shd w:val="clear" w:color="auto" w:fill="auto"/>
            <w:noWrap/>
            <w:vAlign w:val="center"/>
            <w:hideMark/>
          </w:tcPr>
          <w:p w14:paraId="4BEA88E9"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8,7%</w:t>
            </w:r>
          </w:p>
        </w:tc>
      </w:tr>
      <w:tr w:rsidR="00151923" w:rsidRPr="008D30F6" w14:paraId="2488FC42" w14:textId="77777777" w:rsidTr="00151923">
        <w:trPr>
          <w:trHeight w:val="300"/>
        </w:trPr>
        <w:tc>
          <w:tcPr>
            <w:tcW w:w="3261" w:type="dxa"/>
            <w:tcBorders>
              <w:top w:val="nil"/>
              <w:left w:val="nil"/>
              <w:bottom w:val="nil"/>
              <w:right w:val="nil"/>
            </w:tcBorders>
            <w:shd w:val="clear" w:color="000000" w:fill="DBE5F1"/>
            <w:noWrap/>
            <w:vAlign w:val="center"/>
            <w:hideMark/>
          </w:tcPr>
          <w:p w14:paraId="4D99D1A6"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5   Meubles, articles de ménages et entretien courant du foyer</w:t>
            </w:r>
          </w:p>
        </w:tc>
        <w:tc>
          <w:tcPr>
            <w:tcW w:w="567" w:type="dxa"/>
            <w:tcBorders>
              <w:top w:val="nil"/>
              <w:left w:val="nil"/>
              <w:bottom w:val="nil"/>
              <w:right w:val="nil"/>
            </w:tcBorders>
            <w:shd w:val="clear" w:color="000000" w:fill="DBE5F1"/>
            <w:noWrap/>
            <w:vAlign w:val="center"/>
            <w:hideMark/>
          </w:tcPr>
          <w:p w14:paraId="210C9FF4"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502</w:t>
            </w:r>
          </w:p>
        </w:tc>
        <w:tc>
          <w:tcPr>
            <w:tcW w:w="567" w:type="dxa"/>
            <w:tcBorders>
              <w:top w:val="nil"/>
              <w:left w:val="nil"/>
              <w:bottom w:val="nil"/>
              <w:right w:val="nil"/>
            </w:tcBorders>
            <w:shd w:val="clear" w:color="000000" w:fill="DBE5F1"/>
            <w:noWrap/>
            <w:vAlign w:val="center"/>
            <w:hideMark/>
          </w:tcPr>
          <w:p w14:paraId="7C611486"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109,6</w:t>
            </w:r>
          </w:p>
        </w:tc>
        <w:tc>
          <w:tcPr>
            <w:tcW w:w="567" w:type="dxa"/>
            <w:tcBorders>
              <w:top w:val="nil"/>
              <w:left w:val="nil"/>
              <w:bottom w:val="nil"/>
              <w:right w:val="nil"/>
            </w:tcBorders>
            <w:shd w:val="clear" w:color="000000" w:fill="DBE5F1"/>
            <w:noWrap/>
            <w:vAlign w:val="center"/>
            <w:hideMark/>
          </w:tcPr>
          <w:p w14:paraId="335D646C"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114,3</w:t>
            </w:r>
          </w:p>
        </w:tc>
        <w:tc>
          <w:tcPr>
            <w:tcW w:w="708" w:type="dxa"/>
            <w:tcBorders>
              <w:top w:val="nil"/>
              <w:left w:val="nil"/>
              <w:bottom w:val="nil"/>
              <w:right w:val="nil"/>
            </w:tcBorders>
            <w:shd w:val="clear" w:color="000000" w:fill="DBE5F1"/>
            <w:noWrap/>
            <w:vAlign w:val="center"/>
            <w:hideMark/>
          </w:tcPr>
          <w:p w14:paraId="20E253EF"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115,2</w:t>
            </w:r>
          </w:p>
        </w:tc>
        <w:tc>
          <w:tcPr>
            <w:tcW w:w="709" w:type="dxa"/>
            <w:tcBorders>
              <w:top w:val="nil"/>
              <w:left w:val="nil"/>
              <w:bottom w:val="nil"/>
              <w:right w:val="nil"/>
            </w:tcBorders>
            <w:shd w:val="clear" w:color="000000" w:fill="DBE5F1"/>
            <w:noWrap/>
            <w:vAlign w:val="center"/>
            <w:hideMark/>
          </w:tcPr>
          <w:p w14:paraId="25BAC35B"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115,5</w:t>
            </w:r>
          </w:p>
        </w:tc>
        <w:tc>
          <w:tcPr>
            <w:tcW w:w="567" w:type="dxa"/>
            <w:tcBorders>
              <w:top w:val="nil"/>
              <w:left w:val="nil"/>
              <w:bottom w:val="nil"/>
              <w:right w:val="nil"/>
            </w:tcBorders>
            <w:shd w:val="clear" w:color="000000" w:fill="DBE5F1"/>
            <w:noWrap/>
            <w:vAlign w:val="center"/>
            <w:hideMark/>
          </w:tcPr>
          <w:p w14:paraId="08E53122"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115,7</w:t>
            </w:r>
          </w:p>
        </w:tc>
        <w:tc>
          <w:tcPr>
            <w:tcW w:w="709" w:type="dxa"/>
            <w:gridSpan w:val="2"/>
            <w:tcBorders>
              <w:top w:val="nil"/>
              <w:left w:val="nil"/>
              <w:bottom w:val="nil"/>
              <w:right w:val="nil"/>
            </w:tcBorders>
            <w:shd w:val="clear" w:color="000000" w:fill="DDEBF7"/>
            <w:noWrap/>
            <w:vAlign w:val="center"/>
            <w:hideMark/>
          </w:tcPr>
          <w:p w14:paraId="5B9AAC3B"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0,1%</w:t>
            </w:r>
          </w:p>
        </w:tc>
        <w:tc>
          <w:tcPr>
            <w:tcW w:w="709" w:type="dxa"/>
            <w:tcBorders>
              <w:top w:val="nil"/>
              <w:left w:val="nil"/>
              <w:bottom w:val="nil"/>
              <w:right w:val="nil"/>
            </w:tcBorders>
            <w:shd w:val="clear" w:color="000000" w:fill="DDEBF7"/>
            <w:noWrap/>
            <w:vAlign w:val="center"/>
            <w:hideMark/>
          </w:tcPr>
          <w:p w14:paraId="57CE4D31"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1,2%</w:t>
            </w:r>
          </w:p>
        </w:tc>
        <w:tc>
          <w:tcPr>
            <w:tcW w:w="708" w:type="dxa"/>
            <w:tcBorders>
              <w:top w:val="nil"/>
              <w:left w:val="nil"/>
              <w:bottom w:val="nil"/>
              <w:right w:val="nil"/>
            </w:tcBorders>
            <w:shd w:val="clear" w:color="000000" w:fill="DDEBF7"/>
            <w:noWrap/>
            <w:vAlign w:val="center"/>
            <w:hideMark/>
          </w:tcPr>
          <w:p w14:paraId="20743103"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5,6%</w:t>
            </w:r>
          </w:p>
        </w:tc>
      </w:tr>
      <w:tr w:rsidR="00151923" w:rsidRPr="008D30F6" w14:paraId="1DF96AA2" w14:textId="77777777" w:rsidTr="00151923">
        <w:trPr>
          <w:trHeight w:val="300"/>
        </w:trPr>
        <w:tc>
          <w:tcPr>
            <w:tcW w:w="3261" w:type="dxa"/>
            <w:tcBorders>
              <w:top w:val="nil"/>
              <w:left w:val="nil"/>
              <w:bottom w:val="nil"/>
              <w:right w:val="nil"/>
            </w:tcBorders>
            <w:shd w:val="clear" w:color="auto" w:fill="auto"/>
            <w:noWrap/>
            <w:vAlign w:val="center"/>
            <w:hideMark/>
          </w:tcPr>
          <w:p w14:paraId="36424459"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6   Santé</w:t>
            </w:r>
          </w:p>
        </w:tc>
        <w:tc>
          <w:tcPr>
            <w:tcW w:w="567" w:type="dxa"/>
            <w:tcBorders>
              <w:top w:val="nil"/>
              <w:left w:val="nil"/>
              <w:bottom w:val="nil"/>
              <w:right w:val="nil"/>
            </w:tcBorders>
            <w:shd w:val="clear" w:color="auto" w:fill="auto"/>
            <w:noWrap/>
            <w:vAlign w:val="center"/>
            <w:hideMark/>
          </w:tcPr>
          <w:p w14:paraId="2744D20A"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353</w:t>
            </w:r>
          </w:p>
        </w:tc>
        <w:tc>
          <w:tcPr>
            <w:tcW w:w="567" w:type="dxa"/>
            <w:tcBorders>
              <w:top w:val="nil"/>
              <w:left w:val="nil"/>
              <w:bottom w:val="nil"/>
              <w:right w:val="nil"/>
            </w:tcBorders>
            <w:shd w:val="clear" w:color="auto" w:fill="auto"/>
            <w:noWrap/>
            <w:vAlign w:val="center"/>
            <w:hideMark/>
          </w:tcPr>
          <w:p w14:paraId="163A9CF5"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109,2</w:t>
            </w:r>
          </w:p>
        </w:tc>
        <w:tc>
          <w:tcPr>
            <w:tcW w:w="567" w:type="dxa"/>
            <w:tcBorders>
              <w:top w:val="nil"/>
              <w:left w:val="nil"/>
              <w:bottom w:val="nil"/>
              <w:right w:val="nil"/>
            </w:tcBorders>
            <w:shd w:val="clear" w:color="auto" w:fill="auto"/>
            <w:noWrap/>
            <w:vAlign w:val="center"/>
            <w:hideMark/>
          </w:tcPr>
          <w:p w14:paraId="61A415E1"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111,6</w:t>
            </w:r>
          </w:p>
        </w:tc>
        <w:tc>
          <w:tcPr>
            <w:tcW w:w="708" w:type="dxa"/>
            <w:tcBorders>
              <w:top w:val="nil"/>
              <w:left w:val="nil"/>
              <w:bottom w:val="nil"/>
              <w:right w:val="nil"/>
            </w:tcBorders>
            <w:shd w:val="clear" w:color="auto" w:fill="auto"/>
            <w:noWrap/>
            <w:vAlign w:val="center"/>
            <w:hideMark/>
          </w:tcPr>
          <w:p w14:paraId="6EE83F63"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111,8</w:t>
            </w:r>
          </w:p>
        </w:tc>
        <w:tc>
          <w:tcPr>
            <w:tcW w:w="709" w:type="dxa"/>
            <w:tcBorders>
              <w:top w:val="nil"/>
              <w:left w:val="nil"/>
              <w:bottom w:val="nil"/>
              <w:right w:val="nil"/>
            </w:tcBorders>
            <w:shd w:val="clear" w:color="auto" w:fill="auto"/>
            <w:noWrap/>
            <w:vAlign w:val="center"/>
            <w:hideMark/>
          </w:tcPr>
          <w:p w14:paraId="5ED4B352"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112,6</w:t>
            </w:r>
          </w:p>
        </w:tc>
        <w:tc>
          <w:tcPr>
            <w:tcW w:w="567" w:type="dxa"/>
            <w:tcBorders>
              <w:top w:val="nil"/>
              <w:left w:val="nil"/>
              <w:bottom w:val="nil"/>
              <w:right w:val="nil"/>
            </w:tcBorders>
            <w:shd w:val="clear" w:color="auto" w:fill="auto"/>
            <w:noWrap/>
            <w:vAlign w:val="center"/>
            <w:hideMark/>
          </w:tcPr>
          <w:p w14:paraId="20F04275"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112,3</w:t>
            </w:r>
          </w:p>
        </w:tc>
        <w:tc>
          <w:tcPr>
            <w:tcW w:w="709" w:type="dxa"/>
            <w:gridSpan w:val="2"/>
            <w:tcBorders>
              <w:top w:val="nil"/>
              <w:left w:val="nil"/>
              <w:bottom w:val="nil"/>
              <w:right w:val="nil"/>
            </w:tcBorders>
            <w:shd w:val="clear" w:color="auto" w:fill="auto"/>
            <w:noWrap/>
            <w:vAlign w:val="center"/>
            <w:hideMark/>
          </w:tcPr>
          <w:p w14:paraId="3C324B09"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-0,2%</w:t>
            </w:r>
          </w:p>
        </w:tc>
        <w:tc>
          <w:tcPr>
            <w:tcW w:w="709" w:type="dxa"/>
            <w:tcBorders>
              <w:top w:val="nil"/>
              <w:left w:val="nil"/>
              <w:bottom w:val="nil"/>
              <w:right w:val="nil"/>
            </w:tcBorders>
            <w:shd w:val="clear" w:color="auto" w:fill="auto"/>
            <w:noWrap/>
            <w:vAlign w:val="center"/>
            <w:hideMark/>
          </w:tcPr>
          <w:p w14:paraId="70756B83"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0,6%</w:t>
            </w:r>
          </w:p>
        </w:tc>
        <w:tc>
          <w:tcPr>
            <w:tcW w:w="708" w:type="dxa"/>
            <w:tcBorders>
              <w:top w:val="nil"/>
              <w:left w:val="nil"/>
              <w:bottom w:val="nil"/>
              <w:right w:val="nil"/>
            </w:tcBorders>
            <w:shd w:val="clear" w:color="auto" w:fill="auto"/>
            <w:noWrap/>
            <w:vAlign w:val="center"/>
            <w:hideMark/>
          </w:tcPr>
          <w:p w14:paraId="63AA7939"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2,9%</w:t>
            </w:r>
          </w:p>
        </w:tc>
      </w:tr>
      <w:tr w:rsidR="00151923" w:rsidRPr="008D30F6" w14:paraId="014494BE" w14:textId="77777777" w:rsidTr="00151923">
        <w:trPr>
          <w:trHeight w:val="300"/>
        </w:trPr>
        <w:tc>
          <w:tcPr>
            <w:tcW w:w="3261" w:type="dxa"/>
            <w:tcBorders>
              <w:top w:val="nil"/>
              <w:left w:val="nil"/>
              <w:bottom w:val="nil"/>
              <w:right w:val="nil"/>
            </w:tcBorders>
            <w:shd w:val="clear" w:color="000000" w:fill="DBE5F1"/>
            <w:noWrap/>
            <w:vAlign w:val="center"/>
            <w:hideMark/>
          </w:tcPr>
          <w:p w14:paraId="047C840D"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7   Transports</w:t>
            </w:r>
          </w:p>
        </w:tc>
        <w:tc>
          <w:tcPr>
            <w:tcW w:w="567" w:type="dxa"/>
            <w:tcBorders>
              <w:top w:val="nil"/>
              <w:left w:val="nil"/>
              <w:bottom w:val="nil"/>
              <w:right w:val="nil"/>
            </w:tcBorders>
            <w:shd w:val="clear" w:color="000000" w:fill="DBE5F1"/>
            <w:noWrap/>
            <w:vAlign w:val="center"/>
            <w:hideMark/>
          </w:tcPr>
          <w:p w14:paraId="37E286DE"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563</w:t>
            </w:r>
          </w:p>
        </w:tc>
        <w:tc>
          <w:tcPr>
            <w:tcW w:w="567" w:type="dxa"/>
            <w:tcBorders>
              <w:top w:val="nil"/>
              <w:left w:val="nil"/>
              <w:bottom w:val="nil"/>
              <w:right w:val="nil"/>
            </w:tcBorders>
            <w:shd w:val="clear" w:color="000000" w:fill="DBE5F1"/>
            <w:noWrap/>
            <w:vAlign w:val="center"/>
            <w:hideMark/>
          </w:tcPr>
          <w:p w14:paraId="085CC992"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106,6</w:t>
            </w:r>
          </w:p>
        </w:tc>
        <w:tc>
          <w:tcPr>
            <w:tcW w:w="567" w:type="dxa"/>
            <w:tcBorders>
              <w:top w:val="nil"/>
              <w:left w:val="nil"/>
              <w:bottom w:val="nil"/>
              <w:right w:val="nil"/>
            </w:tcBorders>
            <w:shd w:val="clear" w:color="000000" w:fill="DBE5F1"/>
            <w:noWrap/>
            <w:vAlign w:val="center"/>
            <w:hideMark/>
          </w:tcPr>
          <w:p w14:paraId="6AAD8E2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108,5</w:t>
            </w:r>
          </w:p>
        </w:tc>
        <w:tc>
          <w:tcPr>
            <w:tcW w:w="708" w:type="dxa"/>
            <w:tcBorders>
              <w:top w:val="nil"/>
              <w:left w:val="nil"/>
              <w:bottom w:val="nil"/>
              <w:right w:val="nil"/>
            </w:tcBorders>
            <w:shd w:val="clear" w:color="000000" w:fill="DBE5F1"/>
            <w:noWrap/>
            <w:vAlign w:val="center"/>
            <w:hideMark/>
          </w:tcPr>
          <w:p w14:paraId="1F324249"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108,8</w:t>
            </w:r>
          </w:p>
        </w:tc>
        <w:tc>
          <w:tcPr>
            <w:tcW w:w="709" w:type="dxa"/>
            <w:tcBorders>
              <w:top w:val="nil"/>
              <w:left w:val="nil"/>
              <w:bottom w:val="nil"/>
              <w:right w:val="nil"/>
            </w:tcBorders>
            <w:shd w:val="clear" w:color="000000" w:fill="DBE5F1"/>
            <w:noWrap/>
            <w:vAlign w:val="center"/>
            <w:hideMark/>
          </w:tcPr>
          <w:p w14:paraId="6625AA22"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109</w:t>
            </w:r>
          </w:p>
        </w:tc>
        <w:tc>
          <w:tcPr>
            <w:tcW w:w="567" w:type="dxa"/>
            <w:tcBorders>
              <w:top w:val="nil"/>
              <w:left w:val="nil"/>
              <w:bottom w:val="nil"/>
              <w:right w:val="nil"/>
            </w:tcBorders>
            <w:shd w:val="clear" w:color="000000" w:fill="DBE5F1"/>
            <w:noWrap/>
            <w:vAlign w:val="center"/>
            <w:hideMark/>
          </w:tcPr>
          <w:p w14:paraId="4DFCBC5B"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111,3</w:t>
            </w:r>
          </w:p>
        </w:tc>
        <w:tc>
          <w:tcPr>
            <w:tcW w:w="709" w:type="dxa"/>
            <w:gridSpan w:val="2"/>
            <w:tcBorders>
              <w:top w:val="nil"/>
              <w:left w:val="nil"/>
              <w:bottom w:val="nil"/>
              <w:right w:val="nil"/>
            </w:tcBorders>
            <w:shd w:val="clear" w:color="000000" w:fill="DDEBF7"/>
            <w:noWrap/>
            <w:vAlign w:val="center"/>
            <w:hideMark/>
          </w:tcPr>
          <w:p w14:paraId="73D2DF6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2,1%</w:t>
            </w:r>
          </w:p>
        </w:tc>
        <w:tc>
          <w:tcPr>
            <w:tcW w:w="709" w:type="dxa"/>
            <w:tcBorders>
              <w:top w:val="nil"/>
              <w:left w:val="nil"/>
              <w:bottom w:val="nil"/>
              <w:right w:val="nil"/>
            </w:tcBorders>
            <w:shd w:val="clear" w:color="000000" w:fill="DDEBF7"/>
            <w:noWrap/>
            <w:vAlign w:val="center"/>
            <w:hideMark/>
          </w:tcPr>
          <w:p w14:paraId="7BD04A6D"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2,5%</w:t>
            </w:r>
          </w:p>
        </w:tc>
        <w:tc>
          <w:tcPr>
            <w:tcW w:w="708" w:type="dxa"/>
            <w:tcBorders>
              <w:top w:val="nil"/>
              <w:left w:val="nil"/>
              <w:bottom w:val="nil"/>
              <w:right w:val="nil"/>
            </w:tcBorders>
            <w:shd w:val="clear" w:color="000000" w:fill="DDEBF7"/>
            <w:noWrap/>
            <w:vAlign w:val="center"/>
            <w:hideMark/>
          </w:tcPr>
          <w:p w14:paraId="00C42ED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4,3%</w:t>
            </w:r>
          </w:p>
        </w:tc>
      </w:tr>
      <w:tr w:rsidR="00151923" w:rsidRPr="008D30F6" w14:paraId="3AB33078" w14:textId="77777777" w:rsidTr="00151923">
        <w:trPr>
          <w:trHeight w:val="300"/>
        </w:trPr>
        <w:tc>
          <w:tcPr>
            <w:tcW w:w="3261" w:type="dxa"/>
            <w:tcBorders>
              <w:top w:val="nil"/>
              <w:left w:val="nil"/>
              <w:bottom w:val="nil"/>
              <w:right w:val="nil"/>
            </w:tcBorders>
            <w:shd w:val="clear" w:color="auto" w:fill="auto"/>
            <w:noWrap/>
            <w:vAlign w:val="center"/>
            <w:hideMark/>
          </w:tcPr>
          <w:p w14:paraId="3F0AF2D3"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8   Communication</w:t>
            </w:r>
          </w:p>
        </w:tc>
        <w:tc>
          <w:tcPr>
            <w:tcW w:w="567" w:type="dxa"/>
            <w:tcBorders>
              <w:top w:val="nil"/>
              <w:left w:val="nil"/>
              <w:bottom w:val="nil"/>
              <w:right w:val="nil"/>
            </w:tcBorders>
            <w:shd w:val="clear" w:color="auto" w:fill="auto"/>
            <w:noWrap/>
            <w:vAlign w:val="center"/>
            <w:hideMark/>
          </w:tcPr>
          <w:p w14:paraId="221257AA"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329</w:t>
            </w:r>
          </w:p>
        </w:tc>
        <w:tc>
          <w:tcPr>
            <w:tcW w:w="567" w:type="dxa"/>
            <w:tcBorders>
              <w:top w:val="nil"/>
              <w:left w:val="nil"/>
              <w:bottom w:val="nil"/>
              <w:right w:val="nil"/>
            </w:tcBorders>
            <w:shd w:val="clear" w:color="auto" w:fill="auto"/>
            <w:noWrap/>
            <w:vAlign w:val="center"/>
            <w:hideMark/>
          </w:tcPr>
          <w:p w14:paraId="34B9D92B"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82,2</w:t>
            </w:r>
          </w:p>
        </w:tc>
        <w:tc>
          <w:tcPr>
            <w:tcW w:w="567" w:type="dxa"/>
            <w:tcBorders>
              <w:top w:val="nil"/>
              <w:left w:val="nil"/>
              <w:bottom w:val="nil"/>
              <w:right w:val="nil"/>
            </w:tcBorders>
            <w:shd w:val="clear" w:color="auto" w:fill="auto"/>
            <w:noWrap/>
            <w:vAlign w:val="center"/>
            <w:hideMark/>
          </w:tcPr>
          <w:p w14:paraId="58CD1A3D"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87,8</w:t>
            </w:r>
          </w:p>
        </w:tc>
        <w:tc>
          <w:tcPr>
            <w:tcW w:w="708" w:type="dxa"/>
            <w:tcBorders>
              <w:top w:val="nil"/>
              <w:left w:val="nil"/>
              <w:bottom w:val="nil"/>
              <w:right w:val="nil"/>
            </w:tcBorders>
            <w:shd w:val="clear" w:color="auto" w:fill="auto"/>
            <w:noWrap/>
            <w:vAlign w:val="center"/>
            <w:hideMark/>
          </w:tcPr>
          <w:p w14:paraId="4F748B46"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88,9</w:t>
            </w:r>
          </w:p>
        </w:tc>
        <w:tc>
          <w:tcPr>
            <w:tcW w:w="709" w:type="dxa"/>
            <w:tcBorders>
              <w:top w:val="nil"/>
              <w:left w:val="nil"/>
              <w:bottom w:val="nil"/>
              <w:right w:val="nil"/>
            </w:tcBorders>
            <w:shd w:val="clear" w:color="auto" w:fill="auto"/>
            <w:noWrap/>
            <w:vAlign w:val="center"/>
            <w:hideMark/>
          </w:tcPr>
          <w:p w14:paraId="450FD299"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88,8</w:t>
            </w:r>
          </w:p>
        </w:tc>
        <w:tc>
          <w:tcPr>
            <w:tcW w:w="567" w:type="dxa"/>
            <w:tcBorders>
              <w:top w:val="nil"/>
              <w:left w:val="nil"/>
              <w:bottom w:val="nil"/>
              <w:right w:val="nil"/>
            </w:tcBorders>
            <w:shd w:val="clear" w:color="auto" w:fill="auto"/>
            <w:noWrap/>
            <w:vAlign w:val="center"/>
            <w:hideMark/>
          </w:tcPr>
          <w:p w14:paraId="0B0F0D14"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88,8</w:t>
            </w:r>
          </w:p>
        </w:tc>
        <w:tc>
          <w:tcPr>
            <w:tcW w:w="709" w:type="dxa"/>
            <w:gridSpan w:val="2"/>
            <w:tcBorders>
              <w:top w:val="nil"/>
              <w:left w:val="nil"/>
              <w:bottom w:val="nil"/>
              <w:right w:val="nil"/>
            </w:tcBorders>
            <w:shd w:val="clear" w:color="auto" w:fill="auto"/>
            <w:noWrap/>
            <w:vAlign w:val="center"/>
            <w:hideMark/>
          </w:tcPr>
          <w:p w14:paraId="5B757568"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0,0%</w:t>
            </w:r>
          </w:p>
        </w:tc>
        <w:tc>
          <w:tcPr>
            <w:tcW w:w="709" w:type="dxa"/>
            <w:tcBorders>
              <w:top w:val="nil"/>
              <w:left w:val="nil"/>
              <w:bottom w:val="nil"/>
              <w:right w:val="nil"/>
            </w:tcBorders>
            <w:shd w:val="clear" w:color="auto" w:fill="auto"/>
            <w:noWrap/>
            <w:vAlign w:val="center"/>
            <w:hideMark/>
          </w:tcPr>
          <w:p w14:paraId="4425F903"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1,2%</w:t>
            </w:r>
          </w:p>
        </w:tc>
        <w:tc>
          <w:tcPr>
            <w:tcW w:w="708" w:type="dxa"/>
            <w:tcBorders>
              <w:top w:val="nil"/>
              <w:left w:val="nil"/>
              <w:bottom w:val="nil"/>
              <w:right w:val="nil"/>
            </w:tcBorders>
            <w:shd w:val="clear" w:color="auto" w:fill="auto"/>
            <w:noWrap/>
            <w:vAlign w:val="center"/>
            <w:hideMark/>
          </w:tcPr>
          <w:p w14:paraId="7FCEC6F2"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8,1%</w:t>
            </w:r>
          </w:p>
        </w:tc>
      </w:tr>
      <w:tr w:rsidR="00151923" w:rsidRPr="008D30F6" w14:paraId="0DFC47B7" w14:textId="77777777" w:rsidTr="00151923">
        <w:trPr>
          <w:trHeight w:val="300"/>
        </w:trPr>
        <w:tc>
          <w:tcPr>
            <w:tcW w:w="3261" w:type="dxa"/>
            <w:tcBorders>
              <w:top w:val="nil"/>
              <w:left w:val="nil"/>
              <w:bottom w:val="nil"/>
              <w:right w:val="nil"/>
            </w:tcBorders>
            <w:shd w:val="clear" w:color="000000" w:fill="DBE5F1"/>
            <w:noWrap/>
            <w:vAlign w:val="center"/>
            <w:hideMark/>
          </w:tcPr>
          <w:p w14:paraId="07573D7F"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9   Loisirs et cultures</w:t>
            </w:r>
          </w:p>
        </w:tc>
        <w:tc>
          <w:tcPr>
            <w:tcW w:w="567" w:type="dxa"/>
            <w:tcBorders>
              <w:top w:val="nil"/>
              <w:left w:val="nil"/>
              <w:bottom w:val="nil"/>
              <w:right w:val="nil"/>
            </w:tcBorders>
            <w:shd w:val="clear" w:color="000000" w:fill="DBE5F1"/>
            <w:noWrap/>
            <w:vAlign w:val="center"/>
            <w:hideMark/>
          </w:tcPr>
          <w:p w14:paraId="38DED2B5"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353</w:t>
            </w:r>
          </w:p>
        </w:tc>
        <w:tc>
          <w:tcPr>
            <w:tcW w:w="567" w:type="dxa"/>
            <w:tcBorders>
              <w:top w:val="nil"/>
              <w:left w:val="nil"/>
              <w:bottom w:val="nil"/>
              <w:right w:val="nil"/>
            </w:tcBorders>
            <w:shd w:val="clear" w:color="000000" w:fill="DBE5F1"/>
            <w:noWrap/>
            <w:vAlign w:val="center"/>
            <w:hideMark/>
          </w:tcPr>
          <w:p w14:paraId="57462B9D"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102,3</w:t>
            </w:r>
          </w:p>
        </w:tc>
        <w:tc>
          <w:tcPr>
            <w:tcW w:w="567" w:type="dxa"/>
            <w:tcBorders>
              <w:top w:val="nil"/>
              <w:left w:val="nil"/>
              <w:bottom w:val="nil"/>
              <w:right w:val="nil"/>
            </w:tcBorders>
            <w:shd w:val="clear" w:color="000000" w:fill="DBE5F1"/>
            <w:noWrap/>
            <w:vAlign w:val="center"/>
            <w:hideMark/>
          </w:tcPr>
          <w:p w14:paraId="3A041947"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117,5</w:t>
            </w:r>
          </w:p>
        </w:tc>
        <w:tc>
          <w:tcPr>
            <w:tcW w:w="708" w:type="dxa"/>
            <w:tcBorders>
              <w:top w:val="nil"/>
              <w:left w:val="nil"/>
              <w:bottom w:val="nil"/>
              <w:right w:val="nil"/>
            </w:tcBorders>
            <w:shd w:val="clear" w:color="000000" w:fill="DBE5F1"/>
            <w:noWrap/>
            <w:vAlign w:val="center"/>
            <w:hideMark/>
          </w:tcPr>
          <w:p w14:paraId="4A4A7A34"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118</w:t>
            </w:r>
          </w:p>
        </w:tc>
        <w:tc>
          <w:tcPr>
            <w:tcW w:w="709" w:type="dxa"/>
            <w:tcBorders>
              <w:top w:val="nil"/>
              <w:left w:val="nil"/>
              <w:bottom w:val="nil"/>
              <w:right w:val="nil"/>
            </w:tcBorders>
            <w:shd w:val="clear" w:color="000000" w:fill="DBE5F1"/>
            <w:noWrap/>
            <w:vAlign w:val="center"/>
            <w:hideMark/>
          </w:tcPr>
          <w:p w14:paraId="263F0CAF"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118,4</w:t>
            </w:r>
          </w:p>
        </w:tc>
        <w:tc>
          <w:tcPr>
            <w:tcW w:w="567" w:type="dxa"/>
            <w:tcBorders>
              <w:top w:val="nil"/>
              <w:left w:val="nil"/>
              <w:bottom w:val="nil"/>
              <w:right w:val="nil"/>
            </w:tcBorders>
            <w:shd w:val="clear" w:color="000000" w:fill="DBE5F1"/>
            <w:noWrap/>
            <w:vAlign w:val="center"/>
            <w:hideMark/>
          </w:tcPr>
          <w:p w14:paraId="5BD66FB6"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118,5</w:t>
            </w:r>
          </w:p>
        </w:tc>
        <w:tc>
          <w:tcPr>
            <w:tcW w:w="709" w:type="dxa"/>
            <w:gridSpan w:val="2"/>
            <w:tcBorders>
              <w:top w:val="nil"/>
              <w:left w:val="nil"/>
              <w:bottom w:val="nil"/>
              <w:right w:val="nil"/>
            </w:tcBorders>
            <w:shd w:val="clear" w:color="000000" w:fill="DDEBF7"/>
            <w:noWrap/>
            <w:vAlign w:val="center"/>
            <w:hideMark/>
          </w:tcPr>
          <w:p w14:paraId="4C8886A9"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0,1%</w:t>
            </w:r>
          </w:p>
        </w:tc>
        <w:tc>
          <w:tcPr>
            <w:tcW w:w="709" w:type="dxa"/>
            <w:tcBorders>
              <w:top w:val="nil"/>
              <w:left w:val="nil"/>
              <w:bottom w:val="nil"/>
              <w:right w:val="nil"/>
            </w:tcBorders>
            <w:shd w:val="clear" w:color="000000" w:fill="DDEBF7"/>
            <w:noWrap/>
            <w:vAlign w:val="center"/>
            <w:hideMark/>
          </w:tcPr>
          <w:p w14:paraId="2CA2F0AA"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0,8%</w:t>
            </w:r>
          </w:p>
        </w:tc>
        <w:tc>
          <w:tcPr>
            <w:tcW w:w="708" w:type="dxa"/>
            <w:tcBorders>
              <w:top w:val="nil"/>
              <w:left w:val="nil"/>
              <w:bottom w:val="nil"/>
              <w:right w:val="nil"/>
            </w:tcBorders>
            <w:shd w:val="clear" w:color="000000" w:fill="DDEBF7"/>
            <w:noWrap/>
            <w:vAlign w:val="center"/>
            <w:hideMark/>
          </w:tcPr>
          <w:p w14:paraId="01F7797C"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15,9%</w:t>
            </w:r>
          </w:p>
        </w:tc>
      </w:tr>
      <w:tr w:rsidR="00151923" w:rsidRPr="008D30F6" w14:paraId="71493320" w14:textId="77777777" w:rsidTr="00151923">
        <w:trPr>
          <w:trHeight w:val="300"/>
        </w:trPr>
        <w:tc>
          <w:tcPr>
            <w:tcW w:w="3261" w:type="dxa"/>
            <w:tcBorders>
              <w:top w:val="nil"/>
              <w:left w:val="nil"/>
              <w:bottom w:val="nil"/>
              <w:right w:val="nil"/>
            </w:tcBorders>
            <w:shd w:val="clear" w:color="auto" w:fill="auto"/>
            <w:noWrap/>
            <w:vAlign w:val="center"/>
            <w:hideMark/>
          </w:tcPr>
          <w:p w14:paraId="2257FDC5"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10  Enseignement</w:t>
            </w:r>
          </w:p>
        </w:tc>
        <w:tc>
          <w:tcPr>
            <w:tcW w:w="567" w:type="dxa"/>
            <w:tcBorders>
              <w:top w:val="nil"/>
              <w:left w:val="nil"/>
              <w:bottom w:val="nil"/>
              <w:right w:val="nil"/>
            </w:tcBorders>
            <w:shd w:val="clear" w:color="auto" w:fill="auto"/>
            <w:noWrap/>
            <w:vAlign w:val="center"/>
            <w:hideMark/>
          </w:tcPr>
          <w:p w14:paraId="24AF2138"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194</w:t>
            </w:r>
          </w:p>
        </w:tc>
        <w:tc>
          <w:tcPr>
            <w:tcW w:w="567" w:type="dxa"/>
            <w:tcBorders>
              <w:top w:val="nil"/>
              <w:left w:val="nil"/>
              <w:bottom w:val="nil"/>
              <w:right w:val="nil"/>
            </w:tcBorders>
            <w:shd w:val="clear" w:color="auto" w:fill="auto"/>
            <w:noWrap/>
            <w:vAlign w:val="center"/>
            <w:hideMark/>
          </w:tcPr>
          <w:p w14:paraId="6D9A3317"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112,3</w:t>
            </w:r>
          </w:p>
        </w:tc>
        <w:tc>
          <w:tcPr>
            <w:tcW w:w="567" w:type="dxa"/>
            <w:tcBorders>
              <w:top w:val="nil"/>
              <w:left w:val="nil"/>
              <w:bottom w:val="nil"/>
              <w:right w:val="nil"/>
            </w:tcBorders>
            <w:shd w:val="clear" w:color="auto" w:fill="auto"/>
            <w:noWrap/>
            <w:vAlign w:val="center"/>
            <w:hideMark/>
          </w:tcPr>
          <w:p w14:paraId="4FA6D9B6"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114,4</w:t>
            </w:r>
          </w:p>
        </w:tc>
        <w:tc>
          <w:tcPr>
            <w:tcW w:w="708" w:type="dxa"/>
            <w:tcBorders>
              <w:top w:val="nil"/>
              <w:left w:val="nil"/>
              <w:bottom w:val="nil"/>
              <w:right w:val="nil"/>
            </w:tcBorders>
            <w:shd w:val="clear" w:color="auto" w:fill="auto"/>
            <w:noWrap/>
            <w:vAlign w:val="center"/>
            <w:hideMark/>
          </w:tcPr>
          <w:p w14:paraId="4EFB0BBC"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114,4</w:t>
            </w:r>
          </w:p>
        </w:tc>
        <w:tc>
          <w:tcPr>
            <w:tcW w:w="709" w:type="dxa"/>
            <w:tcBorders>
              <w:top w:val="nil"/>
              <w:left w:val="nil"/>
              <w:bottom w:val="nil"/>
              <w:right w:val="nil"/>
            </w:tcBorders>
            <w:shd w:val="clear" w:color="auto" w:fill="auto"/>
            <w:noWrap/>
            <w:vAlign w:val="center"/>
            <w:hideMark/>
          </w:tcPr>
          <w:p w14:paraId="0FFE055D"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114,4</w:t>
            </w:r>
          </w:p>
        </w:tc>
        <w:tc>
          <w:tcPr>
            <w:tcW w:w="567" w:type="dxa"/>
            <w:tcBorders>
              <w:top w:val="nil"/>
              <w:left w:val="nil"/>
              <w:bottom w:val="nil"/>
              <w:right w:val="nil"/>
            </w:tcBorders>
            <w:shd w:val="clear" w:color="auto" w:fill="auto"/>
            <w:noWrap/>
            <w:vAlign w:val="center"/>
            <w:hideMark/>
          </w:tcPr>
          <w:p w14:paraId="1F20810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114,4</w:t>
            </w:r>
          </w:p>
        </w:tc>
        <w:tc>
          <w:tcPr>
            <w:tcW w:w="709" w:type="dxa"/>
            <w:gridSpan w:val="2"/>
            <w:tcBorders>
              <w:top w:val="nil"/>
              <w:left w:val="nil"/>
              <w:bottom w:val="nil"/>
              <w:right w:val="nil"/>
            </w:tcBorders>
            <w:shd w:val="clear" w:color="auto" w:fill="auto"/>
            <w:noWrap/>
            <w:vAlign w:val="center"/>
            <w:hideMark/>
          </w:tcPr>
          <w:p w14:paraId="3D01AA07"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0,0%</w:t>
            </w:r>
          </w:p>
        </w:tc>
        <w:tc>
          <w:tcPr>
            <w:tcW w:w="709" w:type="dxa"/>
            <w:tcBorders>
              <w:top w:val="nil"/>
              <w:left w:val="nil"/>
              <w:bottom w:val="nil"/>
              <w:right w:val="nil"/>
            </w:tcBorders>
            <w:shd w:val="clear" w:color="auto" w:fill="auto"/>
            <w:noWrap/>
            <w:vAlign w:val="center"/>
            <w:hideMark/>
          </w:tcPr>
          <w:p w14:paraId="03E49DE5"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0,0%</w:t>
            </w:r>
          </w:p>
        </w:tc>
        <w:tc>
          <w:tcPr>
            <w:tcW w:w="708" w:type="dxa"/>
            <w:tcBorders>
              <w:top w:val="nil"/>
              <w:left w:val="nil"/>
              <w:bottom w:val="nil"/>
              <w:right w:val="nil"/>
            </w:tcBorders>
            <w:shd w:val="clear" w:color="auto" w:fill="auto"/>
            <w:noWrap/>
            <w:vAlign w:val="center"/>
            <w:hideMark/>
          </w:tcPr>
          <w:p w14:paraId="748A1B6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1,9%</w:t>
            </w:r>
          </w:p>
        </w:tc>
      </w:tr>
      <w:tr w:rsidR="00151923" w:rsidRPr="008D30F6" w14:paraId="63BA643D" w14:textId="77777777" w:rsidTr="00151923">
        <w:trPr>
          <w:trHeight w:val="300"/>
        </w:trPr>
        <w:tc>
          <w:tcPr>
            <w:tcW w:w="3261" w:type="dxa"/>
            <w:tcBorders>
              <w:top w:val="nil"/>
              <w:left w:val="nil"/>
              <w:bottom w:val="nil"/>
              <w:right w:val="nil"/>
            </w:tcBorders>
            <w:shd w:val="clear" w:color="000000" w:fill="DBE5F1"/>
            <w:noWrap/>
            <w:vAlign w:val="center"/>
            <w:hideMark/>
          </w:tcPr>
          <w:p w14:paraId="203B3934"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11  Restaurants et hôtels</w:t>
            </w:r>
          </w:p>
        </w:tc>
        <w:tc>
          <w:tcPr>
            <w:tcW w:w="567" w:type="dxa"/>
            <w:tcBorders>
              <w:top w:val="nil"/>
              <w:left w:val="nil"/>
              <w:bottom w:val="nil"/>
              <w:right w:val="nil"/>
            </w:tcBorders>
            <w:shd w:val="clear" w:color="000000" w:fill="DBE5F1"/>
            <w:noWrap/>
            <w:vAlign w:val="center"/>
            <w:hideMark/>
          </w:tcPr>
          <w:p w14:paraId="1B0E4CFF"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376</w:t>
            </w:r>
          </w:p>
        </w:tc>
        <w:tc>
          <w:tcPr>
            <w:tcW w:w="567" w:type="dxa"/>
            <w:tcBorders>
              <w:top w:val="nil"/>
              <w:left w:val="nil"/>
              <w:bottom w:val="nil"/>
              <w:right w:val="nil"/>
            </w:tcBorders>
            <w:shd w:val="clear" w:color="000000" w:fill="DBE5F1"/>
            <w:noWrap/>
            <w:vAlign w:val="center"/>
            <w:hideMark/>
          </w:tcPr>
          <w:p w14:paraId="0EAC8298"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110,8</w:t>
            </w:r>
          </w:p>
        </w:tc>
        <w:tc>
          <w:tcPr>
            <w:tcW w:w="567" w:type="dxa"/>
            <w:tcBorders>
              <w:top w:val="nil"/>
              <w:left w:val="nil"/>
              <w:bottom w:val="nil"/>
              <w:right w:val="nil"/>
            </w:tcBorders>
            <w:shd w:val="clear" w:color="000000" w:fill="DBE5F1"/>
            <w:noWrap/>
            <w:vAlign w:val="center"/>
            <w:hideMark/>
          </w:tcPr>
          <w:p w14:paraId="0B1ABE4A"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117,6</w:t>
            </w:r>
          </w:p>
        </w:tc>
        <w:tc>
          <w:tcPr>
            <w:tcW w:w="708" w:type="dxa"/>
            <w:tcBorders>
              <w:top w:val="nil"/>
              <w:left w:val="nil"/>
              <w:bottom w:val="nil"/>
              <w:right w:val="nil"/>
            </w:tcBorders>
            <w:shd w:val="clear" w:color="000000" w:fill="DBE5F1"/>
            <w:noWrap/>
            <w:vAlign w:val="center"/>
            <w:hideMark/>
          </w:tcPr>
          <w:p w14:paraId="1C02D1C9"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119,8</w:t>
            </w:r>
          </w:p>
        </w:tc>
        <w:tc>
          <w:tcPr>
            <w:tcW w:w="709" w:type="dxa"/>
            <w:tcBorders>
              <w:top w:val="nil"/>
              <w:left w:val="nil"/>
              <w:bottom w:val="nil"/>
              <w:right w:val="nil"/>
            </w:tcBorders>
            <w:shd w:val="clear" w:color="000000" w:fill="DBE5F1"/>
            <w:noWrap/>
            <w:vAlign w:val="center"/>
            <w:hideMark/>
          </w:tcPr>
          <w:p w14:paraId="3336C8A3"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120,2</w:t>
            </w:r>
          </w:p>
        </w:tc>
        <w:tc>
          <w:tcPr>
            <w:tcW w:w="567" w:type="dxa"/>
            <w:tcBorders>
              <w:top w:val="nil"/>
              <w:left w:val="nil"/>
              <w:bottom w:val="nil"/>
              <w:right w:val="nil"/>
            </w:tcBorders>
            <w:shd w:val="clear" w:color="000000" w:fill="DBE5F1"/>
            <w:noWrap/>
            <w:vAlign w:val="center"/>
            <w:hideMark/>
          </w:tcPr>
          <w:p w14:paraId="57BBED08"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121,3</w:t>
            </w:r>
          </w:p>
        </w:tc>
        <w:tc>
          <w:tcPr>
            <w:tcW w:w="709" w:type="dxa"/>
            <w:gridSpan w:val="2"/>
            <w:tcBorders>
              <w:top w:val="nil"/>
              <w:left w:val="nil"/>
              <w:bottom w:val="nil"/>
              <w:right w:val="nil"/>
            </w:tcBorders>
            <w:shd w:val="clear" w:color="000000" w:fill="DDEBF7"/>
            <w:noWrap/>
            <w:vAlign w:val="center"/>
            <w:hideMark/>
          </w:tcPr>
          <w:p w14:paraId="5F81213F"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w:t>
            </w:r>
          </w:p>
        </w:tc>
        <w:tc>
          <w:tcPr>
            <w:tcW w:w="709" w:type="dxa"/>
            <w:tcBorders>
              <w:top w:val="nil"/>
              <w:left w:val="nil"/>
              <w:bottom w:val="nil"/>
              <w:right w:val="nil"/>
            </w:tcBorders>
            <w:shd w:val="clear" w:color="000000" w:fill="DDEBF7"/>
            <w:noWrap/>
            <w:vAlign w:val="center"/>
            <w:hideMark/>
          </w:tcPr>
          <w:p w14:paraId="77E569D1"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3,1%</w:t>
            </w:r>
          </w:p>
        </w:tc>
        <w:tc>
          <w:tcPr>
            <w:tcW w:w="708" w:type="dxa"/>
            <w:tcBorders>
              <w:top w:val="nil"/>
              <w:left w:val="nil"/>
              <w:bottom w:val="nil"/>
              <w:right w:val="nil"/>
            </w:tcBorders>
            <w:shd w:val="clear" w:color="000000" w:fill="DDEBF7"/>
            <w:noWrap/>
            <w:vAlign w:val="center"/>
            <w:hideMark/>
          </w:tcPr>
          <w:p w14:paraId="37196166"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9,5%</w:t>
            </w:r>
          </w:p>
        </w:tc>
      </w:tr>
      <w:tr w:rsidR="00151923" w:rsidRPr="008D30F6" w14:paraId="32BBE711" w14:textId="77777777" w:rsidTr="00151923">
        <w:trPr>
          <w:trHeight w:val="315"/>
        </w:trPr>
        <w:tc>
          <w:tcPr>
            <w:tcW w:w="3261" w:type="dxa"/>
            <w:tcBorders>
              <w:top w:val="nil"/>
              <w:left w:val="nil"/>
              <w:bottom w:val="double" w:sz="6" w:space="0" w:color="auto"/>
              <w:right w:val="nil"/>
            </w:tcBorders>
            <w:shd w:val="clear" w:color="auto" w:fill="auto"/>
            <w:noWrap/>
            <w:vAlign w:val="center"/>
            <w:hideMark/>
          </w:tcPr>
          <w:p w14:paraId="00A45E5E" w14:textId="77777777" w:rsidR="008D30F6" w:rsidRPr="008D30F6" w:rsidRDefault="008D30F6" w:rsidP="008D30F6">
            <w:pPr>
              <w:spacing w:after="0" w:line="240" w:lineRule="auto"/>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12  Biens et services divers</w:t>
            </w:r>
          </w:p>
        </w:tc>
        <w:tc>
          <w:tcPr>
            <w:tcW w:w="567" w:type="dxa"/>
            <w:tcBorders>
              <w:top w:val="nil"/>
              <w:left w:val="nil"/>
              <w:bottom w:val="double" w:sz="6" w:space="0" w:color="auto"/>
              <w:right w:val="nil"/>
            </w:tcBorders>
            <w:shd w:val="clear" w:color="auto" w:fill="auto"/>
            <w:noWrap/>
            <w:vAlign w:val="center"/>
            <w:hideMark/>
          </w:tcPr>
          <w:p w14:paraId="3CC4E655" w14:textId="77777777" w:rsidR="008D30F6" w:rsidRPr="008D30F6" w:rsidRDefault="008D30F6" w:rsidP="008D30F6">
            <w:pPr>
              <w:spacing w:after="0" w:line="240" w:lineRule="auto"/>
              <w:jc w:val="center"/>
              <w:rPr>
                <w:rFonts w:ascii="Arial" w:eastAsia="Times New Roman" w:hAnsi="Arial" w:cs="Arial"/>
                <w:b/>
                <w:bCs/>
                <w:color w:val="000000"/>
                <w:sz w:val="14"/>
                <w:szCs w:val="14"/>
                <w:lang w:val="fr-SN" w:eastAsia="fr-SN"/>
              </w:rPr>
            </w:pPr>
            <w:r w:rsidRPr="008D30F6">
              <w:rPr>
                <w:rFonts w:ascii="Arial" w:eastAsia="Times New Roman" w:hAnsi="Arial" w:cs="Arial"/>
                <w:b/>
                <w:bCs/>
                <w:color w:val="000000"/>
                <w:sz w:val="14"/>
                <w:szCs w:val="14"/>
                <w:lang w:eastAsia="fr-SN"/>
              </w:rPr>
              <w:t>383</w:t>
            </w:r>
          </w:p>
        </w:tc>
        <w:tc>
          <w:tcPr>
            <w:tcW w:w="567" w:type="dxa"/>
            <w:tcBorders>
              <w:top w:val="nil"/>
              <w:left w:val="nil"/>
              <w:bottom w:val="double" w:sz="6" w:space="0" w:color="auto"/>
              <w:right w:val="nil"/>
            </w:tcBorders>
            <w:shd w:val="clear" w:color="auto" w:fill="auto"/>
            <w:noWrap/>
            <w:vAlign w:val="center"/>
            <w:hideMark/>
          </w:tcPr>
          <w:p w14:paraId="68C52ED5"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106</w:t>
            </w:r>
          </w:p>
        </w:tc>
        <w:tc>
          <w:tcPr>
            <w:tcW w:w="567" w:type="dxa"/>
            <w:tcBorders>
              <w:top w:val="nil"/>
              <w:left w:val="nil"/>
              <w:bottom w:val="double" w:sz="6" w:space="0" w:color="auto"/>
              <w:right w:val="nil"/>
            </w:tcBorders>
            <w:shd w:val="clear" w:color="auto" w:fill="auto"/>
            <w:noWrap/>
            <w:vAlign w:val="center"/>
            <w:hideMark/>
          </w:tcPr>
          <w:p w14:paraId="6FA29285"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110,4</w:t>
            </w:r>
          </w:p>
        </w:tc>
        <w:tc>
          <w:tcPr>
            <w:tcW w:w="708" w:type="dxa"/>
            <w:tcBorders>
              <w:top w:val="nil"/>
              <w:left w:val="nil"/>
              <w:bottom w:val="double" w:sz="6" w:space="0" w:color="auto"/>
              <w:right w:val="nil"/>
            </w:tcBorders>
            <w:shd w:val="clear" w:color="auto" w:fill="auto"/>
            <w:noWrap/>
            <w:vAlign w:val="center"/>
            <w:hideMark/>
          </w:tcPr>
          <w:p w14:paraId="4ADBDCCB"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111,7</w:t>
            </w:r>
          </w:p>
        </w:tc>
        <w:tc>
          <w:tcPr>
            <w:tcW w:w="709" w:type="dxa"/>
            <w:tcBorders>
              <w:top w:val="nil"/>
              <w:left w:val="nil"/>
              <w:bottom w:val="double" w:sz="6" w:space="0" w:color="auto"/>
              <w:right w:val="nil"/>
            </w:tcBorders>
            <w:shd w:val="clear" w:color="auto" w:fill="auto"/>
            <w:noWrap/>
            <w:vAlign w:val="center"/>
            <w:hideMark/>
          </w:tcPr>
          <w:p w14:paraId="6FB247E9"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112,4</w:t>
            </w:r>
          </w:p>
        </w:tc>
        <w:tc>
          <w:tcPr>
            <w:tcW w:w="567" w:type="dxa"/>
            <w:tcBorders>
              <w:top w:val="nil"/>
              <w:left w:val="nil"/>
              <w:bottom w:val="double" w:sz="6" w:space="0" w:color="auto"/>
              <w:right w:val="nil"/>
            </w:tcBorders>
            <w:shd w:val="clear" w:color="auto" w:fill="auto"/>
            <w:noWrap/>
            <w:vAlign w:val="center"/>
            <w:hideMark/>
          </w:tcPr>
          <w:p w14:paraId="257DB2A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112,9</w:t>
            </w:r>
          </w:p>
        </w:tc>
        <w:tc>
          <w:tcPr>
            <w:tcW w:w="709" w:type="dxa"/>
            <w:gridSpan w:val="2"/>
            <w:tcBorders>
              <w:top w:val="nil"/>
              <w:left w:val="nil"/>
              <w:bottom w:val="double" w:sz="6" w:space="0" w:color="auto"/>
              <w:right w:val="nil"/>
            </w:tcBorders>
            <w:shd w:val="clear" w:color="auto" w:fill="auto"/>
            <w:noWrap/>
            <w:vAlign w:val="center"/>
            <w:hideMark/>
          </w:tcPr>
          <w:p w14:paraId="623A7D10"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0,4%</w:t>
            </w:r>
          </w:p>
        </w:tc>
        <w:tc>
          <w:tcPr>
            <w:tcW w:w="709" w:type="dxa"/>
            <w:tcBorders>
              <w:top w:val="nil"/>
              <w:left w:val="nil"/>
              <w:bottom w:val="double" w:sz="6" w:space="0" w:color="auto"/>
              <w:right w:val="nil"/>
            </w:tcBorders>
            <w:shd w:val="clear" w:color="auto" w:fill="auto"/>
            <w:noWrap/>
            <w:vAlign w:val="center"/>
            <w:hideMark/>
          </w:tcPr>
          <w:p w14:paraId="78DCBFF3"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2,3%</w:t>
            </w:r>
          </w:p>
        </w:tc>
        <w:tc>
          <w:tcPr>
            <w:tcW w:w="708" w:type="dxa"/>
            <w:tcBorders>
              <w:top w:val="nil"/>
              <w:left w:val="nil"/>
              <w:bottom w:val="double" w:sz="6" w:space="0" w:color="auto"/>
              <w:right w:val="nil"/>
            </w:tcBorders>
            <w:shd w:val="clear" w:color="auto" w:fill="auto"/>
            <w:noWrap/>
            <w:vAlign w:val="center"/>
            <w:hideMark/>
          </w:tcPr>
          <w:p w14:paraId="47BCD81F" w14:textId="77777777" w:rsidR="008D30F6" w:rsidRPr="008D30F6" w:rsidRDefault="008D30F6" w:rsidP="008D30F6">
            <w:pPr>
              <w:spacing w:after="0" w:line="240" w:lineRule="auto"/>
              <w:jc w:val="center"/>
              <w:rPr>
                <w:rFonts w:ascii="Arial" w:eastAsia="Times New Roman" w:hAnsi="Arial" w:cs="Arial"/>
                <w:color w:val="000000"/>
                <w:sz w:val="14"/>
                <w:szCs w:val="14"/>
                <w:lang w:val="fr-SN" w:eastAsia="fr-SN"/>
              </w:rPr>
            </w:pPr>
            <w:r w:rsidRPr="008D30F6">
              <w:rPr>
                <w:rFonts w:ascii="Arial" w:eastAsia="Times New Roman" w:hAnsi="Arial" w:cs="Arial"/>
                <w:color w:val="000000"/>
                <w:sz w:val="14"/>
                <w:szCs w:val="14"/>
                <w:lang w:eastAsia="fr-SN"/>
              </w:rPr>
              <w:t>6,4%</w:t>
            </w:r>
          </w:p>
        </w:tc>
      </w:tr>
    </w:tbl>
    <w:p w14:paraId="4327FE01" w14:textId="77777777" w:rsidR="00687D7D" w:rsidRDefault="00687D7D">
      <w:pPr>
        <w:rPr>
          <w:rFonts w:ascii="Arial" w:hAnsi="Arial" w:cs="Arial"/>
          <w:b/>
          <w:bCs/>
          <w:sz w:val="16"/>
          <w:szCs w:val="16"/>
        </w:rPr>
      </w:pPr>
    </w:p>
    <w:p w14:paraId="0A1D7DE9" w14:textId="764B55D0" w:rsidR="00BA6668" w:rsidRPr="000F287B" w:rsidRDefault="00657CF6">
      <w:pPr>
        <w:rPr>
          <w:rFonts w:ascii="Arial" w:hAnsi="Arial" w:cs="Arial"/>
          <w:b/>
          <w:bCs/>
          <w:sz w:val="16"/>
          <w:szCs w:val="16"/>
        </w:rPr>
      </w:pPr>
      <w:r w:rsidRPr="00CC04FD">
        <w:rPr>
          <w:rFonts w:ascii="Arial" w:hAnsi="Arial" w:cs="Arial"/>
          <w:b/>
          <w:bCs/>
          <w:sz w:val="16"/>
          <w:szCs w:val="16"/>
        </w:rPr>
        <w:t>Source : ANSD</w:t>
      </w:r>
      <w:r>
        <w:rPr>
          <w:rFonts w:ascii="Arial" w:hAnsi="Arial" w:cs="Arial"/>
          <w:b/>
          <w:bCs/>
          <w:sz w:val="16"/>
          <w:szCs w:val="16"/>
        </w:rPr>
        <w:t>/DSECN/DSC/BP</w:t>
      </w:r>
    </w:p>
    <w:p w14:paraId="2873F73D" w14:textId="77777777" w:rsidR="00624AAB" w:rsidRDefault="00232850">
      <w:pPr>
        <w:rPr>
          <w:rFonts w:ascii="Arial" w:hAnsi="Arial" w:cs="Arial"/>
          <w:b/>
          <w:sz w:val="16"/>
          <w:szCs w:val="16"/>
        </w:rPr>
      </w:pPr>
      <w:r w:rsidRPr="00C229F9">
        <w:rPr>
          <w:rFonts w:ascii="Arial" w:hAnsi="Arial" w:cs="Arial"/>
          <w:b/>
          <w:sz w:val="16"/>
          <w:szCs w:val="16"/>
        </w:rPr>
        <w:t>Graphique 1</w:t>
      </w:r>
      <w:r>
        <w:rPr>
          <w:rFonts w:ascii="Arial" w:hAnsi="Arial" w:cs="Arial"/>
          <w:b/>
          <w:sz w:val="16"/>
          <w:szCs w:val="16"/>
        </w:rPr>
        <w:t xml:space="preserve"> </w:t>
      </w:r>
      <w:r w:rsidRPr="00C229F9">
        <w:rPr>
          <w:rFonts w:ascii="Arial" w:hAnsi="Arial" w:cs="Arial"/>
          <w:b/>
          <w:sz w:val="16"/>
          <w:szCs w:val="16"/>
        </w:rPr>
        <w:t>: Evolution</w:t>
      </w:r>
      <w:r w:rsidR="000B3FFB">
        <w:rPr>
          <w:rFonts w:ascii="Arial" w:hAnsi="Arial" w:cs="Arial"/>
          <w:b/>
          <w:sz w:val="16"/>
          <w:szCs w:val="16"/>
        </w:rPr>
        <w:t>s</w:t>
      </w:r>
      <w:r w:rsidRPr="00C229F9">
        <w:rPr>
          <w:rFonts w:ascii="Arial" w:hAnsi="Arial" w:cs="Arial"/>
          <w:b/>
          <w:sz w:val="16"/>
          <w:szCs w:val="16"/>
        </w:rPr>
        <w:t xml:space="preserve"> de l’indice global et de la fonction « produits alimentaires et boissons non alcoolisées »</w:t>
      </w:r>
    </w:p>
    <w:p w14:paraId="5B015664" w14:textId="21544413" w:rsidR="00657CF6" w:rsidRPr="004820AE" w:rsidRDefault="00151923" w:rsidP="00657CF6">
      <w:pPr>
        <w:rPr>
          <w:rFonts w:ascii="Arial" w:hAnsi="Arial" w:cs="Arial"/>
          <w:b/>
          <w:bCs/>
          <w:sz w:val="16"/>
          <w:szCs w:val="16"/>
        </w:rPr>
      </w:pPr>
      <w:r>
        <w:rPr>
          <w:noProof/>
          <w:lang w:eastAsia="fr-FR"/>
        </w:rPr>
        <w:drawing>
          <wp:inline distT="0" distB="0" distL="0" distR="0" wp14:anchorId="2C6EA8F4" wp14:editId="18AF3733">
            <wp:extent cx="5956300" cy="2717800"/>
            <wp:effectExtent l="0" t="0" r="6350" b="6350"/>
            <wp:docPr id="3" name="Graphique 3">
              <a:extLst xmlns:a="http://schemas.openxmlformats.org/drawingml/2006/main">
                <a:ext uri="{FF2B5EF4-FFF2-40B4-BE49-F238E27FC236}">
                  <a16:creationId xmlns:a16="http://schemas.microsoft.com/office/drawing/2014/main" id="{EC0572CF-CA30-00D1-3AFC-F0F4417EE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657CF6" w:rsidRPr="00CC04FD">
        <w:rPr>
          <w:rFonts w:ascii="Arial" w:hAnsi="Arial" w:cs="Arial"/>
          <w:b/>
          <w:bCs/>
          <w:sz w:val="16"/>
          <w:szCs w:val="16"/>
        </w:rPr>
        <w:t>Source : ANSD</w:t>
      </w:r>
      <w:r w:rsidR="00657CF6">
        <w:rPr>
          <w:rFonts w:ascii="Arial" w:hAnsi="Arial" w:cs="Arial"/>
          <w:b/>
          <w:bCs/>
          <w:sz w:val="16"/>
          <w:szCs w:val="16"/>
        </w:rPr>
        <w:t>/DSECN/DSC/BP</w:t>
      </w:r>
    </w:p>
    <w:p w14:paraId="5D5C2C38" w14:textId="77777777" w:rsidR="001B58D0" w:rsidRPr="001B58D0" w:rsidRDefault="00ED5CFF" w:rsidP="001B58D0">
      <w:pPr>
        <w:pStyle w:val="Titre4"/>
        <w:tabs>
          <w:tab w:val="left" w:pos="3458"/>
        </w:tabs>
        <w:ind w:right="-2268"/>
        <w:jc w:val="left"/>
        <w:rPr>
          <w:rFonts w:ascii="Arial" w:hAnsi="Arial" w:cs="Arial"/>
          <w:bCs/>
          <w:sz w:val="16"/>
          <w:szCs w:val="16"/>
        </w:rPr>
      </w:pPr>
      <w:r w:rsidRPr="009527E0">
        <w:rPr>
          <w:rFonts w:ascii="Arial" w:hAnsi="Arial" w:cs="Arial"/>
          <w:bCs/>
          <w:sz w:val="16"/>
          <w:szCs w:val="16"/>
        </w:rPr>
        <w:lastRenderedPageBreak/>
        <w:t xml:space="preserve">Graphique 2 : Evolutions de l’Indice sous-jacent et de l’IHPC </w:t>
      </w:r>
    </w:p>
    <w:p w14:paraId="34193DC8" w14:textId="302B087C" w:rsidR="001B58D0" w:rsidRDefault="00310604" w:rsidP="00711972">
      <w:pPr>
        <w:rPr>
          <w:rFonts w:ascii="Arial" w:hAnsi="Arial" w:cs="Arial"/>
          <w:b/>
          <w:bCs/>
          <w:sz w:val="16"/>
          <w:szCs w:val="16"/>
        </w:rPr>
      </w:pPr>
      <w:r>
        <w:rPr>
          <w:noProof/>
          <w:lang w:eastAsia="fr-FR"/>
        </w:rPr>
        <w:drawing>
          <wp:inline distT="0" distB="0" distL="0" distR="0" wp14:anchorId="7DF15921" wp14:editId="7F4A953B">
            <wp:extent cx="5689600" cy="1841500"/>
            <wp:effectExtent l="0" t="0" r="6350" b="6350"/>
            <wp:docPr id="1" name="Graphique 1">
              <a:extLst xmlns:a="http://schemas.openxmlformats.org/drawingml/2006/main">
                <a:ext uri="{FF2B5EF4-FFF2-40B4-BE49-F238E27FC236}">
                  <a16:creationId xmlns:a16="http://schemas.microsoft.com/office/drawing/2014/main" id="{0DA9BAE2-5F22-0B22-4A75-6CE91F1420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63E88A" w14:textId="77777777" w:rsidR="001B58D0" w:rsidRDefault="001B58D0" w:rsidP="00711972">
      <w:pPr>
        <w:rPr>
          <w:rFonts w:ascii="Arial" w:hAnsi="Arial" w:cs="Arial"/>
          <w:b/>
          <w:bCs/>
          <w:sz w:val="16"/>
          <w:szCs w:val="16"/>
        </w:rPr>
      </w:pPr>
      <w:r w:rsidRPr="00CC04FD">
        <w:rPr>
          <w:rFonts w:ascii="Arial" w:hAnsi="Arial" w:cs="Arial"/>
          <w:b/>
          <w:bCs/>
          <w:sz w:val="16"/>
          <w:szCs w:val="16"/>
        </w:rPr>
        <w:t>Source : ANSD</w:t>
      </w:r>
      <w:r w:rsidR="003B02AB">
        <w:rPr>
          <w:rFonts w:ascii="Arial" w:hAnsi="Arial" w:cs="Arial"/>
          <w:b/>
          <w:bCs/>
          <w:sz w:val="16"/>
          <w:szCs w:val="16"/>
        </w:rPr>
        <w:t>/DSECN/DSC/BP</w:t>
      </w:r>
    </w:p>
    <w:p w14:paraId="5EDCC987" w14:textId="77777777" w:rsidR="003C32F7" w:rsidRPr="003A3B3E" w:rsidRDefault="00ED5CFF" w:rsidP="003A3B3E">
      <w:pPr>
        <w:pStyle w:val="Titre4"/>
        <w:tabs>
          <w:tab w:val="left" w:pos="3458"/>
        </w:tabs>
        <w:ind w:right="-2268"/>
        <w:jc w:val="left"/>
        <w:rPr>
          <w:rFonts w:ascii="Arial" w:hAnsi="Arial" w:cs="Arial"/>
          <w:bCs/>
          <w:sz w:val="16"/>
          <w:szCs w:val="16"/>
        </w:rPr>
      </w:pPr>
      <w:r w:rsidRPr="003A3B3E">
        <w:rPr>
          <w:rFonts w:ascii="Arial" w:hAnsi="Arial" w:cs="Arial"/>
          <w:bCs/>
          <w:sz w:val="16"/>
          <w:szCs w:val="16"/>
        </w:rPr>
        <w:t>Graphique 3 : Evolutions mensuelles des indices selon leurs origines</w:t>
      </w:r>
    </w:p>
    <w:p w14:paraId="572C2040" w14:textId="130980E1" w:rsidR="00711972" w:rsidRDefault="00310604" w:rsidP="00711972">
      <w:pPr>
        <w:tabs>
          <w:tab w:val="left" w:pos="2557"/>
        </w:tabs>
      </w:pPr>
      <w:r>
        <w:rPr>
          <w:noProof/>
          <w:lang w:eastAsia="fr-FR"/>
        </w:rPr>
        <w:drawing>
          <wp:inline distT="0" distB="0" distL="0" distR="0" wp14:anchorId="6EA1E1FF" wp14:editId="5A1E1FEF">
            <wp:extent cx="5651500" cy="2273300"/>
            <wp:effectExtent l="0" t="0" r="6350" b="12700"/>
            <wp:docPr id="4" name="Graphique 4">
              <a:extLst xmlns:a="http://schemas.openxmlformats.org/drawingml/2006/main">
                <a:ext uri="{FF2B5EF4-FFF2-40B4-BE49-F238E27FC236}">
                  <a16:creationId xmlns:a16="http://schemas.microsoft.com/office/drawing/2014/main" id="{321A77C4-9899-AAE4-4191-98E65BEB1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DE19C8" w14:textId="77777777" w:rsidR="00EB6FB6" w:rsidRPr="003267B8" w:rsidRDefault="00ED5CFF" w:rsidP="003267B8">
      <w:pPr>
        <w:rPr>
          <w:rFonts w:ascii="Arial" w:hAnsi="Arial" w:cs="Arial"/>
          <w:b/>
          <w:bCs/>
          <w:sz w:val="16"/>
          <w:szCs w:val="16"/>
        </w:rPr>
      </w:pPr>
      <w:r w:rsidRPr="00CC04FD">
        <w:rPr>
          <w:rFonts w:ascii="Arial" w:hAnsi="Arial" w:cs="Arial"/>
          <w:b/>
          <w:bCs/>
          <w:sz w:val="16"/>
          <w:szCs w:val="16"/>
        </w:rPr>
        <w:t>Source : ANSD</w:t>
      </w:r>
      <w:r>
        <w:rPr>
          <w:rFonts w:ascii="Arial" w:hAnsi="Arial" w:cs="Arial"/>
          <w:b/>
          <w:bCs/>
          <w:sz w:val="16"/>
          <w:szCs w:val="16"/>
        </w:rPr>
        <w:t>/DSECN/DSC/BP</w:t>
      </w:r>
    </w:p>
    <w:p w14:paraId="2D8FE207" w14:textId="77777777" w:rsidR="00ED5CFF" w:rsidRPr="003A3B3E" w:rsidRDefault="00ED5CFF" w:rsidP="003A3B3E">
      <w:pPr>
        <w:pStyle w:val="Titre4"/>
        <w:tabs>
          <w:tab w:val="left" w:pos="3458"/>
        </w:tabs>
        <w:ind w:right="-2268"/>
        <w:jc w:val="left"/>
        <w:rPr>
          <w:rFonts w:ascii="Arial" w:hAnsi="Arial" w:cs="Arial"/>
          <w:bCs/>
          <w:sz w:val="16"/>
          <w:szCs w:val="16"/>
        </w:rPr>
      </w:pPr>
      <w:r w:rsidRPr="003A3B3E">
        <w:rPr>
          <w:rFonts w:ascii="Arial" w:hAnsi="Arial" w:cs="Arial"/>
          <w:bCs/>
          <w:sz w:val="16"/>
          <w:szCs w:val="16"/>
        </w:rPr>
        <w:t>Graphique 4 : Evolutions des indices selon le secteur de production</w:t>
      </w:r>
    </w:p>
    <w:p w14:paraId="75DE8400" w14:textId="088F336F" w:rsidR="006071D4" w:rsidRPr="00C45720" w:rsidRDefault="00310604" w:rsidP="00C45720">
      <w:pPr>
        <w:tabs>
          <w:tab w:val="left" w:pos="2557"/>
        </w:tabs>
        <w:rPr>
          <w:noProof/>
          <w:lang w:eastAsia="fr-FR"/>
        </w:rPr>
      </w:pPr>
      <w:r>
        <w:rPr>
          <w:noProof/>
          <w:lang w:eastAsia="fr-FR"/>
        </w:rPr>
        <w:drawing>
          <wp:inline distT="0" distB="0" distL="0" distR="0" wp14:anchorId="256E8044" wp14:editId="3FDA7268">
            <wp:extent cx="5760720" cy="2044700"/>
            <wp:effectExtent l="0" t="0" r="11430" b="12700"/>
            <wp:docPr id="5" name="Graphique 5">
              <a:extLst xmlns:a="http://schemas.openxmlformats.org/drawingml/2006/main">
                <a:ext uri="{FF2B5EF4-FFF2-40B4-BE49-F238E27FC236}">
                  <a16:creationId xmlns:a16="http://schemas.microsoft.com/office/drawing/2014/main" id="{A365864C-5BF1-72E5-096E-181F53E0E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4155E3" w:rsidRPr="00CC04FD">
        <w:rPr>
          <w:rFonts w:ascii="Arial" w:hAnsi="Arial" w:cs="Arial"/>
          <w:b/>
          <w:bCs/>
          <w:sz w:val="16"/>
          <w:szCs w:val="16"/>
        </w:rPr>
        <w:t>Source : ANSD</w:t>
      </w:r>
      <w:r w:rsidR="004155E3">
        <w:rPr>
          <w:rFonts w:ascii="Arial" w:hAnsi="Arial" w:cs="Arial"/>
          <w:b/>
          <w:bCs/>
          <w:sz w:val="16"/>
          <w:szCs w:val="16"/>
        </w:rPr>
        <w:t>/DSECN/DSC/</w:t>
      </w:r>
      <w:r w:rsidR="001C28B9">
        <w:rPr>
          <w:rFonts w:ascii="Arial" w:hAnsi="Arial" w:cs="Arial"/>
          <w:b/>
          <w:bCs/>
          <w:sz w:val="16"/>
          <w:szCs w:val="16"/>
        </w:rPr>
        <w:t>BP</w:t>
      </w:r>
    </w:p>
    <w:p w14:paraId="517282DC" w14:textId="33034C64" w:rsidR="00C45720" w:rsidRDefault="00C45720" w:rsidP="006071D4">
      <w:pPr>
        <w:rPr>
          <w:rFonts w:ascii="Arial" w:hAnsi="Arial" w:cs="Arial"/>
          <w:b/>
          <w:bCs/>
          <w:sz w:val="16"/>
          <w:szCs w:val="16"/>
        </w:rPr>
      </w:pPr>
    </w:p>
    <w:p w14:paraId="20965A44" w14:textId="77777777" w:rsidR="00C45720" w:rsidRDefault="00C45720" w:rsidP="006071D4">
      <w:pPr>
        <w:rPr>
          <w:rFonts w:ascii="Arial" w:hAnsi="Arial" w:cs="Arial"/>
          <w:b/>
          <w:bCs/>
          <w:sz w:val="16"/>
          <w:szCs w:val="16"/>
        </w:rPr>
      </w:pPr>
    </w:p>
    <w:p w14:paraId="45EA44A7" w14:textId="77777777" w:rsidR="00C45720" w:rsidRDefault="00C45720" w:rsidP="006071D4">
      <w:pPr>
        <w:rPr>
          <w:rFonts w:ascii="Arial" w:hAnsi="Arial" w:cs="Arial"/>
          <w:b/>
          <w:bCs/>
          <w:sz w:val="16"/>
          <w:szCs w:val="16"/>
        </w:rPr>
      </w:pPr>
    </w:p>
    <w:p w14:paraId="0EFBC251" w14:textId="77777777" w:rsidR="000D155F" w:rsidRDefault="000D155F" w:rsidP="006071D4">
      <w:pPr>
        <w:rPr>
          <w:rFonts w:ascii="Arial" w:hAnsi="Arial" w:cs="Arial"/>
          <w:b/>
          <w:bCs/>
          <w:sz w:val="16"/>
          <w:szCs w:val="16"/>
        </w:rPr>
      </w:pPr>
    </w:p>
    <w:p w14:paraId="6B5A50D3" w14:textId="77777777" w:rsidR="000D155F" w:rsidRDefault="000D155F" w:rsidP="006071D4">
      <w:pPr>
        <w:rPr>
          <w:rFonts w:ascii="Arial" w:hAnsi="Arial" w:cs="Arial"/>
          <w:b/>
          <w:bCs/>
          <w:sz w:val="16"/>
          <w:szCs w:val="16"/>
        </w:rPr>
      </w:pPr>
    </w:p>
    <w:p w14:paraId="1C9346D2" w14:textId="77777777" w:rsidR="001C7A6D" w:rsidRDefault="001C7A6D" w:rsidP="006071D4">
      <w:pPr>
        <w:rPr>
          <w:rFonts w:ascii="Arial" w:hAnsi="Arial" w:cs="Arial"/>
          <w:b/>
          <w:bCs/>
          <w:sz w:val="16"/>
          <w:szCs w:val="16"/>
        </w:rPr>
      </w:pPr>
    </w:p>
    <w:p w14:paraId="77C21A47" w14:textId="3113211E" w:rsidR="00711972" w:rsidRDefault="006E7F81" w:rsidP="006071D4">
      <w:pPr>
        <w:rPr>
          <w:rFonts w:ascii="Arial" w:hAnsi="Arial" w:cs="Arial"/>
          <w:b/>
          <w:bCs/>
          <w:sz w:val="16"/>
          <w:szCs w:val="16"/>
        </w:rPr>
      </w:pPr>
      <w:r>
        <w:rPr>
          <w:rFonts w:ascii="Arial" w:hAnsi="Arial" w:cs="Arial"/>
          <w:b/>
          <w:bCs/>
          <w:sz w:val="16"/>
          <w:szCs w:val="16"/>
        </w:rPr>
        <w:lastRenderedPageBreak/>
        <w:t>Tableau 2: Indices suivant</w:t>
      </w:r>
      <w:r w:rsidR="0089135A" w:rsidRPr="00C229F9">
        <w:rPr>
          <w:rFonts w:ascii="Arial" w:hAnsi="Arial" w:cs="Arial"/>
          <w:b/>
          <w:bCs/>
          <w:sz w:val="16"/>
          <w:szCs w:val="16"/>
        </w:rPr>
        <w:t xml:space="preserve"> les nomenclatures secondaires</w:t>
      </w:r>
    </w:p>
    <w:tbl>
      <w:tblPr>
        <w:tblW w:w="0" w:type="auto"/>
        <w:jc w:val="right"/>
        <w:tblCellMar>
          <w:left w:w="70" w:type="dxa"/>
          <w:right w:w="70" w:type="dxa"/>
        </w:tblCellMar>
        <w:tblLook w:val="04A0" w:firstRow="1" w:lastRow="0" w:firstColumn="1" w:lastColumn="0" w:noHBand="0" w:noVBand="1"/>
      </w:tblPr>
      <w:tblGrid>
        <w:gridCol w:w="3385"/>
        <w:gridCol w:w="530"/>
        <w:gridCol w:w="537"/>
        <w:gridCol w:w="545"/>
        <w:gridCol w:w="584"/>
        <w:gridCol w:w="576"/>
        <w:gridCol w:w="615"/>
        <w:gridCol w:w="584"/>
        <w:gridCol w:w="584"/>
        <w:gridCol w:w="662"/>
      </w:tblGrid>
      <w:tr w:rsidR="00310604" w:rsidRPr="00310604" w14:paraId="4D0A5583" w14:textId="77777777" w:rsidTr="0055438F">
        <w:trPr>
          <w:trHeight w:val="330"/>
          <w:jc w:val="right"/>
        </w:trPr>
        <w:tc>
          <w:tcPr>
            <w:tcW w:w="0" w:type="auto"/>
            <w:vMerge w:val="restart"/>
            <w:tcBorders>
              <w:top w:val="double" w:sz="6" w:space="0" w:color="auto"/>
              <w:left w:val="nil"/>
              <w:bottom w:val="double" w:sz="6" w:space="0" w:color="000000"/>
              <w:right w:val="nil"/>
            </w:tcBorders>
            <w:shd w:val="clear" w:color="auto" w:fill="auto"/>
            <w:noWrap/>
            <w:vAlign w:val="center"/>
            <w:hideMark/>
          </w:tcPr>
          <w:p w14:paraId="2449EA52" w14:textId="77777777" w:rsidR="00310604" w:rsidRPr="00310604" w:rsidRDefault="00310604" w:rsidP="00310604">
            <w:pPr>
              <w:spacing w:after="0" w:line="240" w:lineRule="auto"/>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Libellés</w:t>
            </w:r>
          </w:p>
        </w:tc>
        <w:tc>
          <w:tcPr>
            <w:tcW w:w="0" w:type="auto"/>
            <w:tcBorders>
              <w:top w:val="double" w:sz="6" w:space="0" w:color="auto"/>
              <w:left w:val="nil"/>
              <w:bottom w:val="single" w:sz="8" w:space="0" w:color="auto"/>
              <w:right w:val="nil"/>
            </w:tcBorders>
            <w:shd w:val="clear" w:color="auto" w:fill="auto"/>
            <w:noWrap/>
            <w:vAlign w:val="center"/>
            <w:hideMark/>
          </w:tcPr>
          <w:p w14:paraId="42AF0449"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Poids</w:t>
            </w:r>
          </w:p>
        </w:tc>
        <w:tc>
          <w:tcPr>
            <w:tcW w:w="0" w:type="auto"/>
            <w:gridSpan w:val="5"/>
            <w:tcBorders>
              <w:top w:val="double" w:sz="6" w:space="0" w:color="auto"/>
              <w:left w:val="nil"/>
              <w:bottom w:val="single" w:sz="8" w:space="0" w:color="auto"/>
              <w:right w:val="nil"/>
            </w:tcBorders>
            <w:shd w:val="clear" w:color="auto" w:fill="auto"/>
            <w:noWrap/>
            <w:vAlign w:val="center"/>
            <w:hideMark/>
          </w:tcPr>
          <w:p w14:paraId="4F443CB6"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 </w:t>
            </w:r>
          </w:p>
        </w:tc>
        <w:tc>
          <w:tcPr>
            <w:tcW w:w="0" w:type="auto"/>
            <w:gridSpan w:val="3"/>
            <w:tcBorders>
              <w:top w:val="double" w:sz="6" w:space="0" w:color="auto"/>
              <w:left w:val="nil"/>
              <w:bottom w:val="single" w:sz="8" w:space="0" w:color="auto"/>
              <w:right w:val="nil"/>
            </w:tcBorders>
            <w:shd w:val="clear" w:color="auto" w:fill="auto"/>
            <w:noWrap/>
            <w:vAlign w:val="center"/>
            <w:hideMark/>
          </w:tcPr>
          <w:p w14:paraId="07D9E3F1"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Variation sur</w:t>
            </w:r>
          </w:p>
        </w:tc>
      </w:tr>
      <w:tr w:rsidR="00310604" w:rsidRPr="00310604" w14:paraId="7C440448" w14:textId="77777777" w:rsidTr="0055438F">
        <w:trPr>
          <w:trHeight w:val="315"/>
          <w:jc w:val="right"/>
        </w:trPr>
        <w:tc>
          <w:tcPr>
            <w:tcW w:w="0" w:type="auto"/>
            <w:vMerge/>
            <w:tcBorders>
              <w:top w:val="double" w:sz="6" w:space="0" w:color="auto"/>
              <w:left w:val="nil"/>
              <w:bottom w:val="double" w:sz="6" w:space="0" w:color="000000"/>
              <w:right w:val="nil"/>
            </w:tcBorders>
            <w:vAlign w:val="center"/>
            <w:hideMark/>
          </w:tcPr>
          <w:p w14:paraId="207F6EF0" w14:textId="77777777" w:rsidR="00310604" w:rsidRPr="00310604" w:rsidRDefault="00310604" w:rsidP="00310604">
            <w:pPr>
              <w:spacing w:after="0" w:line="240" w:lineRule="auto"/>
              <w:rPr>
                <w:rFonts w:ascii="Arial" w:eastAsia="Times New Roman" w:hAnsi="Arial" w:cs="Arial"/>
                <w:b/>
                <w:bCs/>
                <w:color w:val="000000"/>
                <w:sz w:val="14"/>
                <w:szCs w:val="14"/>
                <w:lang w:val="fr-SN" w:eastAsia="fr-SN"/>
              </w:rPr>
            </w:pPr>
          </w:p>
        </w:tc>
        <w:tc>
          <w:tcPr>
            <w:tcW w:w="0" w:type="auto"/>
            <w:tcBorders>
              <w:top w:val="nil"/>
              <w:left w:val="nil"/>
              <w:bottom w:val="double" w:sz="6" w:space="0" w:color="auto"/>
              <w:right w:val="nil"/>
            </w:tcBorders>
            <w:shd w:val="clear" w:color="000000" w:fill="DBE5F1"/>
            <w:noWrap/>
            <w:vAlign w:val="center"/>
            <w:hideMark/>
          </w:tcPr>
          <w:p w14:paraId="53CFB9B0" w14:textId="77777777" w:rsidR="00310604" w:rsidRPr="00310604" w:rsidRDefault="00310604" w:rsidP="00310604">
            <w:pPr>
              <w:spacing w:after="0" w:line="240" w:lineRule="auto"/>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val="fr-SN" w:eastAsia="fr-SN"/>
              </w:rPr>
              <w:t> </w:t>
            </w:r>
          </w:p>
        </w:tc>
        <w:tc>
          <w:tcPr>
            <w:tcW w:w="0" w:type="auto"/>
            <w:tcBorders>
              <w:top w:val="nil"/>
              <w:left w:val="nil"/>
              <w:bottom w:val="double" w:sz="6" w:space="0" w:color="auto"/>
              <w:right w:val="nil"/>
            </w:tcBorders>
            <w:shd w:val="clear" w:color="000000" w:fill="DBE5F1"/>
            <w:noWrap/>
            <w:vAlign w:val="center"/>
            <w:hideMark/>
          </w:tcPr>
          <w:p w14:paraId="6313803C"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jan.22</w:t>
            </w:r>
          </w:p>
        </w:tc>
        <w:tc>
          <w:tcPr>
            <w:tcW w:w="0" w:type="auto"/>
            <w:tcBorders>
              <w:top w:val="nil"/>
              <w:left w:val="nil"/>
              <w:bottom w:val="double" w:sz="6" w:space="0" w:color="auto"/>
              <w:right w:val="nil"/>
            </w:tcBorders>
            <w:shd w:val="clear" w:color="000000" w:fill="DBE5F1"/>
            <w:noWrap/>
            <w:vAlign w:val="center"/>
            <w:hideMark/>
          </w:tcPr>
          <w:p w14:paraId="7E2B5BD4"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oct.22</w:t>
            </w:r>
          </w:p>
        </w:tc>
        <w:tc>
          <w:tcPr>
            <w:tcW w:w="0" w:type="auto"/>
            <w:tcBorders>
              <w:top w:val="nil"/>
              <w:left w:val="nil"/>
              <w:bottom w:val="double" w:sz="6" w:space="0" w:color="auto"/>
              <w:right w:val="nil"/>
            </w:tcBorders>
            <w:shd w:val="clear" w:color="000000" w:fill="DBE5F1"/>
            <w:noWrap/>
            <w:vAlign w:val="center"/>
            <w:hideMark/>
          </w:tcPr>
          <w:p w14:paraId="606ED2A5"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nov.22</w:t>
            </w:r>
          </w:p>
        </w:tc>
        <w:tc>
          <w:tcPr>
            <w:tcW w:w="0" w:type="auto"/>
            <w:tcBorders>
              <w:top w:val="nil"/>
              <w:left w:val="nil"/>
              <w:bottom w:val="double" w:sz="6" w:space="0" w:color="auto"/>
              <w:right w:val="nil"/>
            </w:tcBorders>
            <w:shd w:val="clear" w:color="000000" w:fill="DBE5F1"/>
            <w:noWrap/>
            <w:vAlign w:val="center"/>
            <w:hideMark/>
          </w:tcPr>
          <w:p w14:paraId="1693DCE2"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dec.22</w:t>
            </w:r>
          </w:p>
        </w:tc>
        <w:tc>
          <w:tcPr>
            <w:tcW w:w="0" w:type="auto"/>
            <w:tcBorders>
              <w:top w:val="nil"/>
              <w:left w:val="nil"/>
              <w:bottom w:val="double" w:sz="6" w:space="0" w:color="auto"/>
              <w:right w:val="nil"/>
            </w:tcBorders>
            <w:shd w:val="clear" w:color="000000" w:fill="DBE5F1"/>
            <w:noWrap/>
            <w:vAlign w:val="center"/>
            <w:hideMark/>
          </w:tcPr>
          <w:p w14:paraId="418D94E1"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janv.23</w:t>
            </w:r>
          </w:p>
        </w:tc>
        <w:tc>
          <w:tcPr>
            <w:tcW w:w="0" w:type="auto"/>
            <w:tcBorders>
              <w:top w:val="nil"/>
              <w:left w:val="nil"/>
              <w:bottom w:val="double" w:sz="6" w:space="0" w:color="auto"/>
              <w:right w:val="nil"/>
            </w:tcBorders>
            <w:shd w:val="clear" w:color="000000" w:fill="DBE5F1"/>
            <w:noWrap/>
            <w:vAlign w:val="center"/>
            <w:hideMark/>
          </w:tcPr>
          <w:p w14:paraId="6F956037"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1 mois</w:t>
            </w:r>
          </w:p>
        </w:tc>
        <w:tc>
          <w:tcPr>
            <w:tcW w:w="0" w:type="auto"/>
            <w:tcBorders>
              <w:top w:val="nil"/>
              <w:left w:val="nil"/>
              <w:bottom w:val="double" w:sz="6" w:space="0" w:color="auto"/>
              <w:right w:val="nil"/>
            </w:tcBorders>
            <w:shd w:val="clear" w:color="000000" w:fill="DBE5F1"/>
            <w:noWrap/>
            <w:vAlign w:val="center"/>
            <w:hideMark/>
          </w:tcPr>
          <w:p w14:paraId="50990E13"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3 mois</w:t>
            </w:r>
          </w:p>
        </w:tc>
        <w:tc>
          <w:tcPr>
            <w:tcW w:w="0" w:type="auto"/>
            <w:tcBorders>
              <w:top w:val="nil"/>
              <w:left w:val="nil"/>
              <w:bottom w:val="double" w:sz="6" w:space="0" w:color="auto"/>
              <w:right w:val="nil"/>
            </w:tcBorders>
            <w:shd w:val="clear" w:color="000000" w:fill="DBE5F1"/>
            <w:noWrap/>
            <w:vAlign w:val="center"/>
            <w:hideMark/>
          </w:tcPr>
          <w:p w14:paraId="1ABDBE8E"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12 mois</w:t>
            </w:r>
          </w:p>
        </w:tc>
      </w:tr>
      <w:tr w:rsidR="00310604" w:rsidRPr="00310604" w14:paraId="1B855FDC" w14:textId="77777777" w:rsidTr="0055438F">
        <w:trPr>
          <w:trHeight w:val="315"/>
          <w:jc w:val="right"/>
        </w:trPr>
        <w:tc>
          <w:tcPr>
            <w:tcW w:w="0" w:type="auto"/>
            <w:tcBorders>
              <w:top w:val="nil"/>
              <w:left w:val="nil"/>
              <w:bottom w:val="nil"/>
              <w:right w:val="nil"/>
            </w:tcBorders>
            <w:shd w:val="clear" w:color="000000" w:fill="FFFFFF"/>
            <w:noWrap/>
            <w:vAlign w:val="center"/>
            <w:hideMark/>
          </w:tcPr>
          <w:p w14:paraId="58652EEC" w14:textId="77777777" w:rsidR="00310604" w:rsidRPr="00310604" w:rsidRDefault="00310604" w:rsidP="00310604">
            <w:pPr>
              <w:spacing w:after="0" w:line="240" w:lineRule="auto"/>
              <w:jc w:val="both"/>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Indice global</w:t>
            </w:r>
          </w:p>
        </w:tc>
        <w:tc>
          <w:tcPr>
            <w:tcW w:w="0" w:type="auto"/>
            <w:tcBorders>
              <w:top w:val="nil"/>
              <w:left w:val="nil"/>
              <w:bottom w:val="nil"/>
              <w:right w:val="nil"/>
            </w:tcBorders>
            <w:shd w:val="clear" w:color="000000" w:fill="FFFFFF"/>
            <w:noWrap/>
            <w:vAlign w:val="center"/>
            <w:hideMark/>
          </w:tcPr>
          <w:p w14:paraId="3CC5FBCF"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10000</w:t>
            </w:r>
          </w:p>
        </w:tc>
        <w:tc>
          <w:tcPr>
            <w:tcW w:w="0" w:type="auto"/>
            <w:tcBorders>
              <w:top w:val="nil"/>
              <w:left w:val="nil"/>
              <w:bottom w:val="nil"/>
              <w:right w:val="nil"/>
            </w:tcBorders>
            <w:shd w:val="clear" w:color="auto" w:fill="auto"/>
            <w:noWrap/>
            <w:vAlign w:val="center"/>
            <w:hideMark/>
          </w:tcPr>
          <w:p w14:paraId="125A1981"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112,8</w:t>
            </w:r>
          </w:p>
        </w:tc>
        <w:tc>
          <w:tcPr>
            <w:tcW w:w="0" w:type="auto"/>
            <w:tcBorders>
              <w:top w:val="nil"/>
              <w:left w:val="nil"/>
              <w:bottom w:val="nil"/>
              <w:right w:val="nil"/>
            </w:tcBorders>
            <w:shd w:val="clear" w:color="auto" w:fill="auto"/>
            <w:noWrap/>
            <w:vAlign w:val="center"/>
            <w:hideMark/>
          </w:tcPr>
          <w:p w14:paraId="25913385"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127,9</w:t>
            </w:r>
          </w:p>
        </w:tc>
        <w:tc>
          <w:tcPr>
            <w:tcW w:w="0" w:type="auto"/>
            <w:tcBorders>
              <w:top w:val="nil"/>
              <w:left w:val="nil"/>
              <w:bottom w:val="nil"/>
              <w:right w:val="nil"/>
            </w:tcBorders>
            <w:shd w:val="clear" w:color="auto" w:fill="auto"/>
            <w:noWrap/>
            <w:vAlign w:val="center"/>
            <w:hideMark/>
          </w:tcPr>
          <w:p w14:paraId="4E723DFF"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128,2</w:t>
            </w:r>
          </w:p>
        </w:tc>
        <w:tc>
          <w:tcPr>
            <w:tcW w:w="0" w:type="auto"/>
            <w:tcBorders>
              <w:top w:val="nil"/>
              <w:left w:val="nil"/>
              <w:bottom w:val="nil"/>
              <w:right w:val="nil"/>
            </w:tcBorders>
            <w:shd w:val="clear" w:color="auto" w:fill="auto"/>
            <w:vAlign w:val="center"/>
            <w:hideMark/>
          </w:tcPr>
          <w:p w14:paraId="0FC140D2"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126,9</w:t>
            </w:r>
          </w:p>
        </w:tc>
        <w:tc>
          <w:tcPr>
            <w:tcW w:w="0" w:type="auto"/>
            <w:tcBorders>
              <w:top w:val="nil"/>
              <w:left w:val="nil"/>
              <w:bottom w:val="nil"/>
              <w:right w:val="nil"/>
            </w:tcBorders>
            <w:shd w:val="clear" w:color="auto" w:fill="auto"/>
            <w:noWrap/>
            <w:vAlign w:val="center"/>
            <w:hideMark/>
          </w:tcPr>
          <w:p w14:paraId="03E08252"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124,7</w:t>
            </w:r>
          </w:p>
        </w:tc>
        <w:tc>
          <w:tcPr>
            <w:tcW w:w="0" w:type="auto"/>
            <w:tcBorders>
              <w:top w:val="nil"/>
              <w:left w:val="nil"/>
              <w:bottom w:val="nil"/>
              <w:right w:val="nil"/>
            </w:tcBorders>
            <w:shd w:val="clear" w:color="auto" w:fill="auto"/>
            <w:noWrap/>
            <w:vAlign w:val="center"/>
            <w:hideMark/>
          </w:tcPr>
          <w:p w14:paraId="56F448F2"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-1,7%</w:t>
            </w:r>
          </w:p>
        </w:tc>
        <w:tc>
          <w:tcPr>
            <w:tcW w:w="0" w:type="auto"/>
            <w:tcBorders>
              <w:top w:val="nil"/>
              <w:left w:val="nil"/>
              <w:bottom w:val="nil"/>
              <w:right w:val="nil"/>
            </w:tcBorders>
            <w:shd w:val="clear" w:color="auto" w:fill="auto"/>
            <w:noWrap/>
            <w:vAlign w:val="center"/>
            <w:hideMark/>
          </w:tcPr>
          <w:p w14:paraId="749F5EDA"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-2,5%</w:t>
            </w:r>
          </w:p>
        </w:tc>
        <w:tc>
          <w:tcPr>
            <w:tcW w:w="0" w:type="auto"/>
            <w:tcBorders>
              <w:top w:val="nil"/>
              <w:left w:val="nil"/>
              <w:bottom w:val="nil"/>
              <w:right w:val="nil"/>
            </w:tcBorders>
            <w:shd w:val="clear" w:color="auto" w:fill="auto"/>
            <w:noWrap/>
            <w:vAlign w:val="center"/>
            <w:hideMark/>
          </w:tcPr>
          <w:p w14:paraId="2106C377" w14:textId="77777777" w:rsidR="00310604" w:rsidRPr="00310604" w:rsidRDefault="00310604" w:rsidP="00310604">
            <w:pPr>
              <w:spacing w:after="0" w:line="240" w:lineRule="auto"/>
              <w:jc w:val="center"/>
              <w:rPr>
                <w:rFonts w:ascii="Arial" w:eastAsia="Times New Roman" w:hAnsi="Arial" w:cs="Arial"/>
                <w:b/>
                <w:bCs/>
                <w:color w:val="000000"/>
                <w:sz w:val="14"/>
                <w:szCs w:val="14"/>
                <w:lang w:val="fr-SN" w:eastAsia="fr-SN"/>
              </w:rPr>
            </w:pPr>
            <w:r w:rsidRPr="00310604">
              <w:rPr>
                <w:rFonts w:ascii="Arial" w:eastAsia="Times New Roman" w:hAnsi="Arial" w:cs="Arial"/>
                <w:b/>
                <w:bCs/>
                <w:color w:val="000000"/>
                <w:sz w:val="14"/>
                <w:szCs w:val="14"/>
                <w:lang w:eastAsia="fr-SN"/>
              </w:rPr>
              <w:t>10,6%</w:t>
            </w:r>
          </w:p>
        </w:tc>
      </w:tr>
      <w:tr w:rsidR="00310604" w:rsidRPr="00310604" w14:paraId="688AAA4C" w14:textId="77777777" w:rsidTr="0055438F">
        <w:trPr>
          <w:trHeight w:val="300"/>
          <w:jc w:val="right"/>
        </w:trPr>
        <w:tc>
          <w:tcPr>
            <w:tcW w:w="0" w:type="auto"/>
            <w:tcBorders>
              <w:top w:val="nil"/>
              <w:left w:val="nil"/>
              <w:bottom w:val="nil"/>
              <w:right w:val="nil"/>
            </w:tcBorders>
            <w:shd w:val="clear" w:color="000000" w:fill="DEEAF6"/>
            <w:noWrap/>
            <w:vAlign w:val="center"/>
            <w:hideMark/>
          </w:tcPr>
          <w:p w14:paraId="66BB342A" w14:textId="77777777" w:rsidR="00310604" w:rsidRPr="00310604" w:rsidRDefault="00310604" w:rsidP="00310604">
            <w:pPr>
              <w:spacing w:after="0" w:line="240" w:lineRule="auto"/>
              <w:jc w:val="both"/>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Produits frais</w:t>
            </w:r>
          </w:p>
        </w:tc>
        <w:tc>
          <w:tcPr>
            <w:tcW w:w="0" w:type="auto"/>
            <w:tcBorders>
              <w:top w:val="nil"/>
              <w:left w:val="nil"/>
              <w:bottom w:val="nil"/>
              <w:right w:val="nil"/>
            </w:tcBorders>
            <w:shd w:val="clear" w:color="000000" w:fill="DEEAF6"/>
            <w:noWrap/>
            <w:vAlign w:val="center"/>
            <w:hideMark/>
          </w:tcPr>
          <w:p w14:paraId="36CD26C5"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2530</w:t>
            </w:r>
          </w:p>
        </w:tc>
        <w:tc>
          <w:tcPr>
            <w:tcW w:w="0" w:type="auto"/>
            <w:tcBorders>
              <w:top w:val="nil"/>
              <w:left w:val="nil"/>
              <w:bottom w:val="nil"/>
              <w:right w:val="nil"/>
            </w:tcBorders>
            <w:shd w:val="clear" w:color="000000" w:fill="DEEAF6"/>
            <w:noWrap/>
            <w:vAlign w:val="center"/>
            <w:hideMark/>
          </w:tcPr>
          <w:p w14:paraId="7755228A"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127,5</w:t>
            </w:r>
          </w:p>
        </w:tc>
        <w:tc>
          <w:tcPr>
            <w:tcW w:w="0" w:type="auto"/>
            <w:tcBorders>
              <w:top w:val="nil"/>
              <w:left w:val="nil"/>
              <w:bottom w:val="nil"/>
              <w:right w:val="nil"/>
            </w:tcBorders>
            <w:shd w:val="clear" w:color="000000" w:fill="DEEAF6"/>
            <w:noWrap/>
            <w:vAlign w:val="center"/>
            <w:hideMark/>
          </w:tcPr>
          <w:p w14:paraId="181AF335"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164,7</w:t>
            </w:r>
          </w:p>
        </w:tc>
        <w:tc>
          <w:tcPr>
            <w:tcW w:w="0" w:type="auto"/>
            <w:tcBorders>
              <w:top w:val="nil"/>
              <w:left w:val="nil"/>
              <w:bottom w:val="nil"/>
              <w:right w:val="nil"/>
            </w:tcBorders>
            <w:shd w:val="clear" w:color="000000" w:fill="DEEAF6"/>
            <w:noWrap/>
            <w:vAlign w:val="center"/>
            <w:hideMark/>
          </w:tcPr>
          <w:p w14:paraId="5CF10175"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163,7</w:t>
            </w:r>
          </w:p>
        </w:tc>
        <w:tc>
          <w:tcPr>
            <w:tcW w:w="0" w:type="auto"/>
            <w:tcBorders>
              <w:top w:val="nil"/>
              <w:left w:val="nil"/>
              <w:bottom w:val="nil"/>
              <w:right w:val="nil"/>
            </w:tcBorders>
            <w:shd w:val="clear" w:color="000000" w:fill="DEEAF6"/>
            <w:vAlign w:val="center"/>
            <w:hideMark/>
          </w:tcPr>
          <w:p w14:paraId="24D1D11A"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158,1</w:t>
            </w:r>
          </w:p>
        </w:tc>
        <w:tc>
          <w:tcPr>
            <w:tcW w:w="0" w:type="auto"/>
            <w:tcBorders>
              <w:top w:val="nil"/>
              <w:left w:val="nil"/>
              <w:bottom w:val="nil"/>
              <w:right w:val="nil"/>
            </w:tcBorders>
            <w:shd w:val="clear" w:color="000000" w:fill="DEEAF6"/>
            <w:noWrap/>
            <w:vAlign w:val="center"/>
            <w:hideMark/>
          </w:tcPr>
          <w:p w14:paraId="204FA5FE"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147,7</w:t>
            </w:r>
          </w:p>
        </w:tc>
        <w:tc>
          <w:tcPr>
            <w:tcW w:w="0" w:type="auto"/>
            <w:tcBorders>
              <w:top w:val="nil"/>
              <w:left w:val="nil"/>
              <w:bottom w:val="nil"/>
              <w:right w:val="nil"/>
            </w:tcBorders>
            <w:shd w:val="clear" w:color="000000" w:fill="DEEAF6"/>
            <w:noWrap/>
            <w:vAlign w:val="center"/>
            <w:hideMark/>
          </w:tcPr>
          <w:p w14:paraId="2A9FC90E"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-6,6%</w:t>
            </w:r>
          </w:p>
        </w:tc>
        <w:tc>
          <w:tcPr>
            <w:tcW w:w="0" w:type="auto"/>
            <w:tcBorders>
              <w:top w:val="nil"/>
              <w:left w:val="nil"/>
              <w:bottom w:val="nil"/>
              <w:right w:val="nil"/>
            </w:tcBorders>
            <w:shd w:val="clear" w:color="000000" w:fill="DEEAF6"/>
            <w:noWrap/>
            <w:vAlign w:val="center"/>
            <w:hideMark/>
          </w:tcPr>
          <w:p w14:paraId="4EF0F860"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-10,3%</w:t>
            </w:r>
          </w:p>
        </w:tc>
        <w:tc>
          <w:tcPr>
            <w:tcW w:w="0" w:type="auto"/>
            <w:tcBorders>
              <w:top w:val="nil"/>
              <w:left w:val="nil"/>
              <w:bottom w:val="nil"/>
              <w:right w:val="nil"/>
            </w:tcBorders>
            <w:shd w:val="clear" w:color="000000" w:fill="DEEAF6"/>
            <w:noWrap/>
            <w:vAlign w:val="center"/>
            <w:hideMark/>
          </w:tcPr>
          <w:p w14:paraId="0D754FFF"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15,8%</w:t>
            </w:r>
          </w:p>
        </w:tc>
      </w:tr>
      <w:tr w:rsidR="00310604" w:rsidRPr="00310604" w14:paraId="634AE3AA" w14:textId="77777777" w:rsidTr="0055438F">
        <w:trPr>
          <w:trHeight w:val="300"/>
          <w:jc w:val="right"/>
        </w:trPr>
        <w:tc>
          <w:tcPr>
            <w:tcW w:w="0" w:type="auto"/>
            <w:tcBorders>
              <w:top w:val="nil"/>
              <w:left w:val="nil"/>
              <w:bottom w:val="nil"/>
              <w:right w:val="nil"/>
            </w:tcBorders>
            <w:shd w:val="clear" w:color="000000" w:fill="FFFFFF"/>
            <w:noWrap/>
            <w:vAlign w:val="center"/>
            <w:hideMark/>
          </w:tcPr>
          <w:p w14:paraId="2AB41C73" w14:textId="77777777" w:rsidR="00310604" w:rsidRPr="00310604" w:rsidRDefault="00310604" w:rsidP="00310604">
            <w:pPr>
              <w:spacing w:after="0" w:line="240" w:lineRule="auto"/>
              <w:jc w:val="both"/>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Energie</w:t>
            </w:r>
          </w:p>
        </w:tc>
        <w:tc>
          <w:tcPr>
            <w:tcW w:w="0" w:type="auto"/>
            <w:tcBorders>
              <w:top w:val="nil"/>
              <w:left w:val="nil"/>
              <w:bottom w:val="nil"/>
              <w:right w:val="nil"/>
            </w:tcBorders>
            <w:shd w:val="clear" w:color="000000" w:fill="FFFFFF"/>
            <w:noWrap/>
            <w:vAlign w:val="center"/>
            <w:hideMark/>
          </w:tcPr>
          <w:p w14:paraId="5AB41E6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612</w:t>
            </w:r>
          </w:p>
        </w:tc>
        <w:tc>
          <w:tcPr>
            <w:tcW w:w="0" w:type="auto"/>
            <w:tcBorders>
              <w:top w:val="nil"/>
              <w:left w:val="nil"/>
              <w:bottom w:val="nil"/>
              <w:right w:val="nil"/>
            </w:tcBorders>
            <w:shd w:val="clear" w:color="auto" w:fill="auto"/>
            <w:noWrap/>
            <w:vAlign w:val="center"/>
            <w:hideMark/>
          </w:tcPr>
          <w:p w14:paraId="4AFF18DA"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94,9</w:t>
            </w:r>
          </w:p>
        </w:tc>
        <w:tc>
          <w:tcPr>
            <w:tcW w:w="0" w:type="auto"/>
            <w:tcBorders>
              <w:top w:val="nil"/>
              <w:left w:val="nil"/>
              <w:bottom w:val="nil"/>
              <w:right w:val="nil"/>
            </w:tcBorders>
            <w:shd w:val="clear" w:color="auto" w:fill="auto"/>
            <w:noWrap/>
            <w:vAlign w:val="center"/>
            <w:hideMark/>
          </w:tcPr>
          <w:p w14:paraId="37694F51"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101,8</w:t>
            </w:r>
          </w:p>
        </w:tc>
        <w:tc>
          <w:tcPr>
            <w:tcW w:w="0" w:type="auto"/>
            <w:tcBorders>
              <w:top w:val="nil"/>
              <w:left w:val="nil"/>
              <w:bottom w:val="nil"/>
              <w:right w:val="nil"/>
            </w:tcBorders>
            <w:shd w:val="clear" w:color="auto" w:fill="auto"/>
            <w:noWrap/>
            <w:vAlign w:val="center"/>
            <w:hideMark/>
          </w:tcPr>
          <w:p w14:paraId="5E14B462"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104</w:t>
            </w:r>
          </w:p>
        </w:tc>
        <w:tc>
          <w:tcPr>
            <w:tcW w:w="0" w:type="auto"/>
            <w:tcBorders>
              <w:top w:val="nil"/>
              <w:left w:val="nil"/>
              <w:bottom w:val="nil"/>
              <w:right w:val="nil"/>
            </w:tcBorders>
            <w:shd w:val="clear" w:color="auto" w:fill="auto"/>
            <w:vAlign w:val="center"/>
            <w:hideMark/>
          </w:tcPr>
          <w:p w14:paraId="5B590B43"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104,8</w:t>
            </w:r>
          </w:p>
        </w:tc>
        <w:tc>
          <w:tcPr>
            <w:tcW w:w="0" w:type="auto"/>
            <w:tcBorders>
              <w:top w:val="nil"/>
              <w:left w:val="nil"/>
              <w:bottom w:val="nil"/>
              <w:right w:val="nil"/>
            </w:tcBorders>
            <w:shd w:val="clear" w:color="auto" w:fill="auto"/>
            <w:noWrap/>
            <w:vAlign w:val="center"/>
            <w:hideMark/>
          </w:tcPr>
          <w:p w14:paraId="0211E641"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111,7</w:t>
            </w:r>
          </w:p>
        </w:tc>
        <w:tc>
          <w:tcPr>
            <w:tcW w:w="0" w:type="auto"/>
            <w:tcBorders>
              <w:top w:val="nil"/>
              <w:left w:val="nil"/>
              <w:bottom w:val="nil"/>
              <w:right w:val="nil"/>
            </w:tcBorders>
            <w:shd w:val="clear" w:color="auto" w:fill="auto"/>
            <w:noWrap/>
            <w:vAlign w:val="center"/>
            <w:hideMark/>
          </w:tcPr>
          <w:p w14:paraId="03BB081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6,6%</w:t>
            </w:r>
          </w:p>
        </w:tc>
        <w:tc>
          <w:tcPr>
            <w:tcW w:w="0" w:type="auto"/>
            <w:tcBorders>
              <w:top w:val="nil"/>
              <w:left w:val="nil"/>
              <w:bottom w:val="nil"/>
              <w:right w:val="nil"/>
            </w:tcBorders>
            <w:shd w:val="clear" w:color="auto" w:fill="auto"/>
            <w:noWrap/>
            <w:vAlign w:val="center"/>
            <w:hideMark/>
          </w:tcPr>
          <w:p w14:paraId="3931D783"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9,7%</w:t>
            </w:r>
          </w:p>
        </w:tc>
        <w:tc>
          <w:tcPr>
            <w:tcW w:w="0" w:type="auto"/>
            <w:tcBorders>
              <w:top w:val="nil"/>
              <w:left w:val="nil"/>
              <w:bottom w:val="nil"/>
              <w:right w:val="nil"/>
            </w:tcBorders>
            <w:shd w:val="clear" w:color="auto" w:fill="auto"/>
            <w:noWrap/>
            <w:vAlign w:val="center"/>
            <w:hideMark/>
          </w:tcPr>
          <w:p w14:paraId="48258ACE"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17,7%</w:t>
            </w:r>
          </w:p>
        </w:tc>
      </w:tr>
      <w:tr w:rsidR="00310604" w:rsidRPr="00310604" w14:paraId="3C08532B" w14:textId="77777777" w:rsidTr="0055438F">
        <w:trPr>
          <w:trHeight w:val="300"/>
          <w:jc w:val="right"/>
        </w:trPr>
        <w:tc>
          <w:tcPr>
            <w:tcW w:w="0" w:type="auto"/>
            <w:tcBorders>
              <w:top w:val="nil"/>
              <w:left w:val="nil"/>
              <w:bottom w:val="nil"/>
              <w:right w:val="nil"/>
            </w:tcBorders>
            <w:shd w:val="clear" w:color="000000" w:fill="DEEAF6"/>
            <w:noWrap/>
            <w:vAlign w:val="center"/>
            <w:hideMark/>
          </w:tcPr>
          <w:p w14:paraId="4B0CE100" w14:textId="77777777" w:rsidR="00310604" w:rsidRPr="00310604" w:rsidRDefault="00310604" w:rsidP="00310604">
            <w:pPr>
              <w:spacing w:after="0" w:line="240" w:lineRule="auto"/>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Hors énergie et produits frais (inflation sous-jacente)</w:t>
            </w:r>
          </w:p>
        </w:tc>
        <w:tc>
          <w:tcPr>
            <w:tcW w:w="0" w:type="auto"/>
            <w:tcBorders>
              <w:top w:val="nil"/>
              <w:left w:val="nil"/>
              <w:bottom w:val="nil"/>
              <w:right w:val="nil"/>
            </w:tcBorders>
            <w:shd w:val="clear" w:color="000000" w:fill="DEEAF6"/>
            <w:noWrap/>
            <w:vAlign w:val="center"/>
            <w:hideMark/>
          </w:tcPr>
          <w:p w14:paraId="48209A9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6858</w:t>
            </w:r>
          </w:p>
        </w:tc>
        <w:tc>
          <w:tcPr>
            <w:tcW w:w="0" w:type="auto"/>
            <w:tcBorders>
              <w:top w:val="nil"/>
              <w:left w:val="nil"/>
              <w:bottom w:val="nil"/>
              <w:right w:val="nil"/>
            </w:tcBorders>
            <w:shd w:val="clear" w:color="000000" w:fill="DEEAF6"/>
            <w:noWrap/>
            <w:vAlign w:val="center"/>
            <w:hideMark/>
          </w:tcPr>
          <w:p w14:paraId="25D74150"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110</w:t>
            </w:r>
          </w:p>
        </w:tc>
        <w:tc>
          <w:tcPr>
            <w:tcW w:w="0" w:type="auto"/>
            <w:tcBorders>
              <w:top w:val="nil"/>
              <w:left w:val="nil"/>
              <w:bottom w:val="nil"/>
              <w:right w:val="nil"/>
            </w:tcBorders>
            <w:shd w:val="clear" w:color="000000" w:fill="DEEAF6"/>
            <w:noWrap/>
            <w:vAlign w:val="center"/>
            <w:hideMark/>
          </w:tcPr>
          <w:p w14:paraId="4DF16537"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118,2</w:t>
            </w:r>
          </w:p>
        </w:tc>
        <w:tc>
          <w:tcPr>
            <w:tcW w:w="0" w:type="auto"/>
            <w:tcBorders>
              <w:top w:val="nil"/>
              <w:left w:val="nil"/>
              <w:bottom w:val="nil"/>
              <w:right w:val="nil"/>
            </w:tcBorders>
            <w:shd w:val="clear" w:color="000000" w:fill="DEEAF6"/>
            <w:noWrap/>
            <w:vAlign w:val="center"/>
            <w:hideMark/>
          </w:tcPr>
          <w:p w14:paraId="40C4CFF0"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118,8</w:t>
            </w:r>
          </w:p>
        </w:tc>
        <w:tc>
          <w:tcPr>
            <w:tcW w:w="0" w:type="auto"/>
            <w:tcBorders>
              <w:top w:val="nil"/>
              <w:left w:val="nil"/>
              <w:bottom w:val="nil"/>
              <w:right w:val="nil"/>
            </w:tcBorders>
            <w:shd w:val="clear" w:color="000000" w:fill="DEEAF6"/>
            <w:vAlign w:val="center"/>
            <w:hideMark/>
          </w:tcPr>
          <w:p w14:paraId="596A05AC"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119</w:t>
            </w:r>
          </w:p>
        </w:tc>
        <w:tc>
          <w:tcPr>
            <w:tcW w:w="0" w:type="auto"/>
            <w:tcBorders>
              <w:top w:val="nil"/>
              <w:left w:val="nil"/>
              <w:bottom w:val="nil"/>
              <w:right w:val="nil"/>
            </w:tcBorders>
            <w:shd w:val="clear" w:color="000000" w:fill="DEEAF6"/>
            <w:noWrap/>
            <w:vAlign w:val="center"/>
            <w:hideMark/>
          </w:tcPr>
          <w:p w14:paraId="53688F5E"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117,7</w:t>
            </w:r>
          </w:p>
        </w:tc>
        <w:tc>
          <w:tcPr>
            <w:tcW w:w="0" w:type="auto"/>
            <w:tcBorders>
              <w:top w:val="nil"/>
              <w:left w:val="nil"/>
              <w:bottom w:val="nil"/>
              <w:right w:val="nil"/>
            </w:tcBorders>
            <w:shd w:val="clear" w:color="000000" w:fill="DEEAF6"/>
            <w:noWrap/>
            <w:vAlign w:val="center"/>
            <w:hideMark/>
          </w:tcPr>
          <w:p w14:paraId="6D50FAF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w:t>
            </w:r>
          </w:p>
        </w:tc>
        <w:tc>
          <w:tcPr>
            <w:tcW w:w="0" w:type="auto"/>
            <w:tcBorders>
              <w:top w:val="nil"/>
              <w:left w:val="nil"/>
              <w:bottom w:val="nil"/>
              <w:right w:val="nil"/>
            </w:tcBorders>
            <w:shd w:val="clear" w:color="000000" w:fill="DEEAF6"/>
            <w:noWrap/>
            <w:vAlign w:val="center"/>
            <w:hideMark/>
          </w:tcPr>
          <w:p w14:paraId="56B8AC32"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-0,5%</w:t>
            </w:r>
          </w:p>
        </w:tc>
        <w:tc>
          <w:tcPr>
            <w:tcW w:w="0" w:type="auto"/>
            <w:tcBorders>
              <w:top w:val="nil"/>
              <w:left w:val="nil"/>
              <w:bottom w:val="nil"/>
              <w:right w:val="nil"/>
            </w:tcBorders>
            <w:shd w:val="clear" w:color="000000" w:fill="DEEAF6"/>
            <w:noWrap/>
            <w:vAlign w:val="center"/>
            <w:hideMark/>
          </w:tcPr>
          <w:p w14:paraId="05B2EBAF"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7,0%</w:t>
            </w:r>
          </w:p>
        </w:tc>
      </w:tr>
      <w:tr w:rsidR="00310604" w:rsidRPr="00310604" w14:paraId="3F72DC4F" w14:textId="77777777" w:rsidTr="0055438F">
        <w:trPr>
          <w:trHeight w:val="300"/>
          <w:jc w:val="right"/>
        </w:trPr>
        <w:tc>
          <w:tcPr>
            <w:tcW w:w="0" w:type="auto"/>
            <w:tcBorders>
              <w:top w:val="nil"/>
              <w:left w:val="nil"/>
              <w:bottom w:val="nil"/>
              <w:right w:val="nil"/>
            </w:tcBorders>
            <w:shd w:val="clear" w:color="000000" w:fill="FFFFFF"/>
            <w:noWrap/>
            <w:vAlign w:val="center"/>
            <w:hideMark/>
          </w:tcPr>
          <w:p w14:paraId="266B741C" w14:textId="77777777" w:rsidR="00310604" w:rsidRPr="00310604" w:rsidRDefault="00310604" w:rsidP="00310604">
            <w:pPr>
              <w:spacing w:after="0" w:line="240" w:lineRule="auto"/>
              <w:jc w:val="both"/>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Local</w:t>
            </w:r>
          </w:p>
        </w:tc>
        <w:tc>
          <w:tcPr>
            <w:tcW w:w="0" w:type="auto"/>
            <w:tcBorders>
              <w:top w:val="nil"/>
              <w:left w:val="nil"/>
              <w:bottom w:val="nil"/>
              <w:right w:val="nil"/>
            </w:tcBorders>
            <w:shd w:val="clear" w:color="000000" w:fill="FFFFFF"/>
            <w:noWrap/>
            <w:vAlign w:val="center"/>
            <w:hideMark/>
          </w:tcPr>
          <w:p w14:paraId="035227B3"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6991</w:t>
            </w:r>
          </w:p>
        </w:tc>
        <w:tc>
          <w:tcPr>
            <w:tcW w:w="0" w:type="auto"/>
            <w:tcBorders>
              <w:top w:val="nil"/>
              <w:left w:val="nil"/>
              <w:bottom w:val="nil"/>
              <w:right w:val="nil"/>
            </w:tcBorders>
            <w:shd w:val="clear" w:color="auto" w:fill="auto"/>
            <w:noWrap/>
            <w:vAlign w:val="center"/>
            <w:hideMark/>
          </w:tcPr>
          <w:p w14:paraId="01C9A31F"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115,8</w:t>
            </w:r>
          </w:p>
        </w:tc>
        <w:tc>
          <w:tcPr>
            <w:tcW w:w="0" w:type="auto"/>
            <w:tcBorders>
              <w:top w:val="nil"/>
              <w:left w:val="nil"/>
              <w:bottom w:val="nil"/>
              <w:right w:val="nil"/>
            </w:tcBorders>
            <w:shd w:val="clear" w:color="auto" w:fill="auto"/>
            <w:noWrap/>
            <w:vAlign w:val="center"/>
            <w:hideMark/>
          </w:tcPr>
          <w:p w14:paraId="2F838C5F"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133,9</w:t>
            </w:r>
          </w:p>
        </w:tc>
        <w:tc>
          <w:tcPr>
            <w:tcW w:w="0" w:type="auto"/>
            <w:tcBorders>
              <w:top w:val="nil"/>
              <w:left w:val="nil"/>
              <w:bottom w:val="nil"/>
              <w:right w:val="nil"/>
            </w:tcBorders>
            <w:shd w:val="clear" w:color="auto" w:fill="auto"/>
            <w:noWrap/>
            <w:vAlign w:val="center"/>
            <w:hideMark/>
          </w:tcPr>
          <w:p w14:paraId="64ACD42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133,9</w:t>
            </w:r>
          </w:p>
        </w:tc>
        <w:tc>
          <w:tcPr>
            <w:tcW w:w="0" w:type="auto"/>
            <w:tcBorders>
              <w:top w:val="nil"/>
              <w:left w:val="nil"/>
              <w:bottom w:val="nil"/>
              <w:right w:val="nil"/>
            </w:tcBorders>
            <w:shd w:val="clear" w:color="auto" w:fill="auto"/>
            <w:vAlign w:val="center"/>
            <w:hideMark/>
          </w:tcPr>
          <w:p w14:paraId="55539E7B"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132,2</w:t>
            </w:r>
          </w:p>
        </w:tc>
        <w:tc>
          <w:tcPr>
            <w:tcW w:w="0" w:type="auto"/>
            <w:tcBorders>
              <w:top w:val="nil"/>
              <w:left w:val="nil"/>
              <w:bottom w:val="nil"/>
              <w:right w:val="nil"/>
            </w:tcBorders>
            <w:shd w:val="clear" w:color="auto" w:fill="auto"/>
            <w:noWrap/>
            <w:vAlign w:val="center"/>
            <w:hideMark/>
          </w:tcPr>
          <w:p w14:paraId="03F3A503"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128,7</w:t>
            </w:r>
          </w:p>
        </w:tc>
        <w:tc>
          <w:tcPr>
            <w:tcW w:w="0" w:type="auto"/>
            <w:tcBorders>
              <w:top w:val="nil"/>
              <w:left w:val="nil"/>
              <w:bottom w:val="nil"/>
              <w:right w:val="nil"/>
            </w:tcBorders>
            <w:shd w:val="clear" w:color="auto" w:fill="auto"/>
            <w:noWrap/>
            <w:vAlign w:val="center"/>
            <w:hideMark/>
          </w:tcPr>
          <w:p w14:paraId="350E0CC7"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-2,7%</w:t>
            </w:r>
          </w:p>
        </w:tc>
        <w:tc>
          <w:tcPr>
            <w:tcW w:w="0" w:type="auto"/>
            <w:tcBorders>
              <w:top w:val="nil"/>
              <w:left w:val="nil"/>
              <w:bottom w:val="nil"/>
              <w:right w:val="nil"/>
            </w:tcBorders>
            <w:shd w:val="clear" w:color="auto" w:fill="auto"/>
            <w:noWrap/>
            <w:vAlign w:val="center"/>
            <w:hideMark/>
          </w:tcPr>
          <w:p w14:paraId="770CF9F8"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-3,9%</w:t>
            </w:r>
          </w:p>
        </w:tc>
        <w:tc>
          <w:tcPr>
            <w:tcW w:w="0" w:type="auto"/>
            <w:tcBorders>
              <w:top w:val="nil"/>
              <w:left w:val="nil"/>
              <w:bottom w:val="nil"/>
              <w:right w:val="nil"/>
            </w:tcBorders>
            <w:shd w:val="clear" w:color="auto" w:fill="auto"/>
            <w:noWrap/>
            <w:vAlign w:val="center"/>
            <w:hideMark/>
          </w:tcPr>
          <w:p w14:paraId="47DE8A77"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11,1%</w:t>
            </w:r>
          </w:p>
        </w:tc>
      </w:tr>
      <w:tr w:rsidR="00310604" w:rsidRPr="00310604" w14:paraId="77DD668A" w14:textId="77777777" w:rsidTr="0055438F">
        <w:trPr>
          <w:trHeight w:val="300"/>
          <w:jc w:val="right"/>
        </w:trPr>
        <w:tc>
          <w:tcPr>
            <w:tcW w:w="0" w:type="auto"/>
            <w:tcBorders>
              <w:top w:val="nil"/>
              <w:left w:val="nil"/>
              <w:bottom w:val="nil"/>
              <w:right w:val="nil"/>
            </w:tcBorders>
            <w:shd w:val="clear" w:color="000000" w:fill="DEEAF6"/>
            <w:noWrap/>
            <w:vAlign w:val="center"/>
            <w:hideMark/>
          </w:tcPr>
          <w:p w14:paraId="347A9DD0" w14:textId="77777777" w:rsidR="00310604" w:rsidRPr="00310604" w:rsidRDefault="00310604" w:rsidP="00310604">
            <w:pPr>
              <w:spacing w:after="0" w:line="240" w:lineRule="auto"/>
              <w:jc w:val="both"/>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Importé</w:t>
            </w:r>
          </w:p>
        </w:tc>
        <w:tc>
          <w:tcPr>
            <w:tcW w:w="0" w:type="auto"/>
            <w:tcBorders>
              <w:top w:val="nil"/>
              <w:left w:val="nil"/>
              <w:bottom w:val="nil"/>
              <w:right w:val="nil"/>
            </w:tcBorders>
            <w:shd w:val="clear" w:color="000000" w:fill="DEEAF6"/>
            <w:noWrap/>
            <w:vAlign w:val="center"/>
            <w:hideMark/>
          </w:tcPr>
          <w:p w14:paraId="5F05099B"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3009</w:t>
            </w:r>
          </w:p>
        </w:tc>
        <w:tc>
          <w:tcPr>
            <w:tcW w:w="0" w:type="auto"/>
            <w:tcBorders>
              <w:top w:val="nil"/>
              <w:left w:val="nil"/>
              <w:bottom w:val="nil"/>
              <w:right w:val="nil"/>
            </w:tcBorders>
            <w:shd w:val="clear" w:color="000000" w:fill="DEEAF6"/>
            <w:noWrap/>
            <w:vAlign w:val="center"/>
            <w:hideMark/>
          </w:tcPr>
          <w:p w14:paraId="5F4E5F5D"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105,2</w:t>
            </w:r>
          </w:p>
        </w:tc>
        <w:tc>
          <w:tcPr>
            <w:tcW w:w="0" w:type="auto"/>
            <w:tcBorders>
              <w:top w:val="nil"/>
              <w:left w:val="nil"/>
              <w:bottom w:val="nil"/>
              <w:right w:val="nil"/>
            </w:tcBorders>
            <w:shd w:val="clear" w:color="000000" w:fill="DEEAF6"/>
            <w:noWrap/>
            <w:vAlign w:val="center"/>
            <w:hideMark/>
          </w:tcPr>
          <w:p w14:paraId="5CAD6DBE"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113,1</w:t>
            </w:r>
          </w:p>
        </w:tc>
        <w:tc>
          <w:tcPr>
            <w:tcW w:w="0" w:type="auto"/>
            <w:tcBorders>
              <w:top w:val="nil"/>
              <w:left w:val="nil"/>
              <w:bottom w:val="nil"/>
              <w:right w:val="nil"/>
            </w:tcBorders>
            <w:shd w:val="clear" w:color="000000" w:fill="DEEAF6"/>
            <w:noWrap/>
            <w:vAlign w:val="center"/>
            <w:hideMark/>
          </w:tcPr>
          <w:p w14:paraId="0457EEA4"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114</w:t>
            </w:r>
          </w:p>
        </w:tc>
        <w:tc>
          <w:tcPr>
            <w:tcW w:w="0" w:type="auto"/>
            <w:tcBorders>
              <w:top w:val="nil"/>
              <w:left w:val="nil"/>
              <w:bottom w:val="nil"/>
              <w:right w:val="nil"/>
            </w:tcBorders>
            <w:shd w:val="clear" w:color="000000" w:fill="DEEAF6"/>
            <w:vAlign w:val="center"/>
            <w:hideMark/>
          </w:tcPr>
          <w:p w14:paraId="3C6AAA2C"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114,2</w:t>
            </w:r>
          </w:p>
        </w:tc>
        <w:tc>
          <w:tcPr>
            <w:tcW w:w="0" w:type="auto"/>
            <w:tcBorders>
              <w:top w:val="nil"/>
              <w:left w:val="nil"/>
              <w:bottom w:val="nil"/>
              <w:right w:val="nil"/>
            </w:tcBorders>
            <w:shd w:val="clear" w:color="000000" w:fill="DEEAF6"/>
            <w:noWrap/>
            <w:vAlign w:val="center"/>
            <w:hideMark/>
          </w:tcPr>
          <w:p w14:paraId="630F3459"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114,1</w:t>
            </w:r>
          </w:p>
        </w:tc>
        <w:tc>
          <w:tcPr>
            <w:tcW w:w="0" w:type="auto"/>
            <w:tcBorders>
              <w:top w:val="nil"/>
              <w:left w:val="nil"/>
              <w:bottom w:val="nil"/>
              <w:right w:val="nil"/>
            </w:tcBorders>
            <w:shd w:val="clear" w:color="000000" w:fill="DEEAF6"/>
            <w:noWrap/>
            <w:vAlign w:val="center"/>
            <w:hideMark/>
          </w:tcPr>
          <w:p w14:paraId="5958166B"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-0,1%</w:t>
            </w:r>
          </w:p>
        </w:tc>
        <w:tc>
          <w:tcPr>
            <w:tcW w:w="0" w:type="auto"/>
            <w:tcBorders>
              <w:top w:val="nil"/>
              <w:left w:val="nil"/>
              <w:bottom w:val="nil"/>
              <w:right w:val="nil"/>
            </w:tcBorders>
            <w:shd w:val="clear" w:color="000000" w:fill="DEEAF6"/>
            <w:noWrap/>
            <w:vAlign w:val="center"/>
            <w:hideMark/>
          </w:tcPr>
          <w:p w14:paraId="2360E9C7"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0,8%</w:t>
            </w:r>
          </w:p>
        </w:tc>
        <w:tc>
          <w:tcPr>
            <w:tcW w:w="0" w:type="auto"/>
            <w:tcBorders>
              <w:top w:val="nil"/>
              <w:left w:val="nil"/>
              <w:bottom w:val="nil"/>
              <w:right w:val="nil"/>
            </w:tcBorders>
            <w:shd w:val="clear" w:color="000000" w:fill="DEEAF6"/>
            <w:noWrap/>
            <w:vAlign w:val="center"/>
            <w:hideMark/>
          </w:tcPr>
          <w:p w14:paraId="57F54824"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8,4%</w:t>
            </w:r>
          </w:p>
        </w:tc>
      </w:tr>
      <w:tr w:rsidR="00310604" w:rsidRPr="00310604" w14:paraId="6AB22A5B" w14:textId="77777777" w:rsidTr="0055438F">
        <w:trPr>
          <w:trHeight w:val="300"/>
          <w:jc w:val="right"/>
        </w:trPr>
        <w:tc>
          <w:tcPr>
            <w:tcW w:w="0" w:type="auto"/>
            <w:tcBorders>
              <w:top w:val="nil"/>
              <w:left w:val="nil"/>
              <w:bottom w:val="nil"/>
              <w:right w:val="nil"/>
            </w:tcBorders>
            <w:shd w:val="clear" w:color="000000" w:fill="FFFFFF"/>
            <w:noWrap/>
            <w:vAlign w:val="center"/>
            <w:hideMark/>
          </w:tcPr>
          <w:p w14:paraId="03B3B7B2" w14:textId="77777777" w:rsidR="00310604" w:rsidRPr="00310604" w:rsidRDefault="00310604" w:rsidP="00310604">
            <w:pPr>
              <w:spacing w:after="0" w:line="240" w:lineRule="auto"/>
              <w:jc w:val="both"/>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Primaire</w:t>
            </w:r>
          </w:p>
        </w:tc>
        <w:tc>
          <w:tcPr>
            <w:tcW w:w="0" w:type="auto"/>
            <w:tcBorders>
              <w:top w:val="nil"/>
              <w:left w:val="nil"/>
              <w:bottom w:val="nil"/>
              <w:right w:val="nil"/>
            </w:tcBorders>
            <w:shd w:val="clear" w:color="000000" w:fill="FFFFFF"/>
            <w:noWrap/>
            <w:vAlign w:val="center"/>
            <w:hideMark/>
          </w:tcPr>
          <w:p w14:paraId="209AC902"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4076</w:t>
            </w:r>
          </w:p>
        </w:tc>
        <w:tc>
          <w:tcPr>
            <w:tcW w:w="0" w:type="auto"/>
            <w:tcBorders>
              <w:top w:val="nil"/>
              <w:left w:val="nil"/>
              <w:bottom w:val="nil"/>
              <w:right w:val="nil"/>
            </w:tcBorders>
            <w:shd w:val="clear" w:color="auto" w:fill="auto"/>
            <w:noWrap/>
            <w:vAlign w:val="center"/>
            <w:hideMark/>
          </w:tcPr>
          <w:p w14:paraId="6D1E250B"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125,2</w:t>
            </w:r>
          </w:p>
        </w:tc>
        <w:tc>
          <w:tcPr>
            <w:tcW w:w="0" w:type="auto"/>
            <w:tcBorders>
              <w:top w:val="nil"/>
              <w:left w:val="nil"/>
              <w:bottom w:val="nil"/>
              <w:right w:val="nil"/>
            </w:tcBorders>
            <w:shd w:val="clear" w:color="auto" w:fill="auto"/>
            <w:noWrap/>
            <w:vAlign w:val="center"/>
            <w:hideMark/>
          </w:tcPr>
          <w:p w14:paraId="3880169A"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153,2</w:t>
            </w:r>
          </w:p>
        </w:tc>
        <w:tc>
          <w:tcPr>
            <w:tcW w:w="0" w:type="auto"/>
            <w:tcBorders>
              <w:top w:val="nil"/>
              <w:left w:val="nil"/>
              <w:bottom w:val="nil"/>
              <w:right w:val="nil"/>
            </w:tcBorders>
            <w:shd w:val="clear" w:color="auto" w:fill="auto"/>
            <w:noWrap/>
            <w:vAlign w:val="center"/>
            <w:hideMark/>
          </w:tcPr>
          <w:p w14:paraId="24EFD250"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153,2</w:t>
            </w:r>
          </w:p>
        </w:tc>
        <w:tc>
          <w:tcPr>
            <w:tcW w:w="0" w:type="auto"/>
            <w:tcBorders>
              <w:top w:val="nil"/>
              <w:left w:val="nil"/>
              <w:bottom w:val="nil"/>
              <w:right w:val="nil"/>
            </w:tcBorders>
            <w:shd w:val="clear" w:color="auto" w:fill="auto"/>
            <w:vAlign w:val="center"/>
            <w:hideMark/>
          </w:tcPr>
          <w:p w14:paraId="1F63FBAA"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149,9</w:t>
            </w:r>
          </w:p>
        </w:tc>
        <w:tc>
          <w:tcPr>
            <w:tcW w:w="0" w:type="auto"/>
            <w:tcBorders>
              <w:top w:val="nil"/>
              <w:left w:val="nil"/>
              <w:bottom w:val="nil"/>
              <w:right w:val="nil"/>
            </w:tcBorders>
            <w:shd w:val="clear" w:color="auto" w:fill="auto"/>
            <w:noWrap/>
            <w:vAlign w:val="center"/>
            <w:hideMark/>
          </w:tcPr>
          <w:p w14:paraId="59BA6FDD"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142,6</w:t>
            </w:r>
          </w:p>
        </w:tc>
        <w:tc>
          <w:tcPr>
            <w:tcW w:w="0" w:type="auto"/>
            <w:tcBorders>
              <w:top w:val="nil"/>
              <w:left w:val="nil"/>
              <w:bottom w:val="nil"/>
              <w:right w:val="nil"/>
            </w:tcBorders>
            <w:shd w:val="clear" w:color="auto" w:fill="auto"/>
            <w:noWrap/>
            <w:vAlign w:val="center"/>
            <w:hideMark/>
          </w:tcPr>
          <w:p w14:paraId="60625995"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-4,9%</w:t>
            </w:r>
          </w:p>
        </w:tc>
        <w:tc>
          <w:tcPr>
            <w:tcW w:w="0" w:type="auto"/>
            <w:tcBorders>
              <w:top w:val="nil"/>
              <w:left w:val="nil"/>
              <w:bottom w:val="nil"/>
              <w:right w:val="nil"/>
            </w:tcBorders>
            <w:shd w:val="clear" w:color="auto" w:fill="auto"/>
            <w:noWrap/>
            <w:vAlign w:val="center"/>
            <w:hideMark/>
          </w:tcPr>
          <w:p w14:paraId="3813A35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-6,9%</w:t>
            </w:r>
          </w:p>
        </w:tc>
        <w:tc>
          <w:tcPr>
            <w:tcW w:w="0" w:type="auto"/>
            <w:tcBorders>
              <w:top w:val="nil"/>
              <w:left w:val="nil"/>
              <w:bottom w:val="nil"/>
              <w:right w:val="nil"/>
            </w:tcBorders>
            <w:shd w:val="clear" w:color="auto" w:fill="auto"/>
            <w:noWrap/>
            <w:vAlign w:val="center"/>
            <w:hideMark/>
          </w:tcPr>
          <w:p w14:paraId="646DFDE5"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13,9%</w:t>
            </w:r>
          </w:p>
        </w:tc>
      </w:tr>
      <w:tr w:rsidR="00310604" w:rsidRPr="00310604" w14:paraId="38EEF921" w14:textId="77777777" w:rsidTr="0055438F">
        <w:trPr>
          <w:trHeight w:val="300"/>
          <w:jc w:val="right"/>
        </w:trPr>
        <w:tc>
          <w:tcPr>
            <w:tcW w:w="0" w:type="auto"/>
            <w:tcBorders>
              <w:top w:val="nil"/>
              <w:left w:val="nil"/>
              <w:bottom w:val="nil"/>
              <w:right w:val="nil"/>
            </w:tcBorders>
            <w:shd w:val="clear" w:color="000000" w:fill="DEEAF6"/>
            <w:noWrap/>
            <w:vAlign w:val="center"/>
            <w:hideMark/>
          </w:tcPr>
          <w:p w14:paraId="500FE20A" w14:textId="77777777" w:rsidR="00310604" w:rsidRPr="00310604" w:rsidRDefault="00310604" w:rsidP="00310604">
            <w:pPr>
              <w:spacing w:after="0" w:line="240" w:lineRule="auto"/>
              <w:jc w:val="both"/>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Secondaire</w:t>
            </w:r>
          </w:p>
        </w:tc>
        <w:tc>
          <w:tcPr>
            <w:tcW w:w="0" w:type="auto"/>
            <w:tcBorders>
              <w:top w:val="nil"/>
              <w:left w:val="nil"/>
              <w:bottom w:val="nil"/>
              <w:right w:val="nil"/>
            </w:tcBorders>
            <w:shd w:val="clear" w:color="000000" w:fill="DEEAF6"/>
            <w:noWrap/>
            <w:vAlign w:val="center"/>
            <w:hideMark/>
          </w:tcPr>
          <w:p w14:paraId="0C5F7294"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3638</w:t>
            </w:r>
          </w:p>
        </w:tc>
        <w:tc>
          <w:tcPr>
            <w:tcW w:w="0" w:type="auto"/>
            <w:tcBorders>
              <w:top w:val="nil"/>
              <w:left w:val="nil"/>
              <w:bottom w:val="nil"/>
              <w:right w:val="nil"/>
            </w:tcBorders>
            <w:shd w:val="clear" w:color="000000" w:fill="DEEAF6"/>
            <w:noWrap/>
            <w:vAlign w:val="center"/>
            <w:hideMark/>
          </w:tcPr>
          <w:p w14:paraId="44BB3C2E"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103,9</w:t>
            </w:r>
          </w:p>
        </w:tc>
        <w:tc>
          <w:tcPr>
            <w:tcW w:w="0" w:type="auto"/>
            <w:tcBorders>
              <w:top w:val="nil"/>
              <w:left w:val="nil"/>
              <w:bottom w:val="nil"/>
              <w:right w:val="nil"/>
            </w:tcBorders>
            <w:shd w:val="clear" w:color="000000" w:fill="DEEAF6"/>
            <w:noWrap/>
            <w:vAlign w:val="center"/>
            <w:hideMark/>
          </w:tcPr>
          <w:p w14:paraId="5E009530"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111,4</w:t>
            </w:r>
          </w:p>
        </w:tc>
        <w:tc>
          <w:tcPr>
            <w:tcW w:w="0" w:type="auto"/>
            <w:tcBorders>
              <w:top w:val="nil"/>
              <w:left w:val="nil"/>
              <w:bottom w:val="nil"/>
              <w:right w:val="nil"/>
            </w:tcBorders>
            <w:shd w:val="clear" w:color="000000" w:fill="DEEAF6"/>
            <w:noWrap/>
            <w:vAlign w:val="center"/>
            <w:hideMark/>
          </w:tcPr>
          <w:p w14:paraId="57684287"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112</w:t>
            </w:r>
          </w:p>
        </w:tc>
        <w:tc>
          <w:tcPr>
            <w:tcW w:w="0" w:type="auto"/>
            <w:tcBorders>
              <w:top w:val="nil"/>
              <w:left w:val="nil"/>
              <w:bottom w:val="nil"/>
              <w:right w:val="nil"/>
            </w:tcBorders>
            <w:shd w:val="clear" w:color="000000" w:fill="DEEAF6"/>
            <w:vAlign w:val="center"/>
            <w:hideMark/>
          </w:tcPr>
          <w:p w14:paraId="55CD2B0E"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112,3</w:t>
            </w:r>
          </w:p>
        </w:tc>
        <w:tc>
          <w:tcPr>
            <w:tcW w:w="0" w:type="auto"/>
            <w:tcBorders>
              <w:top w:val="nil"/>
              <w:left w:val="nil"/>
              <w:bottom w:val="nil"/>
              <w:right w:val="nil"/>
            </w:tcBorders>
            <w:shd w:val="clear" w:color="000000" w:fill="DEEAF6"/>
            <w:noWrap/>
            <w:vAlign w:val="center"/>
            <w:hideMark/>
          </w:tcPr>
          <w:p w14:paraId="3AF9952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112,6</w:t>
            </w:r>
          </w:p>
        </w:tc>
        <w:tc>
          <w:tcPr>
            <w:tcW w:w="0" w:type="auto"/>
            <w:tcBorders>
              <w:top w:val="nil"/>
              <w:left w:val="nil"/>
              <w:bottom w:val="nil"/>
              <w:right w:val="nil"/>
            </w:tcBorders>
            <w:shd w:val="clear" w:color="000000" w:fill="DEEAF6"/>
            <w:noWrap/>
            <w:vAlign w:val="center"/>
            <w:hideMark/>
          </w:tcPr>
          <w:p w14:paraId="13DB9D3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0,3%</w:t>
            </w:r>
          </w:p>
        </w:tc>
        <w:tc>
          <w:tcPr>
            <w:tcW w:w="0" w:type="auto"/>
            <w:tcBorders>
              <w:top w:val="nil"/>
              <w:left w:val="nil"/>
              <w:bottom w:val="nil"/>
              <w:right w:val="nil"/>
            </w:tcBorders>
            <w:shd w:val="clear" w:color="000000" w:fill="DEEAF6"/>
            <w:noWrap/>
            <w:vAlign w:val="center"/>
            <w:hideMark/>
          </w:tcPr>
          <w:p w14:paraId="6B2AE241"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w:t>
            </w:r>
          </w:p>
        </w:tc>
        <w:tc>
          <w:tcPr>
            <w:tcW w:w="0" w:type="auto"/>
            <w:tcBorders>
              <w:top w:val="nil"/>
              <w:left w:val="nil"/>
              <w:bottom w:val="nil"/>
              <w:right w:val="nil"/>
            </w:tcBorders>
            <w:shd w:val="clear" w:color="000000" w:fill="DEEAF6"/>
            <w:noWrap/>
            <w:vAlign w:val="center"/>
            <w:hideMark/>
          </w:tcPr>
          <w:p w14:paraId="6736B5F2"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8,4%</w:t>
            </w:r>
          </w:p>
        </w:tc>
      </w:tr>
      <w:tr w:rsidR="00310604" w:rsidRPr="00310604" w14:paraId="0617EF4C" w14:textId="77777777" w:rsidTr="0055438F">
        <w:trPr>
          <w:trHeight w:val="300"/>
          <w:jc w:val="right"/>
        </w:trPr>
        <w:tc>
          <w:tcPr>
            <w:tcW w:w="0" w:type="auto"/>
            <w:tcBorders>
              <w:top w:val="nil"/>
              <w:left w:val="nil"/>
              <w:bottom w:val="nil"/>
              <w:right w:val="nil"/>
            </w:tcBorders>
            <w:shd w:val="clear" w:color="000000" w:fill="FFFFFF"/>
            <w:noWrap/>
            <w:vAlign w:val="center"/>
            <w:hideMark/>
          </w:tcPr>
          <w:p w14:paraId="42D83643" w14:textId="77777777" w:rsidR="00310604" w:rsidRPr="00310604" w:rsidRDefault="00310604" w:rsidP="00310604">
            <w:pPr>
              <w:spacing w:after="0" w:line="240" w:lineRule="auto"/>
              <w:jc w:val="both"/>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Tertiaire</w:t>
            </w:r>
          </w:p>
        </w:tc>
        <w:tc>
          <w:tcPr>
            <w:tcW w:w="0" w:type="auto"/>
            <w:tcBorders>
              <w:top w:val="nil"/>
              <w:left w:val="nil"/>
              <w:bottom w:val="nil"/>
              <w:right w:val="nil"/>
            </w:tcBorders>
            <w:shd w:val="clear" w:color="000000" w:fill="FFFFFF"/>
            <w:noWrap/>
            <w:vAlign w:val="center"/>
            <w:hideMark/>
          </w:tcPr>
          <w:p w14:paraId="7BA688EB"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2286</w:t>
            </w:r>
          </w:p>
        </w:tc>
        <w:tc>
          <w:tcPr>
            <w:tcW w:w="0" w:type="auto"/>
            <w:tcBorders>
              <w:top w:val="nil"/>
              <w:left w:val="nil"/>
              <w:bottom w:val="nil"/>
              <w:right w:val="nil"/>
            </w:tcBorders>
            <w:shd w:val="clear" w:color="auto" w:fill="auto"/>
            <w:noWrap/>
            <w:vAlign w:val="center"/>
            <w:hideMark/>
          </w:tcPr>
          <w:p w14:paraId="3EDFA4BE"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104,6</w:t>
            </w:r>
          </w:p>
        </w:tc>
        <w:tc>
          <w:tcPr>
            <w:tcW w:w="0" w:type="auto"/>
            <w:tcBorders>
              <w:top w:val="nil"/>
              <w:left w:val="nil"/>
              <w:bottom w:val="nil"/>
              <w:right w:val="nil"/>
            </w:tcBorders>
            <w:shd w:val="clear" w:color="auto" w:fill="auto"/>
            <w:noWrap/>
            <w:vAlign w:val="center"/>
            <w:hideMark/>
          </w:tcPr>
          <w:p w14:paraId="24BFF327"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108,3</w:t>
            </w:r>
          </w:p>
        </w:tc>
        <w:tc>
          <w:tcPr>
            <w:tcW w:w="0" w:type="auto"/>
            <w:tcBorders>
              <w:top w:val="nil"/>
              <w:left w:val="nil"/>
              <w:bottom w:val="nil"/>
              <w:right w:val="nil"/>
            </w:tcBorders>
            <w:shd w:val="clear" w:color="auto" w:fill="auto"/>
            <w:noWrap/>
            <w:vAlign w:val="center"/>
            <w:hideMark/>
          </w:tcPr>
          <w:p w14:paraId="72DFE8BF"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108,6</w:t>
            </w:r>
          </w:p>
        </w:tc>
        <w:tc>
          <w:tcPr>
            <w:tcW w:w="0" w:type="auto"/>
            <w:tcBorders>
              <w:top w:val="nil"/>
              <w:left w:val="nil"/>
              <w:bottom w:val="nil"/>
              <w:right w:val="nil"/>
            </w:tcBorders>
            <w:shd w:val="clear" w:color="auto" w:fill="auto"/>
            <w:vAlign w:val="center"/>
            <w:hideMark/>
          </w:tcPr>
          <w:p w14:paraId="12F0CF77"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108,7</w:t>
            </w:r>
          </w:p>
        </w:tc>
        <w:tc>
          <w:tcPr>
            <w:tcW w:w="0" w:type="auto"/>
            <w:tcBorders>
              <w:top w:val="nil"/>
              <w:left w:val="nil"/>
              <w:bottom w:val="nil"/>
              <w:right w:val="nil"/>
            </w:tcBorders>
            <w:shd w:val="clear" w:color="auto" w:fill="auto"/>
            <w:noWrap/>
            <w:vAlign w:val="center"/>
            <w:hideMark/>
          </w:tcPr>
          <w:p w14:paraId="3B53C73F"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110,2</w:t>
            </w:r>
          </w:p>
        </w:tc>
        <w:tc>
          <w:tcPr>
            <w:tcW w:w="0" w:type="auto"/>
            <w:tcBorders>
              <w:top w:val="nil"/>
              <w:left w:val="nil"/>
              <w:bottom w:val="nil"/>
              <w:right w:val="nil"/>
            </w:tcBorders>
            <w:shd w:val="clear" w:color="auto" w:fill="auto"/>
            <w:noWrap/>
            <w:vAlign w:val="center"/>
            <w:hideMark/>
          </w:tcPr>
          <w:p w14:paraId="180F8C83"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1,4%</w:t>
            </w:r>
          </w:p>
        </w:tc>
        <w:tc>
          <w:tcPr>
            <w:tcW w:w="0" w:type="auto"/>
            <w:tcBorders>
              <w:top w:val="nil"/>
              <w:left w:val="nil"/>
              <w:bottom w:val="nil"/>
              <w:right w:val="nil"/>
            </w:tcBorders>
            <w:shd w:val="clear" w:color="auto" w:fill="auto"/>
            <w:noWrap/>
            <w:vAlign w:val="center"/>
            <w:hideMark/>
          </w:tcPr>
          <w:p w14:paraId="278E4227"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1,8%</w:t>
            </w:r>
          </w:p>
        </w:tc>
        <w:tc>
          <w:tcPr>
            <w:tcW w:w="0" w:type="auto"/>
            <w:tcBorders>
              <w:top w:val="nil"/>
              <w:left w:val="nil"/>
              <w:bottom w:val="nil"/>
              <w:right w:val="nil"/>
            </w:tcBorders>
            <w:shd w:val="clear" w:color="auto" w:fill="auto"/>
            <w:noWrap/>
            <w:vAlign w:val="center"/>
            <w:hideMark/>
          </w:tcPr>
          <w:p w14:paraId="178C8D5D"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5,4%</w:t>
            </w:r>
          </w:p>
        </w:tc>
      </w:tr>
      <w:tr w:rsidR="00310604" w:rsidRPr="00310604" w14:paraId="24EEA0B3" w14:textId="77777777" w:rsidTr="0055438F">
        <w:trPr>
          <w:trHeight w:val="300"/>
          <w:jc w:val="right"/>
        </w:trPr>
        <w:tc>
          <w:tcPr>
            <w:tcW w:w="0" w:type="auto"/>
            <w:tcBorders>
              <w:top w:val="nil"/>
              <w:left w:val="nil"/>
              <w:bottom w:val="nil"/>
              <w:right w:val="nil"/>
            </w:tcBorders>
            <w:shd w:val="clear" w:color="000000" w:fill="DEEAF6"/>
            <w:noWrap/>
            <w:vAlign w:val="center"/>
            <w:hideMark/>
          </w:tcPr>
          <w:p w14:paraId="5F43E729" w14:textId="0A2AA6F9" w:rsidR="00310604" w:rsidRPr="00310604" w:rsidRDefault="003C4785" w:rsidP="00310604">
            <w:pPr>
              <w:spacing w:after="0" w:line="240" w:lineRule="auto"/>
              <w:jc w:val="both"/>
              <w:rPr>
                <w:rFonts w:ascii="Arial" w:eastAsia="Times New Roman" w:hAnsi="Arial" w:cs="Arial"/>
                <w:color w:val="000000"/>
                <w:sz w:val="14"/>
                <w:szCs w:val="14"/>
                <w:lang w:val="fr-SN" w:eastAsia="fr-SN"/>
              </w:rPr>
            </w:pPr>
            <w:r>
              <w:rPr>
                <w:rFonts w:ascii="Arial" w:eastAsia="Times New Roman" w:hAnsi="Arial" w:cs="Arial"/>
                <w:color w:val="000000"/>
                <w:sz w:val="14"/>
                <w:szCs w:val="14"/>
                <w:lang w:eastAsia="fr-SN"/>
              </w:rPr>
              <w:t>Durable</w:t>
            </w:r>
          </w:p>
        </w:tc>
        <w:tc>
          <w:tcPr>
            <w:tcW w:w="0" w:type="auto"/>
            <w:tcBorders>
              <w:top w:val="nil"/>
              <w:left w:val="nil"/>
              <w:bottom w:val="nil"/>
              <w:right w:val="nil"/>
            </w:tcBorders>
            <w:shd w:val="clear" w:color="000000" w:fill="DEEAF6"/>
            <w:noWrap/>
            <w:vAlign w:val="center"/>
            <w:hideMark/>
          </w:tcPr>
          <w:p w14:paraId="4B0804B5"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243</w:t>
            </w:r>
          </w:p>
        </w:tc>
        <w:tc>
          <w:tcPr>
            <w:tcW w:w="0" w:type="auto"/>
            <w:tcBorders>
              <w:top w:val="nil"/>
              <w:left w:val="nil"/>
              <w:bottom w:val="nil"/>
              <w:right w:val="nil"/>
            </w:tcBorders>
            <w:shd w:val="clear" w:color="000000" w:fill="DEEAF6"/>
            <w:noWrap/>
            <w:vAlign w:val="center"/>
            <w:hideMark/>
          </w:tcPr>
          <w:p w14:paraId="0DA9746A"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118,9</w:t>
            </w:r>
          </w:p>
        </w:tc>
        <w:tc>
          <w:tcPr>
            <w:tcW w:w="0" w:type="auto"/>
            <w:tcBorders>
              <w:top w:val="nil"/>
              <w:left w:val="nil"/>
              <w:bottom w:val="nil"/>
              <w:right w:val="nil"/>
            </w:tcBorders>
            <w:shd w:val="clear" w:color="000000" w:fill="DEEAF6"/>
            <w:noWrap/>
            <w:vAlign w:val="center"/>
            <w:hideMark/>
          </w:tcPr>
          <w:p w14:paraId="38E3C61F"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127,9</w:t>
            </w:r>
          </w:p>
        </w:tc>
        <w:tc>
          <w:tcPr>
            <w:tcW w:w="0" w:type="auto"/>
            <w:tcBorders>
              <w:top w:val="nil"/>
              <w:left w:val="nil"/>
              <w:bottom w:val="nil"/>
              <w:right w:val="nil"/>
            </w:tcBorders>
            <w:shd w:val="clear" w:color="000000" w:fill="DEEAF6"/>
            <w:noWrap/>
            <w:vAlign w:val="center"/>
            <w:hideMark/>
          </w:tcPr>
          <w:p w14:paraId="15347545"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128,4</w:t>
            </w:r>
          </w:p>
        </w:tc>
        <w:tc>
          <w:tcPr>
            <w:tcW w:w="0" w:type="auto"/>
            <w:tcBorders>
              <w:top w:val="nil"/>
              <w:left w:val="nil"/>
              <w:bottom w:val="nil"/>
              <w:right w:val="nil"/>
            </w:tcBorders>
            <w:shd w:val="clear" w:color="000000" w:fill="DEEAF6"/>
            <w:vAlign w:val="center"/>
            <w:hideMark/>
          </w:tcPr>
          <w:p w14:paraId="1883A20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128,4</w:t>
            </w:r>
          </w:p>
        </w:tc>
        <w:tc>
          <w:tcPr>
            <w:tcW w:w="0" w:type="auto"/>
            <w:tcBorders>
              <w:top w:val="nil"/>
              <w:left w:val="nil"/>
              <w:bottom w:val="nil"/>
              <w:right w:val="nil"/>
            </w:tcBorders>
            <w:shd w:val="clear" w:color="000000" w:fill="DEEAF6"/>
            <w:noWrap/>
            <w:vAlign w:val="center"/>
            <w:hideMark/>
          </w:tcPr>
          <w:p w14:paraId="0CEB7E60"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128</w:t>
            </w:r>
          </w:p>
        </w:tc>
        <w:tc>
          <w:tcPr>
            <w:tcW w:w="0" w:type="auto"/>
            <w:tcBorders>
              <w:top w:val="nil"/>
              <w:left w:val="nil"/>
              <w:bottom w:val="nil"/>
              <w:right w:val="nil"/>
            </w:tcBorders>
            <w:shd w:val="clear" w:color="000000" w:fill="DEEAF6"/>
            <w:noWrap/>
            <w:vAlign w:val="center"/>
            <w:hideMark/>
          </w:tcPr>
          <w:p w14:paraId="415BD33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-0,3%</w:t>
            </w:r>
          </w:p>
        </w:tc>
        <w:tc>
          <w:tcPr>
            <w:tcW w:w="0" w:type="auto"/>
            <w:tcBorders>
              <w:top w:val="nil"/>
              <w:left w:val="nil"/>
              <w:bottom w:val="nil"/>
              <w:right w:val="nil"/>
            </w:tcBorders>
            <w:shd w:val="clear" w:color="000000" w:fill="DEEAF6"/>
            <w:noWrap/>
            <w:vAlign w:val="center"/>
            <w:hideMark/>
          </w:tcPr>
          <w:p w14:paraId="7AC28A24"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0,1%</w:t>
            </w:r>
          </w:p>
        </w:tc>
        <w:tc>
          <w:tcPr>
            <w:tcW w:w="0" w:type="auto"/>
            <w:tcBorders>
              <w:top w:val="nil"/>
              <w:left w:val="nil"/>
              <w:bottom w:val="nil"/>
              <w:right w:val="nil"/>
            </w:tcBorders>
            <w:shd w:val="clear" w:color="000000" w:fill="DEEAF6"/>
            <w:noWrap/>
            <w:vAlign w:val="center"/>
            <w:hideMark/>
          </w:tcPr>
          <w:p w14:paraId="143A8AE1"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7,6%</w:t>
            </w:r>
          </w:p>
        </w:tc>
      </w:tr>
      <w:tr w:rsidR="00310604" w:rsidRPr="00310604" w14:paraId="253F5DBD" w14:textId="77777777" w:rsidTr="001C7A6D">
        <w:trPr>
          <w:trHeight w:val="380"/>
          <w:jc w:val="right"/>
        </w:trPr>
        <w:tc>
          <w:tcPr>
            <w:tcW w:w="0" w:type="auto"/>
            <w:tcBorders>
              <w:top w:val="nil"/>
              <w:left w:val="nil"/>
              <w:bottom w:val="nil"/>
              <w:right w:val="nil"/>
            </w:tcBorders>
            <w:shd w:val="clear" w:color="000000" w:fill="FFFFFF"/>
            <w:noWrap/>
            <w:vAlign w:val="center"/>
            <w:hideMark/>
          </w:tcPr>
          <w:p w14:paraId="7197A706" w14:textId="7260EF75" w:rsidR="00310604" w:rsidRPr="00310604" w:rsidRDefault="00310604" w:rsidP="00310604">
            <w:pPr>
              <w:spacing w:after="0" w:line="240" w:lineRule="auto"/>
              <w:jc w:val="both"/>
              <w:rPr>
                <w:rFonts w:ascii="Calibri" w:eastAsia="Times New Roman" w:hAnsi="Calibri" w:cs="Calibri"/>
                <w:color w:val="0563C1"/>
                <w:u w:val="single"/>
                <w:lang w:val="fr-SN" w:eastAsia="fr-SN"/>
              </w:rPr>
            </w:pPr>
            <w:r w:rsidRPr="00310604">
              <w:rPr>
                <w:rFonts w:ascii="Arial" w:eastAsia="Times New Roman" w:hAnsi="Arial" w:cs="Arial"/>
                <w:color w:val="000000"/>
                <w:sz w:val="14"/>
                <w:szCs w:val="14"/>
                <w:lang w:eastAsia="fr-SN"/>
              </w:rPr>
              <w:footnoteReference w:customMarkFollows="1" w:id="3"/>
              <w:t>Semi durable</w:t>
            </w:r>
          </w:p>
        </w:tc>
        <w:tc>
          <w:tcPr>
            <w:tcW w:w="0" w:type="auto"/>
            <w:tcBorders>
              <w:top w:val="nil"/>
              <w:left w:val="nil"/>
              <w:bottom w:val="nil"/>
              <w:right w:val="nil"/>
            </w:tcBorders>
            <w:shd w:val="clear" w:color="000000" w:fill="FFFFFF"/>
            <w:noWrap/>
            <w:vAlign w:val="center"/>
            <w:hideMark/>
          </w:tcPr>
          <w:p w14:paraId="61EF93A1"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1654</w:t>
            </w:r>
          </w:p>
        </w:tc>
        <w:tc>
          <w:tcPr>
            <w:tcW w:w="0" w:type="auto"/>
            <w:tcBorders>
              <w:top w:val="nil"/>
              <w:left w:val="nil"/>
              <w:bottom w:val="nil"/>
              <w:right w:val="nil"/>
            </w:tcBorders>
            <w:shd w:val="clear" w:color="auto" w:fill="auto"/>
            <w:noWrap/>
            <w:vAlign w:val="center"/>
            <w:hideMark/>
          </w:tcPr>
          <w:p w14:paraId="3EFF6A78"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102,5</w:t>
            </w:r>
          </w:p>
        </w:tc>
        <w:tc>
          <w:tcPr>
            <w:tcW w:w="0" w:type="auto"/>
            <w:tcBorders>
              <w:top w:val="nil"/>
              <w:left w:val="nil"/>
              <w:bottom w:val="nil"/>
              <w:right w:val="nil"/>
            </w:tcBorders>
            <w:shd w:val="clear" w:color="auto" w:fill="auto"/>
            <w:noWrap/>
            <w:vAlign w:val="center"/>
            <w:hideMark/>
          </w:tcPr>
          <w:p w14:paraId="67A45568"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106,7</w:t>
            </w:r>
          </w:p>
        </w:tc>
        <w:tc>
          <w:tcPr>
            <w:tcW w:w="0" w:type="auto"/>
            <w:tcBorders>
              <w:top w:val="nil"/>
              <w:left w:val="nil"/>
              <w:bottom w:val="nil"/>
              <w:right w:val="nil"/>
            </w:tcBorders>
            <w:shd w:val="clear" w:color="auto" w:fill="auto"/>
            <w:noWrap/>
            <w:vAlign w:val="center"/>
            <w:hideMark/>
          </w:tcPr>
          <w:p w14:paraId="266D727D"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107,4</w:t>
            </w:r>
          </w:p>
        </w:tc>
        <w:tc>
          <w:tcPr>
            <w:tcW w:w="0" w:type="auto"/>
            <w:tcBorders>
              <w:top w:val="nil"/>
              <w:left w:val="nil"/>
              <w:bottom w:val="nil"/>
              <w:right w:val="nil"/>
            </w:tcBorders>
            <w:shd w:val="clear" w:color="auto" w:fill="auto"/>
            <w:vAlign w:val="center"/>
            <w:hideMark/>
          </w:tcPr>
          <w:p w14:paraId="4FCDFAFA"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108,1</w:t>
            </w:r>
          </w:p>
        </w:tc>
        <w:tc>
          <w:tcPr>
            <w:tcW w:w="0" w:type="auto"/>
            <w:tcBorders>
              <w:top w:val="nil"/>
              <w:left w:val="nil"/>
              <w:bottom w:val="nil"/>
              <w:right w:val="nil"/>
            </w:tcBorders>
            <w:shd w:val="clear" w:color="auto" w:fill="auto"/>
            <w:noWrap/>
            <w:vAlign w:val="center"/>
            <w:hideMark/>
          </w:tcPr>
          <w:p w14:paraId="2C22334C"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108,7</w:t>
            </w:r>
          </w:p>
        </w:tc>
        <w:tc>
          <w:tcPr>
            <w:tcW w:w="0" w:type="auto"/>
            <w:tcBorders>
              <w:top w:val="nil"/>
              <w:left w:val="nil"/>
              <w:bottom w:val="nil"/>
              <w:right w:val="nil"/>
            </w:tcBorders>
            <w:shd w:val="clear" w:color="auto" w:fill="auto"/>
            <w:noWrap/>
            <w:vAlign w:val="center"/>
            <w:hideMark/>
          </w:tcPr>
          <w:p w14:paraId="3716A25B"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0,6%</w:t>
            </w:r>
          </w:p>
        </w:tc>
        <w:tc>
          <w:tcPr>
            <w:tcW w:w="0" w:type="auto"/>
            <w:tcBorders>
              <w:top w:val="nil"/>
              <w:left w:val="nil"/>
              <w:bottom w:val="nil"/>
              <w:right w:val="nil"/>
            </w:tcBorders>
            <w:shd w:val="clear" w:color="auto" w:fill="auto"/>
            <w:noWrap/>
            <w:vAlign w:val="center"/>
            <w:hideMark/>
          </w:tcPr>
          <w:p w14:paraId="7A5F5C4A"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1,9%</w:t>
            </w:r>
          </w:p>
        </w:tc>
        <w:tc>
          <w:tcPr>
            <w:tcW w:w="0" w:type="auto"/>
            <w:tcBorders>
              <w:top w:val="nil"/>
              <w:left w:val="nil"/>
              <w:bottom w:val="nil"/>
              <w:right w:val="nil"/>
            </w:tcBorders>
            <w:shd w:val="clear" w:color="auto" w:fill="auto"/>
            <w:noWrap/>
            <w:vAlign w:val="center"/>
            <w:hideMark/>
          </w:tcPr>
          <w:p w14:paraId="37647DEA"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6,1%</w:t>
            </w:r>
          </w:p>
        </w:tc>
      </w:tr>
      <w:tr w:rsidR="00310604" w:rsidRPr="00310604" w14:paraId="44BE6A98" w14:textId="77777777" w:rsidTr="0055438F">
        <w:trPr>
          <w:trHeight w:val="300"/>
          <w:jc w:val="right"/>
        </w:trPr>
        <w:tc>
          <w:tcPr>
            <w:tcW w:w="0" w:type="auto"/>
            <w:tcBorders>
              <w:top w:val="nil"/>
              <w:left w:val="nil"/>
              <w:bottom w:val="nil"/>
              <w:right w:val="nil"/>
            </w:tcBorders>
            <w:shd w:val="clear" w:color="000000" w:fill="DEEAF6"/>
            <w:noWrap/>
            <w:vAlign w:val="center"/>
            <w:hideMark/>
          </w:tcPr>
          <w:p w14:paraId="0AFBEC70" w14:textId="5D07E85F" w:rsidR="00310604" w:rsidRPr="00310604" w:rsidRDefault="00310604" w:rsidP="00310604">
            <w:pPr>
              <w:spacing w:after="0" w:line="240" w:lineRule="auto"/>
              <w:jc w:val="both"/>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Non durable</w:t>
            </w:r>
          </w:p>
        </w:tc>
        <w:tc>
          <w:tcPr>
            <w:tcW w:w="0" w:type="auto"/>
            <w:tcBorders>
              <w:top w:val="nil"/>
              <w:left w:val="nil"/>
              <w:bottom w:val="nil"/>
              <w:right w:val="nil"/>
            </w:tcBorders>
            <w:shd w:val="clear" w:color="000000" w:fill="DEEAF6"/>
            <w:noWrap/>
            <w:vAlign w:val="center"/>
            <w:hideMark/>
          </w:tcPr>
          <w:p w14:paraId="7DAA30D1"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5817</w:t>
            </w:r>
          </w:p>
        </w:tc>
        <w:tc>
          <w:tcPr>
            <w:tcW w:w="0" w:type="auto"/>
            <w:tcBorders>
              <w:top w:val="nil"/>
              <w:left w:val="nil"/>
              <w:bottom w:val="nil"/>
              <w:right w:val="nil"/>
            </w:tcBorders>
            <w:shd w:val="clear" w:color="000000" w:fill="DEEAF6"/>
            <w:noWrap/>
            <w:vAlign w:val="center"/>
            <w:hideMark/>
          </w:tcPr>
          <w:p w14:paraId="051FC19C"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118,7</w:t>
            </w:r>
          </w:p>
        </w:tc>
        <w:tc>
          <w:tcPr>
            <w:tcW w:w="0" w:type="auto"/>
            <w:tcBorders>
              <w:top w:val="nil"/>
              <w:left w:val="nil"/>
              <w:bottom w:val="nil"/>
              <w:right w:val="nil"/>
            </w:tcBorders>
            <w:shd w:val="clear" w:color="000000" w:fill="DEEAF6"/>
            <w:noWrap/>
            <w:vAlign w:val="center"/>
            <w:hideMark/>
          </w:tcPr>
          <w:p w14:paraId="2E531E91"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141,4</w:t>
            </w:r>
          </w:p>
        </w:tc>
        <w:tc>
          <w:tcPr>
            <w:tcW w:w="0" w:type="auto"/>
            <w:tcBorders>
              <w:top w:val="nil"/>
              <w:left w:val="nil"/>
              <w:bottom w:val="nil"/>
              <w:right w:val="nil"/>
            </w:tcBorders>
            <w:shd w:val="clear" w:color="000000" w:fill="DEEAF6"/>
            <w:noWrap/>
            <w:vAlign w:val="center"/>
            <w:hideMark/>
          </w:tcPr>
          <w:p w14:paraId="45C8708D"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141,4</w:t>
            </w:r>
          </w:p>
        </w:tc>
        <w:tc>
          <w:tcPr>
            <w:tcW w:w="0" w:type="auto"/>
            <w:tcBorders>
              <w:top w:val="nil"/>
              <w:left w:val="nil"/>
              <w:bottom w:val="nil"/>
              <w:right w:val="nil"/>
            </w:tcBorders>
            <w:shd w:val="clear" w:color="000000" w:fill="DEEAF6"/>
            <w:vAlign w:val="center"/>
            <w:hideMark/>
          </w:tcPr>
          <w:p w14:paraId="35929CD4"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139,2</w:t>
            </w:r>
          </w:p>
        </w:tc>
        <w:tc>
          <w:tcPr>
            <w:tcW w:w="0" w:type="auto"/>
            <w:tcBorders>
              <w:top w:val="nil"/>
              <w:left w:val="nil"/>
              <w:bottom w:val="nil"/>
              <w:right w:val="nil"/>
            </w:tcBorders>
            <w:shd w:val="clear" w:color="000000" w:fill="DEEAF6"/>
            <w:noWrap/>
            <w:vAlign w:val="center"/>
            <w:hideMark/>
          </w:tcPr>
          <w:p w14:paraId="54972F0E"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134</w:t>
            </w:r>
          </w:p>
        </w:tc>
        <w:tc>
          <w:tcPr>
            <w:tcW w:w="0" w:type="auto"/>
            <w:tcBorders>
              <w:top w:val="nil"/>
              <w:left w:val="nil"/>
              <w:bottom w:val="nil"/>
              <w:right w:val="nil"/>
            </w:tcBorders>
            <w:shd w:val="clear" w:color="000000" w:fill="DEEAF6"/>
            <w:noWrap/>
            <w:vAlign w:val="center"/>
            <w:hideMark/>
          </w:tcPr>
          <w:p w14:paraId="46F5153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-3,7%</w:t>
            </w:r>
          </w:p>
        </w:tc>
        <w:tc>
          <w:tcPr>
            <w:tcW w:w="0" w:type="auto"/>
            <w:tcBorders>
              <w:top w:val="nil"/>
              <w:left w:val="nil"/>
              <w:bottom w:val="nil"/>
              <w:right w:val="nil"/>
            </w:tcBorders>
            <w:shd w:val="clear" w:color="000000" w:fill="DEEAF6"/>
            <w:noWrap/>
            <w:vAlign w:val="center"/>
            <w:hideMark/>
          </w:tcPr>
          <w:p w14:paraId="433B8C63"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-5,2%</w:t>
            </w:r>
          </w:p>
        </w:tc>
        <w:tc>
          <w:tcPr>
            <w:tcW w:w="0" w:type="auto"/>
            <w:tcBorders>
              <w:top w:val="nil"/>
              <w:left w:val="nil"/>
              <w:bottom w:val="nil"/>
              <w:right w:val="nil"/>
            </w:tcBorders>
            <w:shd w:val="clear" w:color="000000" w:fill="DEEAF6"/>
            <w:noWrap/>
            <w:vAlign w:val="center"/>
            <w:hideMark/>
          </w:tcPr>
          <w:p w14:paraId="5E858EA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12,9%</w:t>
            </w:r>
          </w:p>
        </w:tc>
      </w:tr>
      <w:tr w:rsidR="00310604" w:rsidRPr="00310604" w14:paraId="3C6DE76F" w14:textId="77777777" w:rsidTr="0055438F">
        <w:trPr>
          <w:trHeight w:val="315"/>
          <w:jc w:val="right"/>
        </w:trPr>
        <w:tc>
          <w:tcPr>
            <w:tcW w:w="0" w:type="auto"/>
            <w:tcBorders>
              <w:top w:val="nil"/>
              <w:left w:val="nil"/>
              <w:bottom w:val="double" w:sz="6" w:space="0" w:color="auto"/>
              <w:right w:val="nil"/>
            </w:tcBorders>
            <w:shd w:val="clear" w:color="000000" w:fill="FFFFFF"/>
            <w:noWrap/>
            <w:vAlign w:val="center"/>
            <w:hideMark/>
          </w:tcPr>
          <w:p w14:paraId="580C1F76" w14:textId="77777777" w:rsidR="00310604" w:rsidRPr="00310604" w:rsidRDefault="00310604" w:rsidP="00310604">
            <w:pPr>
              <w:spacing w:after="0" w:line="240" w:lineRule="auto"/>
              <w:jc w:val="both"/>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Services</w:t>
            </w:r>
          </w:p>
        </w:tc>
        <w:tc>
          <w:tcPr>
            <w:tcW w:w="0" w:type="auto"/>
            <w:tcBorders>
              <w:top w:val="nil"/>
              <w:left w:val="nil"/>
              <w:bottom w:val="double" w:sz="6" w:space="0" w:color="auto"/>
              <w:right w:val="nil"/>
            </w:tcBorders>
            <w:shd w:val="clear" w:color="000000" w:fill="FFFFFF"/>
            <w:noWrap/>
            <w:vAlign w:val="center"/>
            <w:hideMark/>
          </w:tcPr>
          <w:p w14:paraId="641FCE54"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2286</w:t>
            </w:r>
          </w:p>
        </w:tc>
        <w:tc>
          <w:tcPr>
            <w:tcW w:w="0" w:type="auto"/>
            <w:tcBorders>
              <w:top w:val="nil"/>
              <w:left w:val="nil"/>
              <w:bottom w:val="double" w:sz="6" w:space="0" w:color="auto"/>
              <w:right w:val="nil"/>
            </w:tcBorders>
            <w:shd w:val="clear" w:color="auto" w:fill="auto"/>
            <w:noWrap/>
            <w:vAlign w:val="center"/>
            <w:hideMark/>
          </w:tcPr>
          <w:p w14:paraId="333B4BE7"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104,6</w:t>
            </w:r>
          </w:p>
        </w:tc>
        <w:tc>
          <w:tcPr>
            <w:tcW w:w="0" w:type="auto"/>
            <w:tcBorders>
              <w:top w:val="nil"/>
              <w:left w:val="nil"/>
              <w:bottom w:val="double" w:sz="6" w:space="0" w:color="auto"/>
              <w:right w:val="nil"/>
            </w:tcBorders>
            <w:shd w:val="clear" w:color="auto" w:fill="auto"/>
            <w:noWrap/>
            <w:vAlign w:val="center"/>
            <w:hideMark/>
          </w:tcPr>
          <w:p w14:paraId="04DB992A"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108,3</w:t>
            </w:r>
          </w:p>
        </w:tc>
        <w:tc>
          <w:tcPr>
            <w:tcW w:w="0" w:type="auto"/>
            <w:tcBorders>
              <w:top w:val="nil"/>
              <w:left w:val="nil"/>
              <w:bottom w:val="double" w:sz="6" w:space="0" w:color="auto"/>
              <w:right w:val="nil"/>
            </w:tcBorders>
            <w:shd w:val="clear" w:color="auto" w:fill="auto"/>
            <w:noWrap/>
            <w:vAlign w:val="center"/>
            <w:hideMark/>
          </w:tcPr>
          <w:p w14:paraId="778F953B"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108,6</w:t>
            </w:r>
          </w:p>
        </w:tc>
        <w:tc>
          <w:tcPr>
            <w:tcW w:w="0" w:type="auto"/>
            <w:tcBorders>
              <w:top w:val="nil"/>
              <w:left w:val="nil"/>
              <w:bottom w:val="double" w:sz="6" w:space="0" w:color="auto"/>
              <w:right w:val="nil"/>
            </w:tcBorders>
            <w:shd w:val="clear" w:color="auto" w:fill="auto"/>
            <w:vAlign w:val="center"/>
            <w:hideMark/>
          </w:tcPr>
          <w:p w14:paraId="5A5CE262"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108,7</w:t>
            </w:r>
          </w:p>
        </w:tc>
        <w:tc>
          <w:tcPr>
            <w:tcW w:w="0" w:type="auto"/>
            <w:tcBorders>
              <w:top w:val="nil"/>
              <w:left w:val="nil"/>
              <w:bottom w:val="double" w:sz="6" w:space="0" w:color="auto"/>
              <w:right w:val="nil"/>
            </w:tcBorders>
            <w:shd w:val="clear" w:color="auto" w:fill="auto"/>
            <w:noWrap/>
            <w:vAlign w:val="center"/>
            <w:hideMark/>
          </w:tcPr>
          <w:p w14:paraId="38659D72"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110,2</w:t>
            </w:r>
          </w:p>
        </w:tc>
        <w:tc>
          <w:tcPr>
            <w:tcW w:w="0" w:type="auto"/>
            <w:tcBorders>
              <w:top w:val="nil"/>
              <w:left w:val="nil"/>
              <w:bottom w:val="double" w:sz="6" w:space="0" w:color="auto"/>
              <w:right w:val="nil"/>
            </w:tcBorders>
            <w:shd w:val="clear" w:color="auto" w:fill="auto"/>
            <w:noWrap/>
            <w:vAlign w:val="center"/>
            <w:hideMark/>
          </w:tcPr>
          <w:p w14:paraId="2D560212"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1,4%</w:t>
            </w:r>
          </w:p>
        </w:tc>
        <w:tc>
          <w:tcPr>
            <w:tcW w:w="0" w:type="auto"/>
            <w:tcBorders>
              <w:top w:val="nil"/>
              <w:left w:val="nil"/>
              <w:bottom w:val="double" w:sz="6" w:space="0" w:color="auto"/>
              <w:right w:val="nil"/>
            </w:tcBorders>
            <w:shd w:val="clear" w:color="auto" w:fill="auto"/>
            <w:noWrap/>
            <w:vAlign w:val="center"/>
            <w:hideMark/>
          </w:tcPr>
          <w:p w14:paraId="579A3658"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1,8%</w:t>
            </w:r>
          </w:p>
        </w:tc>
        <w:tc>
          <w:tcPr>
            <w:tcW w:w="0" w:type="auto"/>
            <w:tcBorders>
              <w:top w:val="nil"/>
              <w:left w:val="nil"/>
              <w:bottom w:val="double" w:sz="6" w:space="0" w:color="auto"/>
              <w:right w:val="nil"/>
            </w:tcBorders>
            <w:shd w:val="clear" w:color="auto" w:fill="auto"/>
            <w:noWrap/>
            <w:vAlign w:val="center"/>
            <w:hideMark/>
          </w:tcPr>
          <w:p w14:paraId="5223A496" w14:textId="77777777" w:rsidR="00310604" w:rsidRPr="00310604" w:rsidRDefault="00310604" w:rsidP="00310604">
            <w:pPr>
              <w:spacing w:after="0" w:line="240" w:lineRule="auto"/>
              <w:jc w:val="center"/>
              <w:rPr>
                <w:rFonts w:ascii="Arial" w:eastAsia="Times New Roman" w:hAnsi="Arial" w:cs="Arial"/>
                <w:color w:val="000000"/>
                <w:sz w:val="14"/>
                <w:szCs w:val="14"/>
                <w:lang w:val="fr-SN" w:eastAsia="fr-SN"/>
              </w:rPr>
            </w:pPr>
            <w:r w:rsidRPr="00310604">
              <w:rPr>
                <w:rFonts w:ascii="Arial" w:eastAsia="Times New Roman" w:hAnsi="Arial" w:cs="Arial"/>
                <w:color w:val="000000"/>
                <w:sz w:val="14"/>
                <w:szCs w:val="14"/>
                <w:lang w:eastAsia="fr-SN"/>
              </w:rPr>
              <w:t>5,4%</w:t>
            </w:r>
          </w:p>
        </w:tc>
      </w:tr>
    </w:tbl>
    <w:p w14:paraId="0D6EE2E9" w14:textId="19833B02" w:rsidR="00132411" w:rsidRDefault="00132411" w:rsidP="00132411">
      <w:pPr>
        <w:rPr>
          <w:rFonts w:ascii="Arial" w:hAnsi="Arial" w:cs="Arial"/>
          <w:b/>
          <w:bCs/>
          <w:sz w:val="16"/>
          <w:szCs w:val="16"/>
        </w:rPr>
      </w:pPr>
      <w:r w:rsidRPr="00CC04FD">
        <w:rPr>
          <w:rFonts w:ascii="Arial" w:hAnsi="Arial" w:cs="Arial"/>
          <w:b/>
          <w:bCs/>
          <w:sz w:val="16"/>
          <w:szCs w:val="16"/>
        </w:rPr>
        <w:t>Source : ANSD</w:t>
      </w:r>
      <w:r>
        <w:rPr>
          <w:rFonts w:ascii="Arial" w:hAnsi="Arial" w:cs="Arial"/>
          <w:b/>
          <w:bCs/>
          <w:sz w:val="16"/>
          <w:szCs w:val="16"/>
        </w:rPr>
        <w:t>/DSECN/DSC/BP</w:t>
      </w:r>
    </w:p>
    <w:p w14:paraId="7203C7DA" w14:textId="77777777" w:rsidR="008A3930" w:rsidRPr="00EE3A50" w:rsidRDefault="0069474E" w:rsidP="00EE3A50">
      <w:pPr>
        <w:pStyle w:val="Sansinterligne"/>
        <w:spacing w:line="276" w:lineRule="auto"/>
        <w:rPr>
          <w:rFonts w:ascii="Arial" w:hAnsi="Arial" w:cs="Arial"/>
          <w:b/>
          <w:bCs/>
          <w:sz w:val="16"/>
          <w:szCs w:val="16"/>
        </w:rPr>
      </w:pPr>
      <w:r w:rsidRPr="00EE3A50">
        <w:rPr>
          <w:rFonts w:ascii="Arial" w:hAnsi="Arial" w:cs="Arial"/>
          <w:b/>
          <w:bCs/>
          <w:sz w:val="16"/>
          <w:szCs w:val="16"/>
        </w:rPr>
        <w:t>Tableau 3 : Indices suivant les fonctions et groupes de la NCOA-IHPC</w:t>
      </w:r>
    </w:p>
    <w:tbl>
      <w:tblPr>
        <w:tblW w:w="9760" w:type="dxa"/>
        <w:tblCellMar>
          <w:left w:w="70" w:type="dxa"/>
          <w:right w:w="70" w:type="dxa"/>
        </w:tblCellMar>
        <w:tblLook w:val="04A0" w:firstRow="1" w:lastRow="0" w:firstColumn="1" w:lastColumn="0" w:noHBand="0" w:noVBand="1"/>
      </w:tblPr>
      <w:tblGrid>
        <w:gridCol w:w="3060"/>
        <w:gridCol w:w="620"/>
        <w:gridCol w:w="804"/>
        <w:gridCol w:w="694"/>
        <w:gridCol w:w="755"/>
        <w:gridCol w:w="743"/>
        <w:gridCol w:w="804"/>
        <w:gridCol w:w="760"/>
        <w:gridCol w:w="760"/>
        <w:gridCol w:w="760"/>
      </w:tblGrid>
      <w:tr w:rsidR="00310604" w:rsidRPr="00310604" w14:paraId="20F987A0" w14:textId="77777777" w:rsidTr="00310604">
        <w:trPr>
          <w:trHeight w:val="330"/>
        </w:trPr>
        <w:tc>
          <w:tcPr>
            <w:tcW w:w="3060" w:type="dxa"/>
            <w:vMerge w:val="restart"/>
            <w:tcBorders>
              <w:top w:val="double" w:sz="6" w:space="0" w:color="auto"/>
              <w:left w:val="nil"/>
              <w:bottom w:val="double" w:sz="6" w:space="0" w:color="auto"/>
              <w:right w:val="nil"/>
            </w:tcBorders>
            <w:shd w:val="clear" w:color="auto" w:fill="auto"/>
            <w:vAlign w:val="center"/>
            <w:hideMark/>
          </w:tcPr>
          <w:p w14:paraId="61EC4709" w14:textId="77777777" w:rsidR="00310604" w:rsidRPr="00310604" w:rsidRDefault="00310604" w:rsidP="00310604">
            <w:pPr>
              <w:spacing w:after="0" w:line="240" w:lineRule="auto"/>
              <w:jc w:val="center"/>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Libellés</w:t>
            </w:r>
          </w:p>
        </w:tc>
        <w:tc>
          <w:tcPr>
            <w:tcW w:w="620" w:type="dxa"/>
            <w:vMerge w:val="restart"/>
            <w:tcBorders>
              <w:top w:val="double" w:sz="6" w:space="0" w:color="auto"/>
              <w:left w:val="nil"/>
              <w:bottom w:val="double" w:sz="6" w:space="0" w:color="auto"/>
              <w:right w:val="nil"/>
            </w:tcBorders>
            <w:shd w:val="clear" w:color="auto" w:fill="auto"/>
            <w:noWrap/>
            <w:vAlign w:val="center"/>
            <w:hideMark/>
          </w:tcPr>
          <w:p w14:paraId="406E0022" w14:textId="77777777" w:rsidR="00310604" w:rsidRPr="00310604" w:rsidRDefault="00310604" w:rsidP="00310604">
            <w:pPr>
              <w:spacing w:after="0" w:line="240" w:lineRule="auto"/>
              <w:jc w:val="center"/>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Poids</w:t>
            </w:r>
          </w:p>
        </w:tc>
        <w:tc>
          <w:tcPr>
            <w:tcW w:w="3800" w:type="dxa"/>
            <w:gridSpan w:val="5"/>
            <w:tcBorders>
              <w:top w:val="double" w:sz="6" w:space="0" w:color="auto"/>
              <w:left w:val="nil"/>
              <w:bottom w:val="double" w:sz="6" w:space="0" w:color="auto"/>
              <w:right w:val="nil"/>
            </w:tcBorders>
            <w:shd w:val="clear" w:color="auto" w:fill="auto"/>
            <w:noWrap/>
            <w:vAlign w:val="bottom"/>
            <w:hideMark/>
          </w:tcPr>
          <w:p w14:paraId="5707E65A" w14:textId="77777777" w:rsidR="00310604" w:rsidRPr="00310604" w:rsidRDefault="00310604" w:rsidP="00310604">
            <w:pPr>
              <w:spacing w:after="0" w:line="240" w:lineRule="auto"/>
              <w:jc w:val="center"/>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Indices du mois</w:t>
            </w:r>
          </w:p>
        </w:tc>
        <w:tc>
          <w:tcPr>
            <w:tcW w:w="2280" w:type="dxa"/>
            <w:gridSpan w:val="3"/>
            <w:tcBorders>
              <w:top w:val="double" w:sz="6" w:space="0" w:color="auto"/>
              <w:left w:val="nil"/>
              <w:bottom w:val="double" w:sz="6" w:space="0" w:color="auto"/>
              <w:right w:val="nil"/>
            </w:tcBorders>
            <w:shd w:val="clear" w:color="auto" w:fill="auto"/>
            <w:noWrap/>
            <w:vAlign w:val="bottom"/>
            <w:hideMark/>
          </w:tcPr>
          <w:p w14:paraId="651CE7E7" w14:textId="77777777" w:rsidR="00310604" w:rsidRPr="00310604" w:rsidRDefault="00310604" w:rsidP="00310604">
            <w:pPr>
              <w:spacing w:after="0" w:line="240" w:lineRule="auto"/>
              <w:jc w:val="center"/>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Variation sur</w:t>
            </w:r>
          </w:p>
        </w:tc>
      </w:tr>
      <w:tr w:rsidR="006071D4" w:rsidRPr="00310604" w14:paraId="2065A77D" w14:textId="77777777" w:rsidTr="00310604">
        <w:trPr>
          <w:trHeight w:val="345"/>
        </w:trPr>
        <w:tc>
          <w:tcPr>
            <w:tcW w:w="3060" w:type="dxa"/>
            <w:vMerge/>
            <w:tcBorders>
              <w:top w:val="double" w:sz="6" w:space="0" w:color="auto"/>
              <w:left w:val="nil"/>
              <w:bottom w:val="double" w:sz="6" w:space="0" w:color="auto"/>
              <w:right w:val="nil"/>
            </w:tcBorders>
            <w:vAlign w:val="center"/>
            <w:hideMark/>
          </w:tcPr>
          <w:p w14:paraId="1FD4BE86" w14:textId="77777777" w:rsidR="00310604" w:rsidRPr="00310604" w:rsidRDefault="00310604" w:rsidP="00310604">
            <w:pPr>
              <w:spacing w:after="0" w:line="240" w:lineRule="auto"/>
              <w:rPr>
                <w:rFonts w:ascii="Arial" w:eastAsia="Times New Roman" w:hAnsi="Arial" w:cs="Arial"/>
                <w:color w:val="000000"/>
                <w:sz w:val="16"/>
                <w:szCs w:val="16"/>
                <w:lang w:val="fr-SN" w:eastAsia="fr-SN"/>
              </w:rPr>
            </w:pPr>
          </w:p>
        </w:tc>
        <w:tc>
          <w:tcPr>
            <w:tcW w:w="620" w:type="dxa"/>
            <w:vMerge/>
            <w:tcBorders>
              <w:top w:val="double" w:sz="6" w:space="0" w:color="auto"/>
              <w:left w:val="nil"/>
              <w:bottom w:val="double" w:sz="6" w:space="0" w:color="auto"/>
              <w:right w:val="nil"/>
            </w:tcBorders>
            <w:vAlign w:val="center"/>
            <w:hideMark/>
          </w:tcPr>
          <w:p w14:paraId="3F9DD367" w14:textId="77777777" w:rsidR="00310604" w:rsidRPr="00310604" w:rsidRDefault="00310604" w:rsidP="00310604">
            <w:pPr>
              <w:spacing w:after="0" w:line="240" w:lineRule="auto"/>
              <w:rPr>
                <w:rFonts w:ascii="Arial" w:eastAsia="Times New Roman" w:hAnsi="Arial" w:cs="Arial"/>
                <w:color w:val="000000"/>
                <w:sz w:val="16"/>
                <w:szCs w:val="16"/>
                <w:lang w:val="fr-SN" w:eastAsia="fr-SN"/>
              </w:rPr>
            </w:pPr>
          </w:p>
        </w:tc>
        <w:tc>
          <w:tcPr>
            <w:tcW w:w="804" w:type="dxa"/>
            <w:tcBorders>
              <w:top w:val="nil"/>
              <w:left w:val="nil"/>
              <w:bottom w:val="double" w:sz="6" w:space="0" w:color="auto"/>
              <w:right w:val="nil"/>
            </w:tcBorders>
            <w:shd w:val="clear" w:color="000000" w:fill="D9E1F2"/>
            <w:noWrap/>
            <w:vAlign w:val="center"/>
            <w:hideMark/>
          </w:tcPr>
          <w:p w14:paraId="24C3DD27" w14:textId="77777777" w:rsidR="00310604" w:rsidRPr="00310604" w:rsidRDefault="00310604" w:rsidP="00310604">
            <w:pPr>
              <w:spacing w:after="0" w:line="240" w:lineRule="auto"/>
              <w:jc w:val="center"/>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janv-22</w:t>
            </w:r>
          </w:p>
        </w:tc>
        <w:tc>
          <w:tcPr>
            <w:tcW w:w="694" w:type="dxa"/>
            <w:tcBorders>
              <w:top w:val="nil"/>
              <w:left w:val="nil"/>
              <w:bottom w:val="double" w:sz="6" w:space="0" w:color="auto"/>
              <w:right w:val="nil"/>
            </w:tcBorders>
            <w:shd w:val="clear" w:color="000000" w:fill="D9E1F2"/>
            <w:noWrap/>
            <w:vAlign w:val="center"/>
            <w:hideMark/>
          </w:tcPr>
          <w:p w14:paraId="0907E6A1" w14:textId="77777777" w:rsidR="00310604" w:rsidRPr="00310604" w:rsidRDefault="00310604" w:rsidP="00310604">
            <w:pPr>
              <w:spacing w:after="0" w:line="240" w:lineRule="auto"/>
              <w:jc w:val="center"/>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oct-22</w:t>
            </w:r>
          </w:p>
        </w:tc>
        <w:tc>
          <w:tcPr>
            <w:tcW w:w="755" w:type="dxa"/>
            <w:tcBorders>
              <w:top w:val="nil"/>
              <w:left w:val="nil"/>
              <w:bottom w:val="double" w:sz="6" w:space="0" w:color="auto"/>
              <w:right w:val="nil"/>
            </w:tcBorders>
            <w:shd w:val="clear" w:color="000000" w:fill="D9E1F2"/>
            <w:noWrap/>
            <w:vAlign w:val="center"/>
            <w:hideMark/>
          </w:tcPr>
          <w:p w14:paraId="0F277094" w14:textId="77777777" w:rsidR="00310604" w:rsidRPr="00310604" w:rsidRDefault="00310604" w:rsidP="00310604">
            <w:pPr>
              <w:spacing w:after="0" w:line="240" w:lineRule="auto"/>
              <w:jc w:val="center"/>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nov-22</w:t>
            </w:r>
          </w:p>
        </w:tc>
        <w:tc>
          <w:tcPr>
            <w:tcW w:w="743" w:type="dxa"/>
            <w:tcBorders>
              <w:top w:val="nil"/>
              <w:left w:val="nil"/>
              <w:bottom w:val="double" w:sz="6" w:space="0" w:color="auto"/>
              <w:right w:val="nil"/>
            </w:tcBorders>
            <w:shd w:val="clear" w:color="000000" w:fill="D9E1F2"/>
            <w:noWrap/>
            <w:vAlign w:val="center"/>
            <w:hideMark/>
          </w:tcPr>
          <w:p w14:paraId="7716992E" w14:textId="77777777" w:rsidR="00310604" w:rsidRPr="00310604" w:rsidRDefault="00310604" w:rsidP="00310604">
            <w:pPr>
              <w:spacing w:after="0" w:line="240" w:lineRule="auto"/>
              <w:jc w:val="center"/>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dec-22</w:t>
            </w:r>
          </w:p>
        </w:tc>
        <w:tc>
          <w:tcPr>
            <w:tcW w:w="804" w:type="dxa"/>
            <w:tcBorders>
              <w:top w:val="nil"/>
              <w:left w:val="nil"/>
              <w:bottom w:val="double" w:sz="6" w:space="0" w:color="auto"/>
              <w:right w:val="nil"/>
            </w:tcBorders>
            <w:shd w:val="clear" w:color="000000" w:fill="D9E1F2"/>
            <w:noWrap/>
            <w:vAlign w:val="center"/>
            <w:hideMark/>
          </w:tcPr>
          <w:p w14:paraId="38FF7B7D" w14:textId="77777777" w:rsidR="00310604" w:rsidRPr="00310604" w:rsidRDefault="00310604" w:rsidP="00310604">
            <w:pPr>
              <w:spacing w:after="0" w:line="240" w:lineRule="auto"/>
              <w:jc w:val="center"/>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janv-23</w:t>
            </w:r>
          </w:p>
        </w:tc>
        <w:tc>
          <w:tcPr>
            <w:tcW w:w="760" w:type="dxa"/>
            <w:tcBorders>
              <w:top w:val="nil"/>
              <w:left w:val="nil"/>
              <w:bottom w:val="double" w:sz="6" w:space="0" w:color="auto"/>
              <w:right w:val="nil"/>
            </w:tcBorders>
            <w:shd w:val="clear" w:color="000000" w:fill="D9E1F2"/>
            <w:noWrap/>
            <w:vAlign w:val="center"/>
            <w:hideMark/>
          </w:tcPr>
          <w:p w14:paraId="3C3134F7" w14:textId="77777777" w:rsidR="00310604" w:rsidRPr="00310604" w:rsidRDefault="00310604" w:rsidP="00310604">
            <w:pPr>
              <w:spacing w:after="0" w:line="240" w:lineRule="auto"/>
              <w:jc w:val="center"/>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1 mois</w:t>
            </w:r>
          </w:p>
        </w:tc>
        <w:tc>
          <w:tcPr>
            <w:tcW w:w="760" w:type="dxa"/>
            <w:tcBorders>
              <w:top w:val="nil"/>
              <w:left w:val="nil"/>
              <w:bottom w:val="double" w:sz="6" w:space="0" w:color="auto"/>
              <w:right w:val="nil"/>
            </w:tcBorders>
            <w:shd w:val="clear" w:color="000000" w:fill="D9E1F2"/>
            <w:noWrap/>
            <w:vAlign w:val="center"/>
            <w:hideMark/>
          </w:tcPr>
          <w:p w14:paraId="46C9B74E" w14:textId="77777777" w:rsidR="00310604" w:rsidRPr="00310604" w:rsidRDefault="00310604" w:rsidP="00310604">
            <w:pPr>
              <w:spacing w:after="0" w:line="240" w:lineRule="auto"/>
              <w:jc w:val="center"/>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3 mois</w:t>
            </w:r>
          </w:p>
        </w:tc>
        <w:tc>
          <w:tcPr>
            <w:tcW w:w="760" w:type="dxa"/>
            <w:tcBorders>
              <w:top w:val="nil"/>
              <w:left w:val="nil"/>
              <w:bottom w:val="double" w:sz="6" w:space="0" w:color="auto"/>
              <w:right w:val="nil"/>
            </w:tcBorders>
            <w:shd w:val="clear" w:color="000000" w:fill="D9E1F2"/>
            <w:noWrap/>
            <w:vAlign w:val="center"/>
            <w:hideMark/>
          </w:tcPr>
          <w:p w14:paraId="438A016E" w14:textId="77777777" w:rsidR="00310604" w:rsidRPr="00310604" w:rsidRDefault="00310604" w:rsidP="00310604">
            <w:pPr>
              <w:spacing w:after="0" w:line="240" w:lineRule="auto"/>
              <w:jc w:val="center"/>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12 mois</w:t>
            </w:r>
          </w:p>
        </w:tc>
      </w:tr>
      <w:tr w:rsidR="00310604" w:rsidRPr="00310604" w14:paraId="4002A6FA" w14:textId="77777777" w:rsidTr="001C7A6D">
        <w:trPr>
          <w:trHeight w:val="242"/>
        </w:trPr>
        <w:tc>
          <w:tcPr>
            <w:tcW w:w="3060" w:type="dxa"/>
            <w:tcBorders>
              <w:top w:val="nil"/>
              <w:left w:val="nil"/>
              <w:bottom w:val="double" w:sz="6" w:space="0" w:color="auto"/>
              <w:right w:val="nil"/>
            </w:tcBorders>
            <w:shd w:val="clear" w:color="auto" w:fill="auto"/>
            <w:vAlign w:val="bottom"/>
            <w:hideMark/>
          </w:tcPr>
          <w:p w14:paraId="76D727AB"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eastAsia="fr-SN"/>
              </w:rPr>
              <w:t>Indice global</w:t>
            </w:r>
          </w:p>
        </w:tc>
        <w:tc>
          <w:tcPr>
            <w:tcW w:w="620" w:type="dxa"/>
            <w:tcBorders>
              <w:top w:val="nil"/>
              <w:left w:val="nil"/>
              <w:bottom w:val="double" w:sz="6" w:space="0" w:color="auto"/>
              <w:right w:val="nil"/>
            </w:tcBorders>
            <w:shd w:val="clear" w:color="auto" w:fill="auto"/>
            <w:noWrap/>
            <w:vAlign w:val="center"/>
            <w:hideMark/>
          </w:tcPr>
          <w:p w14:paraId="3719D357"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eastAsia="fr-SN"/>
              </w:rPr>
              <w:t>10000</w:t>
            </w:r>
          </w:p>
        </w:tc>
        <w:tc>
          <w:tcPr>
            <w:tcW w:w="804" w:type="dxa"/>
            <w:tcBorders>
              <w:top w:val="nil"/>
              <w:left w:val="nil"/>
              <w:bottom w:val="double" w:sz="6" w:space="0" w:color="auto"/>
              <w:right w:val="nil"/>
            </w:tcBorders>
            <w:shd w:val="clear" w:color="auto" w:fill="auto"/>
            <w:noWrap/>
            <w:vAlign w:val="center"/>
            <w:hideMark/>
          </w:tcPr>
          <w:p w14:paraId="74CD932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eastAsia="fr-SN"/>
              </w:rPr>
              <w:t>112,8</w:t>
            </w:r>
          </w:p>
        </w:tc>
        <w:tc>
          <w:tcPr>
            <w:tcW w:w="694" w:type="dxa"/>
            <w:tcBorders>
              <w:top w:val="nil"/>
              <w:left w:val="nil"/>
              <w:bottom w:val="double" w:sz="6" w:space="0" w:color="auto"/>
              <w:right w:val="nil"/>
            </w:tcBorders>
            <w:shd w:val="clear" w:color="auto" w:fill="auto"/>
            <w:noWrap/>
            <w:vAlign w:val="center"/>
            <w:hideMark/>
          </w:tcPr>
          <w:p w14:paraId="0D927A1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eastAsia="fr-SN"/>
              </w:rPr>
              <w:t>127,9</w:t>
            </w:r>
          </w:p>
        </w:tc>
        <w:tc>
          <w:tcPr>
            <w:tcW w:w="755" w:type="dxa"/>
            <w:tcBorders>
              <w:top w:val="nil"/>
              <w:left w:val="nil"/>
              <w:bottom w:val="double" w:sz="6" w:space="0" w:color="auto"/>
              <w:right w:val="nil"/>
            </w:tcBorders>
            <w:shd w:val="clear" w:color="auto" w:fill="auto"/>
            <w:noWrap/>
            <w:vAlign w:val="center"/>
            <w:hideMark/>
          </w:tcPr>
          <w:p w14:paraId="476265D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eastAsia="fr-SN"/>
              </w:rPr>
              <w:t>128,2</w:t>
            </w:r>
          </w:p>
        </w:tc>
        <w:tc>
          <w:tcPr>
            <w:tcW w:w="743" w:type="dxa"/>
            <w:tcBorders>
              <w:top w:val="nil"/>
              <w:left w:val="nil"/>
              <w:bottom w:val="double" w:sz="6" w:space="0" w:color="auto"/>
              <w:right w:val="nil"/>
            </w:tcBorders>
            <w:shd w:val="clear" w:color="auto" w:fill="auto"/>
            <w:noWrap/>
            <w:vAlign w:val="center"/>
            <w:hideMark/>
          </w:tcPr>
          <w:p w14:paraId="24EA171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eastAsia="fr-SN"/>
              </w:rPr>
              <w:t>126,9</w:t>
            </w:r>
          </w:p>
        </w:tc>
        <w:tc>
          <w:tcPr>
            <w:tcW w:w="804" w:type="dxa"/>
            <w:tcBorders>
              <w:top w:val="nil"/>
              <w:left w:val="nil"/>
              <w:bottom w:val="double" w:sz="6" w:space="0" w:color="auto"/>
              <w:right w:val="nil"/>
            </w:tcBorders>
            <w:shd w:val="clear" w:color="auto" w:fill="auto"/>
            <w:noWrap/>
            <w:vAlign w:val="center"/>
            <w:hideMark/>
          </w:tcPr>
          <w:p w14:paraId="43849E5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eastAsia="fr-SN"/>
              </w:rPr>
              <w:t>124,7</w:t>
            </w:r>
          </w:p>
        </w:tc>
        <w:tc>
          <w:tcPr>
            <w:tcW w:w="760" w:type="dxa"/>
            <w:tcBorders>
              <w:top w:val="nil"/>
              <w:left w:val="nil"/>
              <w:bottom w:val="double" w:sz="6" w:space="0" w:color="auto"/>
              <w:right w:val="nil"/>
            </w:tcBorders>
            <w:shd w:val="clear" w:color="auto" w:fill="auto"/>
            <w:vAlign w:val="center"/>
            <w:hideMark/>
          </w:tcPr>
          <w:p w14:paraId="51BBCA1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eastAsia="fr-SN"/>
              </w:rPr>
              <w:t>-1,7%</w:t>
            </w:r>
          </w:p>
        </w:tc>
        <w:tc>
          <w:tcPr>
            <w:tcW w:w="760" w:type="dxa"/>
            <w:tcBorders>
              <w:top w:val="nil"/>
              <w:left w:val="nil"/>
              <w:bottom w:val="double" w:sz="6" w:space="0" w:color="auto"/>
              <w:right w:val="nil"/>
            </w:tcBorders>
            <w:shd w:val="clear" w:color="auto" w:fill="auto"/>
            <w:vAlign w:val="center"/>
            <w:hideMark/>
          </w:tcPr>
          <w:p w14:paraId="2C44EE0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eastAsia="fr-SN"/>
              </w:rPr>
              <w:t>-2,5%</w:t>
            </w:r>
          </w:p>
        </w:tc>
        <w:tc>
          <w:tcPr>
            <w:tcW w:w="760" w:type="dxa"/>
            <w:tcBorders>
              <w:top w:val="nil"/>
              <w:left w:val="nil"/>
              <w:bottom w:val="double" w:sz="6" w:space="0" w:color="auto"/>
              <w:right w:val="nil"/>
            </w:tcBorders>
            <w:shd w:val="clear" w:color="auto" w:fill="auto"/>
            <w:vAlign w:val="center"/>
            <w:hideMark/>
          </w:tcPr>
          <w:p w14:paraId="6B6C97A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eastAsia="fr-SN"/>
              </w:rPr>
              <w:t>10,6%</w:t>
            </w:r>
          </w:p>
        </w:tc>
      </w:tr>
      <w:tr w:rsidR="00310604" w:rsidRPr="006071D4" w14:paraId="36844337" w14:textId="77777777" w:rsidTr="00310604">
        <w:trPr>
          <w:trHeight w:val="525"/>
        </w:trPr>
        <w:tc>
          <w:tcPr>
            <w:tcW w:w="3060" w:type="dxa"/>
            <w:tcBorders>
              <w:top w:val="nil"/>
              <w:left w:val="nil"/>
              <w:bottom w:val="nil"/>
              <w:right w:val="nil"/>
            </w:tcBorders>
            <w:shd w:val="clear" w:color="000000" w:fill="D9E1F2"/>
            <w:vAlign w:val="bottom"/>
            <w:hideMark/>
          </w:tcPr>
          <w:p w14:paraId="40CC9F69"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Produits alimentaires et boissons non alcoolisées</w:t>
            </w:r>
          </w:p>
        </w:tc>
        <w:tc>
          <w:tcPr>
            <w:tcW w:w="620" w:type="dxa"/>
            <w:tcBorders>
              <w:top w:val="nil"/>
              <w:left w:val="nil"/>
              <w:bottom w:val="nil"/>
              <w:right w:val="nil"/>
            </w:tcBorders>
            <w:shd w:val="clear" w:color="000000" w:fill="D9E1F2"/>
            <w:noWrap/>
            <w:vAlign w:val="center"/>
            <w:hideMark/>
          </w:tcPr>
          <w:p w14:paraId="050C49C7"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4964</w:t>
            </w:r>
          </w:p>
        </w:tc>
        <w:tc>
          <w:tcPr>
            <w:tcW w:w="804" w:type="dxa"/>
            <w:tcBorders>
              <w:top w:val="nil"/>
              <w:left w:val="nil"/>
              <w:bottom w:val="nil"/>
              <w:right w:val="nil"/>
            </w:tcBorders>
            <w:shd w:val="clear" w:color="000000" w:fill="D9E1F2"/>
            <w:noWrap/>
            <w:vAlign w:val="center"/>
            <w:hideMark/>
          </w:tcPr>
          <w:p w14:paraId="43770779"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121,3</w:t>
            </w:r>
          </w:p>
        </w:tc>
        <w:tc>
          <w:tcPr>
            <w:tcW w:w="694" w:type="dxa"/>
            <w:tcBorders>
              <w:top w:val="nil"/>
              <w:left w:val="nil"/>
              <w:bottom w:val="nil"/>
              <w:right w:val="nil"/>
            </w:tcBorders>
            <w:shd w:val="clear" w:color="000000" w:fill="D9E1F2"/>
            <w:noWrap/>
            <w:vAlign w:val="center"/>
            <w:hideMark/>
          </w:tcPr>
          <w:p w14:paraId="48667EEE"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146,5</w:t>
            </w:r>
          </w:p>
        </w:tc>
        <w:tc>
          <w:tcPr>
            <w:tcW w:w="755" w:type="dxa"/>
            <w:tcBorders>
              <w:top w:val="nil"/>
              <w:left w:val="nil"/>
              <w:bottom w:val="nil"/>
              <w:right w:val="nil"/>
            </w:tcBorders>
            <w:shd w:val="clear" w:color="000000" w:fill="D9E1F2"/>
            <w:noWrap/>
            <w:vAlign w:val="center"/>
            <w:hideMark/>
          </w:tcPr>
          <w:p w14:paraId="1F203F5D"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146,3</w:t>
            </w:r>
          </w:p>
        </w:tc>
        <w:tc>
          <w:tcPr>
            <w:tcW w:w="743" w:type="dxa"/>
            <w:tcBorders>
              <w:top w:val="nil"/>
              <w:left w:val="nil"/>
              <w:bottom w:val="nil"/>
              <w:right w:val="nil"/>
            </w:tcBorders>
            <w:shd w:val="clear" w:color="000000" w:fill="D9E1F2"/>
            <w:noWrap/>
            <w:vAlign w:val="center"/>
            <w:hideMark/>
          </w:tcPr>
          <w:p w14:paraId="332B9087"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143,3</w:t>
            </w:r>
          </w:p>
        </w:tc>
        <w:tc>
          <w:tcPr>
            <w:tcW w:w="804" w:type="dxa"/>
            <w:tcBorders>
              <w:top w:val="nil"/>
              <w:left w:val="nil"/>
              <w:bottom w:val="nil"/>
              <w:right w:val="nil"/>
            </w:tcBorders>
            <w:shd w:val="clear" w:color="000000" w:fill="D9E1F2"/>
            <w:noWrap/>
            <w:vAlign w:val="center"/>
            <w:hideMark/>
          </w:tcPr>
          <w:p w14:paraId="2954584C"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137,9</w:t>
            </w:r>
          </w:p>
        </w:tc>
        <w:tc>
          <w:tcPr>
            <w:tcW w:w="760" w:type="dxa"/>
            <w:tcBorders>
              <w:top w:val="nil"/>
              <w:left w:val="nil"/>
              <w:bottom w:val="nil"/>
              <w:right w:val="nil"/>
            </w:tcBorders>
            <w:shd w:val="clear" w:color="000000" w:fill="D9E1F2"/>
            <w:vAlign w:val="center"/>
            <w:hideMark/>
          </w:tcPr>
          <w:p w14:paraId="23CC1981"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-3,7%</w:t>
            </w:r>
          </w:p>
        </w:tc>
        <w:tc>
          <w:tcPr>
            <w:tcW w:w="760" w:type="dxa"/>
            <w:tcBorders>
              <w:top w:val="nil"/>
              <w:left w:val="nil"/>
              <w:bottom w:val="nil"/>
              <w:right w:val="nil"/>
            </w:tcBorders>
            <w:shd w:val="clear" w:color="000000" w:fill="D9E1F2"/>
            <w:vAlign w:val="center"/>
            <w:hideMark/>
          </w:tcPr>
          <w:p w14:paraId="67FB1EB0"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-5,8%</w:t>
            </w:r>
          </w:p>
        </w:tc>
        <w:tc>
          <w:tcPr>
            <w:tcW w:w="760" w:type="dxa"/>
            <w:tcBorders>
              <w:top w:val="nil"/>
              <w:left w:val="nil"/>
              <w:bottom w:val="nil"/>
              <w:right w:val="nil"/>
            </w:tcBorders>
            <w:shd w:val="clear" w:color="000000" w:fill="D9E1F2"/>
            <w:vAlign w:val="center"/>
            <w:hideMark/>
          </w:tcPr>
          <w:p w14:paraId="27D521F4"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13,7%</w:t>
            </w:r>
          </w:p>
        </w:tc>
      </w:tr>
      <w:tr w:rsidR="00310604" w:rsidRPr="00310604" w14:paraId="46E2BEC6" w14:textId="77777777" w:rsidTr="00310604">
        <w:trPr>
          <w:trHeight w:val="255"/>
        </w:trPr>
        <w:tc>
          <w:tcPr>
            <w:tcW w:w="3060" w:type="dxa"/>
            <w:tcBorders>
              <w:top w:val="nil"/>
              <w:left w:val="nil"/>
              <w:bottom w:val="nil"/>
              <w:right w:val="nil"/>
            </w:tcBorders>
            <w:shd w:val="clear" w:color="auto" w:fill="auto"/>
            <w:vAlign w:val="bottom"/>
            <w:hideMark/>
          </w:tcPr>
          <w:p w14:paraId="0B1369F4"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Produits alimentaires</w:t>
            </w:r>
          </w:p>
        </w:tc>
        <w:tc>
          <w:tcPr>
            <w:tcW w:w="620" w:type="dxa"/>
            <w:tcBorders>
              <w:top w:val="nil"/>
              <w:left w:val="nil"/>
              <w:bottom w:val="nil"/>
              <w:right w:val="nil"/>
            </w:tcBorders>
            <w:shd w:val="clear" w:color="auto" w:fill="auto"/>
            <w:noWrap/>
            <w:vAlign w:val="center"/>
            <w:hideMark/>
          </w:tcPr>
          <w:p w14:paraId="02D4685F"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4721</w:t>
            </w:r>
          </w:p>
        </w:tc>
        <w:tc>
          <w:tcPr>
            <w:tcW w:w="804" w:type="dxa"/>
            <w:tcBorders>
              <w:top w:val="nil"/>
              <w:left w:val="nil"/>
              <w:bottom w:val="nil"/>
              <w:right w:val="nil"/>
            </w:tcBorders>
            <w:shd w:val="clear" w:color="auto" w:fill="auto"/>
            <w:noWrap/>
            <w:vAlign w:val="center"/>
            <w:hideMark/>
          </w:tcPr>
          <w:p w14:paraId="29B4B6D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122,1</w:t>
            </w:r>
          </w:p>
        </w:tc>
        <w:tc>
          <w:tcPr>
            <w:tcW w:w="694" w:type="dxa"/>
            <w:tcBorders>
              <w:top w:val="nil"/>
              <w:left w:val="nil"/>
              <w:bottom w:val="nil"/>
              <w:right w:val="nil"/>
            </w:tcBorders>
            <w:shd w:val="clear" w:color="auto" w:fill="auto"/>
            <w:noWrap/>
            <w:vAlign w:val="center"/>
            <w:hideMark/>
          </w:tcPr>
          <w:p w14:paraId="14D8188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148,4</w:t>
            </w:r>
          </w:p>
        </w:tc>
        <w:tc>
          <w:tcPr>
            <w:tcW w:w="755" w:type="dxa"/>
            <w:tcBorders>
              <w:top w:val="nil"/>
              <w:left w:val="nil"/>
              <w:bottom w:val="nil"/>
              <w:right w:val="nil"/>
            </w:tcBorders>
            <w:shd w:val="clear" w:color="auto" w:fill="auto"/>
            <w:noWrap/>
            <w:vAlign w:val="center"/>
            <w:hideMark/>
          </w:tcPr>
          <w:p w14:paraId="4131AE2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148,1</w:t>
            </w:r>
          </w:p>
        </w:tc>
        <w:tc>
          <w:tcPr>
            <w:tcW w:w="743" w:type="dxa"/>
            <w:tcBorders>
              <w:top w:val="nil"/>
              <w:left w:val="nil"/>
              <w:bottom w:val="nil"/>
              <w:right w:val="nil"/>
            </w:tcBorders>
            <w:shd w:val="clear" w:color="auto" w:fill="auto"/>
            <w:noWrap/>
            <w:vAlign w:val="center"/>
            <w:hideMark/>
          </w:tcPr>
          <w:p w14:paraId="29F340C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144,9</w:t>
            </w:r>
          </w:p>
        </w:tc>
        <w:tc>
          <w:tcPr>
            <w:tcW w:w="804" w:type="dxa"/>
            <w:tcBorders>
              <w:top w:val="nil"/>
              <w:left w:val="nil"/>
              <w:bottom w:val="nil"/>
              <w:right w:val="nil"/>
            </w:tcBorders>
            <w:shd w:val="clear" w:color="auto" w:fill="auto"/>
            <w:noWrap/>
            <w:vAlign w:val="center"/>
            <w:hideMark/>
          </w:tcPr>
          <w:p w14:paraId="7409AD2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139,3</w:t>
            </w:r>
          </w:p>
        </w:tc>
        <w:tc>
          <w:tcPr>
            <w:tcW w:w="760" w:type="dxa"/>
            <w:tcBorders>
              <w:top w:val="nil"/>
              <w:left w:val="nil"/>
              <w:bottom w:val="nil"/>
              <w:right w:val="nil"/>
            </w:tcBorders>
            <w:shd w:val="clear" w:color="auto" w:fill="auto"/>
            <w:vAlign w:val="center"/>
            <w:hideMark/>
          </w:tcPr>
          <w:p w14:paraId="324458E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-3,9%</w:t>
            </w:r>
          </w:p>
        </w:tc>
        <w:tc>
          <w:tcPr>
            <w:tcW w:w="760" w:type="dxa"/>
            <w:tcBorders>
              <w:top w:val="nil"/>
              <w:left w:val="nil"/>
              <w:bottom w:val="nil"/>
              <w:right w:val="nil"/>
            </w:tcBorders>
            <w:shd w:val="clear" w:color="auto" w:fill="auto"/>
            <w:vAlign w:val="center"/>
            <w:hideMark/>
          </w:tcPr>
          <w:p w14:paraId="0312941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-6,1%</w:t>
            </w:r>
          </w:p>
        </w:tc>
        <w:tc>
          <w:tcPr>
            <w:tcW w:w="760" w:type="dxa"/>
            <w:tcBorders>
              <w:top w:val="nil"/>
              <w:left w:val="nil"/>
              <w:bottom w:val="nil"/>
              <w:right w:val="nil"/>
            </w:tcBorders>
            <w:shd w:val="clear" w:color="auto" w:fill="auto"/>
            <w:vAlign w:val="center"/>
            <w:hideMark/>
          </w:tcPr>
          <w:p w14:paraId="7AC7325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14,1%</w:t>
            </w:r>
          </w:p>
        </w:tc>
      </w:tr>
      <w:tr w:rsidR="00310604" w:rsidRPr="00310604" w14:paraId="4A85D095" w14:textId="77777777" w:rsidTr="00310604">
        <w:trPr>
          <w:trHeight w:val="300"/>
        </w:trPr>
        <w:tc>
          <w:tcPr>
            <w:tcW w:w="3060" w:type="dxa"/>
            <w:tcBorders>
              <w:top w:val="nil"/>
              <w:left w:val="nil"/>
              <w:bottom w:val="nil"/>
              <w:right w:val="nil"/>
            </w:tcBorders>
            <w:shd w:val="clear" w:color="auto" w:fill="auto"/>
            <w:vAlign w:val="bottom"/>
            <w:hideMark/>
          </w:tcPr>
          <w:p w14:paraId="03BD7EE3"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 xml:space="preserve">Boissons non </w:t>
            </w:r>
            <w:proofErr w:type="spellStart"/>
            <w:r w:rsidRPr="00310604">
              <w:rPr>
                <w:rFonts w:ascii="Arial" w:eastAsia="Times New Roman" w:hAnsi="Arial" w:cs="Arial"/>
                <w:sz w:val="16"/>
                <w:szCs w:val="16"/>
                <w:lang w:val="fr-SN" w:eastAsia="fr-SN"/>
              </w:rPr>
              <w:t>alcoolisees</w:t>
            </w:r>
            <w:proofErr w:type="spellEnd"/>
          </w:p>
        </w:tc>
        <w:tc>
          <w:tcPr>
            <w:tcW w:w="620" w:type="dxa"/>
            <w:tcBorders>
              <w:top w:val="nil"/>
              <w:left w:val="nil"/>
              <w:bottom w:val="nil"/>
              <w:right w:val="nil"/>
            </w:tcBorders>
            <w:shd w:val="clear" w:color="auto" w:fill="auto"/>
            <w:noWrap/>
            <w:vAlign w:val="center"/>
            <w:hideMark/>
          </w:tcPr>
          <w:p w14:paraId="17B96C7C"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243</w:t>
            </w:r>
          </w:p>
        </w:tc>
        <w:tc>
          <w:tcPr>
            <w:tcW w:w="804" w:type="dxa"/>
            <w:tcBorders>
              <w:top w:val="nil"/>
              <w:left w:val="nil"/>
              <w:bottom w:val="nil"/>
              <w:right w:val="nil"/>
            </w:tcBorders>
            <w:shd w:val="clear" w:color="auto" w:fill="auto"/>
            <w:noWrap/>
            <w:vAlign w:val="center"/>
            <w:hideMark/>
          </w:tcPr>
          <w:p w14:paraId="3F83965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105,6</w:t>
            </w:r>
          </w:p>
        </w:tc>
        <w:tc>
          <w:tcPr>
            <w:tcW w:w="694" w:type="dxa"/>
            <w:tcBorders>
              <w:top w:val="nil"/>
              <w:left w:val="nil"/>
              <w:bottom w:val="nil"/>
              <w:right w:val="nil"/>
            </w:tcBorders>
            <w:shd w:val="clear" w:color="auto" w:fill="auto"/>
            <w:noWrap/>
            <w:vAlign w:val="center"/>
            <w:hideMark/>
          </w:tcPr>
          <w:p w14:paraId="362BFB9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109,6</w:t>
            </w:r>
          </w:p>
        </w:tc>
        <w:tc>
          <w:tcPr>
            <w:tcW w:w="755" w:type="dxa"/>
            <w:tcBorders>
              <w:top w:val="nil"/>
              <w:left w:val="nil"/>
              <w:bottom w:val="nil"/>
              <w:right w:val="nil"/>
            </w:tcBorders>
            <w:shd w:val="clear" w:color="auto" w:fill="auto"/>
            <w:noWrap/>
            <w:vAlign w:val="center"/>
            <w:hideMark/>
          </w:tcPr>
          <w:p w14:paraId="505EFA1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110,4</w:t>
            </w:r>
          </w:p>
        </w:tc>
        <w:tc>
          <w:tcPr>
            <w:tcW w:w="743" w:type="dxa"/>
            <w:tcBorders>
              <w:top w:val="nil"/>
              <w:left w:val="nil"/>
              <w:bottom w:val="nil"/>
              <w:right w:val="nil"/>
            </w:tcBorders>
            <w:shd w:val="clear" w:color="auto" w:fill="auto"/>
            <w:noWrap/>
            <w:vAlign w:val="center"/>
            <w:hideMark/>
          </w:tcPr>
          <w:p w14:paraId="66AC127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111,3</w:t>
            </w:r>
          </w:p>
        </w:tc>
        <w:tc>
          <w:tcPr>
            <w:tcW w:w="804" w:type="dxa"/>
            <w:tcBorders>
              <w:top w:val="nil"/>
              <w:left w:val="nil"/>
              <w:bottom w:val="nil"/>
              <w:right w:val="nil"/>
            </w:tcBorders>
            <w:shd w:val="clear" w:color="auto" w:fill="auto"/>
            <w:noWrap/>
            <w:vAlign w:val="center"/>
            <w:hideMark/>
          </w:tcPr>
          <w:p w14:paraId="724DA3E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111,0</w:t>
            </w:r>
          </w:p>
        </w:tc>
        <w:tc>
          <w:tcPr>
            <w:tcW w:w="760" w:type="dxa"/>
            <w:tcBorders>
              <w:top w:val="nil"/>
              <w:left w:val="nil"/>
              <w:bottom w:val="nil"/>
              <w:right w:val="nil"/>
            </w:tcBorders>
            <w:shd w:val="clear" w:color="auto" w:fill="auto"/>
            <w:vAlign w:val="center"/>
            <w:hideMark/>
          </w:tcPr>
          <w:p w14:paraId="279640C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-0,3%</w:t>
            </w:r>
          </w:p>
        </w:tc>
        <w:tc>
          <w:tcPr>
            <w:tcW w:w="760" w:type="dxa"/>
            <w:tcBorders>
              <w:top w:val="nil"/>
              <w:left w:val="nil"/>
              <w:bottom w:val="nil"/>
              <w:right w:val="nil"/>
            </w:tcBorders>
            <w:shd w:val="clear" w:color="auto" w:fill="auto"/>
            <w:vAlign w:val="center"/>
            <w:hideMark/>
          </w:tcPr>
          <w:p w14:paraId="4A407E1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1,3%</w:t>
            </w:r>
          </w:p>
        </w:tc>
        <w:tc>
          <w:tcPr>
            <w:tcW w:w="760" w:type="dxa"/>
            <w:tcBorders>
              <w:top w:val="nil"/>
              <w:left w:val="nil"/>
              <w:bottom w:val="nil"/>
              <w:right w:val="nil"/>
            </w:tcBorders>
            <w:shd w:val="clear" w:color="auto" w:fill="auto"/>
            <w:vAlign w:val="center"/>
            <w:hideMark/>
          </w:tcPr>
          <w:p w14:paraId="27322A1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5,1%</w:t>
            </w:r>
          </w:p>
        </w:tc>
      </w:tr>
      <w:tr w:rsidR="00310604" w:rsidRPr="006071D4" w14:paraId="070BE5AE" w14:textId="77777777" w:rsidTr="00310604">
        <w:trPr>
          <w:trHeight w:val="255"/>
        </w:trPr>
        <w:tc>
          <w:tcPr>
            <w:tcW w:w="3060" w:type="dxa"/>
            <w:tcBorders>
              <w:top w:val="nil"/>
              <w:left w:val="nil"/>
              <w:bottom w:val="nil"/>
              <w:right w:val="nil"/>
            </w:tcBorders>
            <w:shd w:val="clear" w:color="000000" w:fill="D9E1F2"/>
            <w:vAlign w:val="bottom"/>
            <w:hideMark/>
          </w:tcPr>
          <w:p w14:paraId="0A9FB342"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Tabac et stupéfiants</w:t>
            </w:r>
          </w:p>
        </w:tc>
        <w:tc>
          <w:tcPr>
            <w:tcW w:w="620" w:type="dxa"/>
            <w:tcBorders>
              <w:top w:val="nil"/>
              <w:left w:val="nil"/>
              <w:bottom w:val="nil"/>
              <w:right w:val="nil"/>
            </w:tcBorders>
            <w:shd w:val="clear" w:color="000000" w:fill="D9E1F2"/>
            <w:noWrap/>
            <w:vAlign w:val="center"/>
            <w:hideMark/>
          </w:tcPr>
          <w:p w14:paraId="2BAC9743"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49</w:t>
            </w:r>
          </w:p>
        </w:tc>
        <w:tc>
          <w:tcPr>
            <w:tcW w:w="804" w:type="dxa"/>
            <w:tcBorders>
              <w:top w:val="nil"/>
              <w:left w:val="nil"/>
              <w:bottom w:val="nil"/>
              <w:right w:val="nil"/>
            </w:tcBorders>
            <w:shd w:val="clear" w:color="000000" w:fill="D9E1F2"/>
            <w:noWrap/>
            <w:vAlign w:val="center"/>
            <w:hideMark/>
          </w:tcPr>
          <w:p w14:paraId="1733A63B"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116,8</w:t>
            </w:r>
          </w:p>
        </w:tc>
        <w:tc>
          <w:tcPr>
            <w:tcW w:w="694" w:type="dxa"/>
            <w:tcBorders>
              <w:top w:val="nil"/>
              <w:left w:val="nil"/>
              <w:bottom w:val="nil"/>
              <w:right w:val="nil"/>
            </w:tcBorders>
            <w:shd w:val="clear" w:color="000000" w:fill="D9E1F2"/>
            <w:noWrap/>
            <w:vAlign w:val="center"/>
            <w:hideMark/>
          </w:tcPr>
          <w:p w14:paraId="337CE473"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121,7</w:t>
            </w:r>
          </w:p>
        </w:tc>
        <w:tc>
          <w:tcPr>
            <w:tcW w:w="755" w:type="dxa"/>
            <w:tcBorders>
              <w:top w:val="nil"/>
              <w:left w:val="nil"/>
              <w:bottom w:val="nil"/>
              <w:right w:val="nil"/>
            </w:tcBorders>
            <w:shd w:val="clear" w:color="000000" w:fill="D9E1F2"/>
            <w:noWrap/>
            <w:vAlign w:val="center"/>
            <w:hideMark/>
          </w:tcPr>
          <w:p w14:paraId="5954E066"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121,7</w:t>
            </w:r>
          </w:p>
        </w:tc>
        <w:tc>
          <w:tcPr>
            <w:tcW w:w="743" w:type="dxa"/>
            <w:tcBorders>
              <w:top w:val="nil"/>
              <w:left w:val="nil"/>
              <w:bottom w:val="nil"/>
              <w:right w:val="nil"/>
            </w:tcBorders>
            <w:shd w:val="clear" w:color="000000" w:fill="D9E1F2"/>
            <w:noWrap/>
            <w:vAlign w:val="center"/>
            <w:hideMark/>
          </w:tcPr>
          <w:p w14:paraId="283193FB"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121,9</w:t>
            </w:r>
          </w:p>
        </w:tc>
        <w:tc>
          <w:tcPr>
            <w:tcW w:w="804" w:type="dxa"/>
            <w:tcBorders>
              <w:top w:val="nil"/>
              <w:left w:val="nil"/>
              <w:bottom w:val="nil"/>
              <w:right w:val="nil"/>
            </w:tcBorders>
            <w:shd w:val="clear" w:color="000000" w:fill="D9E1F2"/>
            <w:noWrap/>
            <w:vAlign w:val="center"/>
            <w:hideMark/>
          </w:tcPr>
          <w:p w14:paraId="1106BF61"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121,6</w:t>
            </w:r>
          </w:p>
        </w:tc>
        <w:tc>
          <w:tcPr>
            <w:tcW w:w="760" w:type="dxa"/>
            <w:tcBorders>
              <w:top w:val="nil"/>
              <w:left w:val="nil"/>
              <w:bottom w:val="nil"/>
              <w:right w:val="nil"/>
            </w:tcBorders>
            <w:shd w:val="clear" w:color="000000" w:fill="D9E1F2"/>
            <w:vAlign w:val="center"/>
            <w:hideMark/>
          </w:tcPr>
          <w:p w14:paraId="4AE8B2BF"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-0,2%</w:t>
            </w:r>
          </w:p>
        </w:tc>
        <w:tc>
          <w:tcPr>
            <w:tcW w:w="760" w:type="dxa"/>
            <w:tcBorders>
              <w:top w:val="nil"/>
              <w:left w:val="nil"/>
              <w:bottom w:val="nil"/>
              <w:right w:val="nil"/>
            </w:tcBorders>
            <w:shd w:val="clear" w:color="000000" w:fill="D9E1F2"/>
            <w:vAlign w:val="center"/>
            <w:hideMark/>
          </w:tcPr>
          <w:p w14:paraId="5C1E204D"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-0,1%</w:t>
            </w:r>
          </w:p>
        </w:tc>
        <w:tc>
          <w:tcPr>
            <w:tcW w:w="760" w:type="dxa"/>
            <w:tcBorders>
              <w:top w:val="nil"/>
              <w:left w:val="nil"/>
              <w:bottom w:val="nil"/>
              <w:right w:val="nil"/>
            </w:tcBorders>
            <w:shd w:val="clear" w:color="000000" w:fill="D9E1F2"/>
            <w:vAlign w:val="center"/>
            <w:hideMark/>
          </w:tcPr>
          <w:p w14:paraId="0ACA1ECA"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4,1%</w:t>
            </w:r>
          </w:p>
        </w:tc>
      </w:tr>
      <w:tr w:rsidR="00310604" w:rsidRPr="00310604" w14:paraId="0619083D" w14:textId="77777777" w:rsidTr="00310604">
        <w:trPr>
          <w:trHeight w:val="255"/>
        </w:trPr>
        <w:tc>
          <w:tcPr>
            <w:tcW w:w="3060" w:type="dxa"/>
            <w:tcBorders>
              <w:top w:val="nil"/>
              <w:left w:val="nil"/>
              <w:bottom w:val="nil"/>
              <w:right w:val="nil"/>
            </w:tcBorders>
            <w:shd w:val="clear" w:color="auto" w:fill="auto"/>
            <w:vAlign w:val="bottom"/>
            <w:hideMark/>
          </w:tcPr>
          <w:p w14:paraId="6E7703D3"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 xml:space="preserve">Boissons </w:t>
            </w:r>
            <w:proofErr w:type="spellStart"/>
            <w:r w:rsidRPr="00310604">
              <w:rPr>
                <w:rFonts w:ascii="Arial" w:eastAsia="Times New Roman" w:hAnsi="Arial" w:cs="Arial"/>
                <w:sz w:val="16"/>
                <w:szCs w:val="16"/>
                <w:lang w:val="fr-SN" w:eastAsia="fr-SN"/>
              </w:rPr>
              <w:t>alcoolisees</w:t>
            </w:r>
            <w:proofErr w:type="spellEnd"/>
          </w:p>
        </w:tc>
        <w:tc>
          <w:tcPr>
            <w:tcW w:w="620" w:type="dxa"/>
            <w:tcBorders>
              <w:top w:val="nil"/>
              <w:left w:val="nil"/>
              <w:bottom w:val="nil"/>
              <w:right w:val="nil"/>
            </w:tcBorders>
            <w:shd w:val="clear" w:color="auto" w:fill="auto"/>
            <w:noWrap/>
            <w:vAlign w:val="center"/>
            <w:hideMark/>
          </w:tcPr>
          <w:p w14:paraId="66DA97A8"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13</w:t>
            </w:r>
          </w:p>
        </w:tc>
        <w:tc>
          <w:tcPr>
            <w:tcW w:w="804" w:type="dxa"/>
            <w:tcBorders>
              <w:top w:val="nil"/>
              <w:left w:val="nil"/>
              <w:bottom w:val="nil"/>
              <w:right w:val="nil"/>
            </w:tcBorders>
            <w:shd w:val="clear" w:color="auto" w:fill="auto"/>
            <w:noWrap/>
            <w:vAlign w:val="center"/>
            <w:hideMark/>
          </w:tcPr>
          <w:p w14:paraId="6AF8F85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106,3</w:t>
            </w:r>
          </w:p>
        </w:tc>
        <w:tc>
          <w:tcPr>
            <w:tcW w:w="694" w:type="dxa"/>
            <w:tcBorders>
              <w:top w:val="nil"/>
              <w:left w:val="nil"/>
              <w:bottom w:val="nil"/>
              <w:right w:val="nil"/>
            </w:tcBorders>
            <w:shd w:val="clear" w:color="auto" w:fill="auto"/>
            <w:noWrap/>
            <w:vAlign w:val="center"/>
            <w:hideMark/>
          </w:tcPr>
          <w:p w14:paraId="6C5C52E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111,9</w:t>
            </w:r>
          </w:p>
        </w:tc>
        <w:tc>
          <w:tcPr>
            <w:tcW w:w="755" w:type="dxa"/>
            <w:tcBorders>
              <w:top w:val="nil"/>
              <w:left w:val="nil"/>
              <w:bottom w:val="nil"/>
              <w:right w:val="nil"/>
            </w:tcBorders>
            <w:shd w:val="clear" w:color="auto" w:fill="auto"/>
            <w:noWrap/>
            <w:vAlign w:val="center"/>
            <w:hideMark/>
          </w:tcPr>
          <w:p w14:paraId="2CE49F5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112,5</w:t>
            </w:r>
          </w:p>
        </w:tc>
        <w:tc>
          <w:tcPr>
            <w:tcW w:w="743" w:type="dxa"/>
            <w:tcBorders>
              <w:top w:val="nil"/>
              <w:left w:val="nil"/>
              <w:bottom w:val="nil"/>
              <w:right w:val="nil"/>
            </w:tcBorders>
            <w:shd w:val="clear" w:color="auto" w:fill="auto"/>
            <w:noWrap/>
            <w:vAlign w:val="center"/>
            <w:hideMark/>
          </w:tcPr>
          <w:p w14:paraId="59C0999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112,6</w:t>
            </w:r>
          </w:p>
        </w:tc>
        <w:tc>
          <w:tcPr>
            <w:tcW w:w="804" w:type="dxa"/>
            <w:tcBorders>
              <w:top w:val="nil"/>
              <w:left w:val="nil"/>
              <w:bottom w:val="nil"/>
              <w:right w:val="nil"/>
            </w:tcBorders>
            <w:shd w:val="clear" w:color="auto" w:fill="auto"/>
            <w:noWrap/>
            <w:vAlign w:val="center"/>
            <w:hideMark/>
          </w:tcPr>
          <w:p w14:paraId="4CD1851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113,4</w:t>
            </w:r>
          </w:p>
        </w:tc>
        <w:tc>
          <w:tcPr>
            <w:tcW w:w="760" w:type="dxa"/>
            <w:tcBorders>
              <w:top w:val="nil"/>
              <w:left w:val="nil"/>
              <w:bottom w:val="nil"/>
              <w:right w:val="nil"/>
            </w:tcBorders>
            <w:shd w:val="clear" w:color="auto" w:fill="auto"/>
            <w:vAlign w:val="center"/>
            <w:hideMark/>
          </w:tcPr>
          <w:p w14:paraId="1CEC46A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0,7%</w:t>
            </w:r>
          </w:p>
        </w:tc>
        <w:tc>
          <w:tcPr>
            <w:tcW w:w="760" w:type="dxa"/>
            <w:tcBorders>
              <w:top w:val="nil"/>
              <w:left w:val="nil"/>
              <w:bottom w:val="nil"/>
              <w:right w:val="nil"/>
            </w:tcBorders>
            <w:shd w:val="clear" w:color="auto" w:fill="auto"/>
            <w:vAlign w:val="center"/>
            <w:hideMark/>
          </w:tcPr>
          <w:p w14:paraId="2F60744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1,4%</w:t>
            </w:r>
          </w:p>
        </w:tc>
        <w:tc>
          <w:tcPr>
            <w:tcW w:w="760" w:type="dxa"/>
            <w:tcBorders>
              <w:top w:val="nil"/>
              <w:left w:val="nil"/>
              <w:bottom w:val="nil"/>
              <w:right w:val="nil"/>
            </w:tcBorders>
            <w:shd w:val="clear" w:color="auto" w:fill="auto"/>
            <w:vAlign w:val="center"/>
            <w:hideMark/>
          </w:tcPr>
          <w:p w14:paraId="225A87D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6,7%</w:t>
            </w:r>
          </w:p>
        </w:tc>
      </w:tr>
      <w:tr w:rsidR="00310604" w:rsidRPr="00310604" w14:paraId="59B6F4BB" w14:textId="77777777" w:rsidTr="00310604">
        <w:trPr>
          <w:trHeight w:val="255"/>
        </w:trPr>
        <w:tc>
          <w:tcPr>
            <w:tcW w:w="3060" w:type="dxa"/>
            <w:tcBorders>
              <w:top w:val="nil"/>
              <w:left w:val="nil"/>
              <w:bottom w:val="nil"/>
              <w:right w:val="nil"/>
            </w:tcBorders>
            <w:shd w:val="clear" w:color="auto" w:fill="auto"/>
            <w:vAlign w:val="bottom"/>
            <w:hideMark/>
          </w:tcPr>
          <w:p w14:paraId="095DBF31"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 xml:space="preserve">Tabacs et </w:t>
            </w:r>
            <w:proofErr w:type="spellStart"/>
            <w:r w:rsidRPr="00310604">
              <w:rPr>
                <w:rFonts w:ascii="Arial" w:eastAsia="Times New Roman" w:hAnsi="Arial" w:cs="Arial"/>
                <w:sz w:val="16"/>
                <w:szCs w:val="16"/>
                <w:lang w:val="fr-SN" w:eastAsia="fr-SN"/>
              </w:rPr>
              <w:t>stupefiants</w:t>
            </w:r>
            <w:proofErr w:type="spellEnd"/>
          </w:p>
        </w:tc>
        <w:tc>
          <w:tcPr>
            <w:tcW w:w="620" w:type="dxa"/>
            <w:tcBorders>
              <w:top w:val="nil"/>
              <w:left w:val="nil"/>
              <w:bottom w:val="nil"/>
              <w:right w:val="nil"/>
            </w:tcBorders>
            <w:shd w:val="clear" w:color="auto" w:fill="auto"/>
            <w:noWrap/>
            <w:vAlign w:val="center"/>
            <w:hideMark/>
          </w:tcPr>
          <w:p w14:paraId="6C7C62A9"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36</w:t>
            </w:r>
          </w:p>
        </w:tc>
        <w:tc>
          <w:tcPr>
            <w:tcW w:w="804" w:type="dxa"/>
            <w:tcBorders>
              <w:top w:val="nil"/>
              <w:left w:val="nil"/>
              <w:bottom w:val="nil"/>
              <w:right w:val="nil"/>
            </w:tcBorders>
            <w:shd w:val="clear" w:color="auto" w:fill="auto"/>
            <w:noWrap/>
            <w:vAlign w:val="center"/>
            <w:hideMark/>
          </w:tcPr>
          <w:p w14:paraId="7AE1DF8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120,5</w:t>
            </w:r>
          </w:p>
        </w:tc>
        <w:tc>
          <w:tcPr>
            <w:tcW w:w="694" w:type="dxa"/>
            <w:tcBorders>
              <w:top w:val="nil"/>
              <w:left w:val="nil"/>
              <w:bottom w:val="nil"/>
              <w:right w:val="nil"/>
            </w:tcBorders>
            <w:shd w:val="clear" w:color="auto" w:fill="auto"/>
            <w:noWrap/>
            <w:vAlign w:val="center"/>
            <w:hideMark/>
          </w:tcPr>
          <w:p w14:paraId="464870A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125,2</w:t>
            </w:r>
          </w:p>
        </w:tc>
        <w:tc>
          <w:tcPr>
            <w:tcW w:w="755" w:type="dxa"/>
            <w:tcBorders>
              <w:top w:val="nil"/>
              <w:left w:val="nil"/>
              <w:bottom w:val="nil"/>
              <w:right w:val="nil"/>
            </w:tcBorders>
            <w:shd w:val="clear" w:color="auto" w:fill="auto"/>
            <w:noWrap/>
            <w:vAlign w:val="center"/>
            <w:hideMark/>
          </w:tcPr>
          <w:p w14:paraId="64162B8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125,1</w:t>
            </w:r>
          </w:p>
        </w:tc>
        <w:tc>
          <w:tcPr>
            <w:tcW w:w="743" w:type="dxa"/>
            <w:tcBorders>
              <w:top w:val="nil"/>
              <w:left w:val="nil"/>
              <w:bottom w:val="nil"/>
              <w:right w:val="nil"/>
            </w:tcBorders>
            <w:shd w:val="clear" w:color="auto" w:fill="auto"/>
            <w:noWrap/>
            <w:vAlign w:val="center"/>
            <w:hideMark/>
          </w:tcPr>
          <w:p w14:paraId="418FCB3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125,2</w:t>
            </w:r>
          </w:p>
        </w:tc>
        <w:tc>
          <w:tcPr>
            <w:tcW w:w="804" w:type="dxa"/>
            <w:tcBorders>
              <w:top w:val="nil"/>
              <w:left w:val="nil"/>
              <w:bottom w:val="nil"/>
              <w:right w:val="nil"/>
            </w:tcBorders>
            <w:shd w:val="clear" w:color="auto" w:fill="auto"/>
            <w:noWrap/>
            <w:vAlign w:val="center"/>
            <w:hideMark/>
          </w:tcPr>
          <w:p w14:paraId="4474685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124,6</w:t>
            </w:r>
          </w:p>
        </w:tc>
        <w:tc>
          <w:tcPr>
            <w:tcW w:w="760" w:type="dxa"/>
            <w:tcBorders>
              <w:top w:val="nil"/>
              <w:left w:val="nil"/>
              <w:bottom w:val="nil"/>
              <w:right w:val="nil"/>
            </w:tcBorders>
            <w:shd w:val="clear" w:color="auto" w:fill="auto"/>
            <w:vAlign w:val="center"/>
            <w:hideMark/>
          </w:tcPr>
          <w:p w14:paraId="40D34CC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-0,5%</w:t>
            </w:r>
          </w:p>
        </w:tc>
        <w:tc>
          <w:tcPr>
            <w:tcW w:w="760" w:type="dxa"/>
            <w:tcBorders>
              <w:top w:val="nil"/>
              <w:left w:val="nil"/>
              <w:bottom w:val="nil"/>
              <w:right w:val="nil"/>
            </w:tcBorders>
            <w:shd w:val="clear" w:color="auto" w:fill="auto"/>
            <w:vAlign w:val="center"/>
            <w:hideMark/>
          </w:tcPr>
          <w:p w14:paraId="0536896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-0,5%</w:t>
            </w:r>
          </w:p>
        </w:tc>
        <w:tc>
          <w:tcPr>
            <w:tcW w:w="760" w:type="dxa"/>
            <w:tcBorders>
              <w:top w:val="nil"/>
              <w:left w:val="nil"/>
              <w:bottom w:val="nil"/>
              <w:right w:val="nil"/>
            </w:tcBorders>
            <w:shd w:val="clear" w:color="auto" w:fill="auto"/>
            <w:vAlign w:val="center"/>
            <w:hideMark/>
          </w:tcPr>
          <w:p w14:paraId="1842E77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3,4%</w:t>
            </w:r>
          </w:p>
        </w:tc>
      </w:tr>
      <w:tr w:rsidR="00310604" w:rsidRPr="006071D4" w14:paraId="4E42A64C" w14:textId="77777777" w:rsidTr="00310604">
        <w:trPr>
          <w:trHeight w:val="255"/>
        </w:trPr>
        <w:tc>
          <w:tcPr>
            <w:tcW w:w="3060" w:type="dxa"/>
            <w:tcBorders>
              <w:top w:val="nil"/>
              <w:left w:val="nil"/>
              <w:bottom w:val="nil"/>
              <w:right w:val="nil"/>
            </w:tcBorders>
            <w:shd w:val="clear" w:color="000000" w:fill="D9E1F2"/>
            <w:vAlign w:val="bottom"/>
            <w:hideMark/>
          </w:tcPr>
          <w:p w14:paraId="5AD799BA"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Articles d'habillement et chaussures</w:t>
            </w:r>
          </w:p>
        </w:tc>
        <w:tc>
          <w:tcPr>
            <w:tcW w:w="620" w:type="dxa"/>
            <w:tcBorders>
              <w:top w:val="nil"/>
              <w:left w:val="nil"/>
              <w:bottom w:val="nil"/>
              <w:right w:val="nil"/>
            </w:tcBorders>
            <w:shd w:val="clear" w:color="000000" w:fill="D9E1F2"/>
            <w:noWrap/>
            <w:vAlign w:val="center"/>
            <w:hideMark/>
          </w:tcPr>
          <w:p w14:paraId="1C314EB6"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730</w:t>
            </w:r>
          </w:p>
        </w:tc>
        <w:tc>
          <w:tcPr>
            <w:tcW w:w="804" w:type="dxa"/>
            <w:tcBorders>
              <w:top w:val="nil"/>
              <w:left w:val="nil"/>
              <w:bottom w:val="nil"/>
              <w:right w:val="nil"/>
            </w:tcBorders>
            <w:shd w:val="clear" w:color="000000" w:fill="D9E1F2"/>
            <w:noWrap/>
            <w:vAlign w:val="center"/>
            <w:hideMark/>
          </w:tcPr>
          <w:p w14:paraId="2AA5634D"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104,2</w:t>
            </w:r>
          </w:p>
        </w:tc>
        <w:tc>
          <w:tcPr>
            <w:tcW w:w="694" w:type="dxa"/>
            <w:tcBorders>
              <w:top w:val="nil"/>
              <w:left w:val="nil"/>
              <w:bottom w:val="nil"/>
              <w:right w:val="nil"/>
            </w:tcBorders>
            <w:shd w:val="clear" w:color="000000" w:fill="D9E1F2"/>
            <w:noWrap/>
            <w:vAlign w:val="center"/>
            <w:hideMark/>
          </w:tcPr>
          <w:p w14:paraId="25DF49E1"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108,9</w:t>
            </w:r>
          </w:p>
        </w:tc>
        <w:tc>
          <w:tcPr>
            <w:tcW w:w="755" w:type="dxa"/>
            <w:tcBorders>
              <w:top w:val="nil"/>
              <w:left w:val="nil"/>
              <w:bottom w:val="nil"/>
              <w:right w:val="nil"/>
            </w:tcBorders>
            <w:shd w:val="clear" w:color="000000" w:fill="D9E1F2"/>
            <w:noWrap/>
            <w:vAlign w:val="center"/>
            <w:hideMark/>
          </w:tcPr>
          <w:p w14:paraId="02220C77"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109,3</w:t>
            </w:r>
          </w:p>
        </w:tc>
        <w:tc>
          <w:tcPr>
            <w:tcW w:w="743" w:type="dxa"/>
            <w:tcBorders>
              <w:top w:val="nil"/>
              <w:left w:val="nil"/>
              <w:bottom w:val="nil"/>
              <w:right w:val="nil"/>
            </w:tcBorders>
            <w:shd w:val="clear" w:color="000000" w:fill="D9E1F2"/>
            <w:noWrap/>
            <w:vAlign w:val="center"/>
            <w:hideMark/>
          </w:tcPr>
          <w:p w14:paraId="6F44EEE5"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109,9</w:t>
            </w:r>
          </w:p>
        </w:tc>
        <w:tc>
          <w:tcPr>
            <w:tcW w:w="804" w:type="dxa"/>
            <w:tcBorders>
              <w:top w:val="nil"/>
              <w:left w:val="nil"/>
              <w:bottom w:val="nil"/>
              <w:right w:val="nil"/>
            </w:tcBorders>
            <w:shd w:val="clear" w:color="000000" w:fill="D9E1F2"/>
            <w:noWrap/>
            <w:vAlign w:val="center"/>
            <w:hideMark/>
          </w:tcPr>
          <w:p w14:paraId="428DB3D7"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109,7</w:t>
            </w:r>
          </w:p>
        </w:tc>
        <w:tc>
          <w:tcPr>
            <w:tcW w:w="760" w:type="dxa"/>
            <w:tcBorders>
              <w:top w:val="nil"/>
              <w:left w:val="nil"/>
              <w:bottom w:val="nil"/>
              <w:right w:val="nil"/>
            </w:tcBorders>
            <w:shd w:val="clear" w:color="000000" w:fill="D9E1F2"/>
            <w:vAlign w:val="center"/>
            <w:hideMark/>
          </w:tcPr>
          <w:p w14:paraId="51391832"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-0,2%</w:t>
            </w:r>
          </w:p>
        </w:tc>
        <w:tc>
          <w:tcPr>
            <w:tcW w:w="760" w:type="dxa"/>
            <w:tcBorders>
              <w:top w:val="nil"/>
              <w:left w:val="nil"/>
              <w:bottom w:val="nil"/>
              <w:right w:val="nil"/>
            </w:tcBorders>
            <w:shd w:val="clear" w:color="000000" w:fill="D9E1F2"/>
            <w:vAlign w:val="center"/>
            <w:hideMark/>
          </w:tcPr>
          <w:p w14:paraId="16620EE2"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0,7%</w:t>
            </w:r>
          </w:p>
        </w:tc>
        <w:tc>
          <w:tcPr>
            <w:tcW w:w="760" w:type="dxa"/>
            <w:tcBorders>
              <w:top w:val="nil"/>
              <w:left w:val="nil"/>
              <w:bottom w:val="nil"/>
              <w:right w:val="nil"/>
            </w:tcBorders>
            <w:shd w:val="clear" w:color="000000" w:fill="D9E1F2"/>
            <w:vAlign w:val="center"/>
            <w:hideMark/>
          </w:tcPr>
          <w:p w14:paraId="4AE1A9FA"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5,3%</w:t>
            </w:r>
          </w:p>
        </w:tc>
      </w:tr>
      <w:tr w:rsidR="00310604" w:rsidRPr="00310604" w14:paraId="39AACB5B" w14:textId="77777777" w:rsidTr="00310604">
        <w:trPr>
          <w:trHeight w:val="255"/>
        </w:trPr>
        <w:tc>
          <w:tcPr>
            <w:tcW w:w="3060" w:type="dxa"/>
            <w:tcBorders>
              <w:top w:val="nil"/>
              <w:left w:val="nil"/>
              <w:bottom w:val="nil"/>
              <w:right w:val="nil"/>
            </w:tcBorders>
            <w:shd w:val="clear" w:color="auto" w:fill="auto"/>
            <w:vAlign w:val="bottom"/>
            <w:hideMark/>
          </w:tcPr>
          <w:p w14:paraId="6DF2A093"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Articles d'habillement</w:t>
            </w:r>
          </w:p>
        </w:tc>
        <w:tc>
          <w:tcPr>
            <w:tcW w:w="620" w:type="dxa"/>
            <w:tcBorders>
              <w:top w:val="nil"/>
              <w:left w:val="nil"/>
              <w:bottom w:val="nil"/>
              <w:right w:val="nil"/>
            </w:tcBorders>
            <w:shd w:val="clear" w:color="auto" w:fill="auto"/>
            <w:noWrap/>
            <w:vAlign w:val="center"/>
            <w:hideMark/>
          </w:tcPr>
          <w:p w14:paraId="100727FC"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602</w:t>
            </w:r>
          </w:p>
        </w:tc>
        <w:tc>
          <w:tcPr>
            <w:tcW w:w="804" w:type="dxa"/>
            <w:tcBorders>
              <w:top w:val="nil"/>
              <w:left w:val="nil"/>
              <w:bottom w:val="nil"/>
              <w:right w:val="nil"/>
            </w:tcBorders>
            <w:shd w:val="clear" w:color="auto" w:fill="auto"/>
            <w:noWrap/>
            <w:vAlign w:val="center"/>
            <w:hideMark/>
          </w:tcPr>
          <w:p w14:paraId="7D95965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104,4</w:t>
            </w:r>
          </w:p>
        </w:tc>
        <w:tc>
          <w:tcPr>
            <w:tcW w:w="694" w:type="dxa"/>
            <w:tcBorders>
              <w:top w:val="nil"/>
              <w:left w:val="nil"/>
              <w:bottom w:val="nil"/>
              <w:right w:val="nil"/>
            </w:tcBorders>
            <w:shd w:val="clear" w:color="auto" w:fill="auto"/>
            <w:noWrap/>
            <w:vAlign w:val="center"/>
            <w:hideMark/>
          </w:tcPr>
          <w:p w14:paraId="6EB5260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109,3</w:t>
            </w:r>
          </w:p>
        </w:tc>
        <w:tc>
          <w:tcPr>
            <w:tcW w:w="755" w:type="dxa"/>
            <w:tcBorders>
              <w:top w:val="nil"/>
              <w:left w:val="nil"/>
              <w:bottom w:val="nil"/>
              <w:right w:val="nil"/>
            </w:tcBorders>
            <w:shd w:val="clear" w:color="auto" w:fill="auto"/>
            <w:noWrap/>
            <w:vAlign w:val="center"/>
            <w:hideMark/>
          </w:tcPr>
          <w:p w14:paraId="3680AAC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109,6</w:t>
            </w:r>
          </w:p>
        </w:tc>
        <w:tc>
          <w:tcPr>
            <w:tcW w:w="743" w:type="dxa"/>
            <w:tcBorders>
              <w:top w:val="nil"/>
              <w:left w:val="nil"/>
              <w:bottom w:val="nil"/>
              <w:right w:val="nil"/>
            </w:tcBorders>
            <w:shd w:val="clear" w:color="auto" w:fill="auto"/>
            <w:noWrap/>
            <w:vAlign w:val="center"/>
            <w:hideMark/>
          </w:tcPr>
          <w:p w14:paraId="0124F5E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110,4</w:t>
            </w:r>
          </w:p>
        </w:tc>
        <w:tc>
          <w:tcPr>
            <w:tcW w:w="804" w:type="dxa"/>
            <w:tcBorders>
              <w:top w:val="nil"/>
              <w:left w:val="nil"/>
              <w:bottom w:val="nil"/>
              <w:right w:val="nil"/>
            </w:tcBorders>
            <w:shd w:val="clear" w:color="auto" w:fill="auto"/>
            <w:noWrap/>
            <w:vAlign w:val="center"/>
            <w:hideMark/>
          </w:tcPr>
          <w:p w14:paraId="01FA75B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110,0</w:t>
            </w:r>
          </w:p>
        </w:tc>
        <w:tc>
          <w:tcPr>
            <w:tcW w:w="760" w:type="dxa"/>
            <w:tcBorders>
              <w:top w:val="nil"/>
              <w:left w:val="nil"/>
              <w:bottom w:val="nil"/>
              <w:right w:val="nil"/>
            </w:tcBorders>
            <w:shd w:val="clear" w:color="auto" w:fill="auto"/>
            <w:vAlign w:val="center"/>
            <w:hideMark/>
          </w:tcPr>
          <w:p w14:paraId="0081A17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-0,4%</w:t>
            </w:r>
          </w:p>
        </w:tc>
        <w:tc>
          <w:tcPr>
            <w:tcW w:w="760" w:type="dxa"/>
            <w:tcBorders>
              <w:top w:val="nil"/>
              <w:left w:val="nil"/>
              <w:bottom w:val="nil"/>
              <w:right w:val="nil"/>
            </w:tcBorders>
            <w:shd w:val="clear" w:color="auto" w:fill="auto"/>
            <w:vAlign w:val="center"/>
            <w:hideMark/>
          </w:tcPr>
          <w:p w14:paraId="081BAD2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0,6%</w:t>
            </w:r>
          </w:p>
        </w:tc>
        <w:tc>
          <w:tcPr>
            <w:tcW w:w="760" w:type="dxa"/>
            <w:tcBorders>
              <w:top w:val="nil"/>
              <w:left w:val="nil"/>
              <w:bottom w:val="nil"/>
              <w:right w:val="nil"/>
            </w:tcBorders>
            <w:shd w:val="clear" w:color="auto" w:fill="auto"/>
            <w:vAlign w:val="center"/>
            <w:hideMark/>
          </w:tcPr>
          <w:p w14:paraId="28CF743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5,4%</w:t>
            </w:r>
          </w:p>
        </w:tc>
      </w:tr>
      <w:tr w:rsidR="00310604" w:rsidRPr="00310604" w14:paraId="72C54BF3" w14:textId="77777777" w:rsidTr="00310604">
        <w:trPr>
          <w:trHeight w:val="300"/>
        </w:trPr>
        <w:tc>
          <w:tcPr>
            <w:tcW w:w="3060" w:type="dxa"/>
            <w:tcBorders>
              <w:top w:val="nil"/>
              <w:left w:val="nil"/>
              <w:bottom w:val="nil"/>
              <w:right w:val="nil"/>
            </w:tcBorders>
            <w:shd w:val="clear" w:color="auto" w:fill="auto"/>
            <w:vAlign w:val="bottom"/>
            <w:hideMark/>
          </w:tcPr>
          <w:p w14:paraId="68482D36"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Chaussures</w:t>
            </w:r>
          </w:p>
        </w:tc>
        <w:tc>
          <w:tcPr>
            <w:tcW w:w="620" w:type="dxa"/>
            <w:tcBorders>
              <w:top w:val="nil"/>
              <w:left w:val="nil"/>
              <w:bottom w:val="nil"/>
              <w:right w:val="nil"/>
            </w:tcBorders>
            <w:shd w:val="clear" w:color="auto" w:fill="auto"/>
            <w:noWrap/>
            <w:vAlign w:val="center"/>
            <w:hideMark/>
          </w:tcPr>
          <w:p w14:paraId="33FB5193"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128</w:t>
            </w:r>
          </w:p>
        </w:tc>
        <w:tc>
          <w:tcPr>
            <w:tcW w:w="804" w:type="dxa"/>
            <w:tcBorders>
              <w:top w:val="nil"/>
              <w:left w:val="nil"/>
              <w:bottom w:val="nil"/>
              <w:right w:val="nil"/>
            </w:tcBorders>
            <w:shd w:val="clear" w:color="auto" w:fill="auto"/>
            <w:noWrap/>
            <w:vAlign w:val="center"/>
            <w:hideMark/>
          </w:tcPr>
          <w:p w14:paraId="4B754FE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103,3</w:t>
            </w:r>
          </w:p>
        </w:tc>
        <w:tc>
          <w:tcPr>
            <w:tcW w:w="694" w:type="dxa"/>
            <w:tcBorders>
              <w:top w:val="nil"/>
              <w:left w:val="nil"/>
              <w:bottom w:val="nil"/>
              <w:right w:val="nil"/>
            </w:tcBorders>
            <w:shd w:val="clear" w:color="auto" w:fill="auto"/>
            <w:noWrap/>
            <w:vAlign w:val="center"/>
            <w:hideMark/>
          </w:tcPr>
          <w:p w14:paraId="6E86AF5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107,0</w:t>
            </w:r>
          </w:p>
        </w:tc>
        <w:tc>
          <w:tcPr>
            <w:tcW w:w="755" w:type="dxa"/>
            <w:tcBorders>
              <w:top w:val="nil"/>
              <w:left w:val="nil"/>
              <w:bottom w:val="nil"/>
              <w:right w:val="nil"/>
            </w:tcBorders>
            <w:shd w:val="clear" w:color="auto" w:fill="auto"/>
            <w:noWrap/>
            <w:vAlign w:val="center"/>
            <w:hideMark/>
          </w:tcPr>
          <w:p w14:paraId="4001DB2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107,6</w:t>
            </w:r>
          </w:p>
        </w:tc>
        <w:tc>
          <w:tcPr>
            <w:tcW w:w="743" w:type="dxa"/>
            <w:tcBorders>
              <w:top w:val="nil"/>
              <w:left w:val="nil"/>
              <w:bottom w:val="nil"/>
              <w:right w:val="nil"/>
            </w:tcBorders>
            <w:shd w:val="clear" w:color="auto" w:fill="auto"/>
            <w:noWrap/>
            <w:vAlign w:val="center"/>
            <w:hideMark/>
          </w:tcPr>
          <w:p w14:paraId="2241175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107,5</w:t>
            </w:r>
          </w:p>
        </w:tc>
        <w:tc>
          <w:tcPr>
            <w:tcW w:w="804" w:type="dxa"/>
            <w:tcBorders>
              <w:top w:val="nil"/>
              <w:left w:val="nil"/>
              <w:bottom w:val="nil"/>
              <w:right w:val="nil"/>
            </w:tcBorders>
            <w:shd w:val="clear" w:color="auto" w:fill="auto"/>
            <w:noWrap/>
            <w:vAlign w:val="center"/>
            <w:hideMark/>
          </w:tcPr>
          <w:p w14:paraId="3629834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108,3</w:t>
            </w:r>
          </w:p>
        </w:tc>
        <w:tc>
          <w:tcPr>
            <w:tcW w:w="760" w:type="dxa"/>
            <w:tcBorders>
              <w:top w:val="nil"/>
              <w:left w:val="nil"/>
              <w:bottom w:val="nil"/>
              <w:right w:val="nil"/>
            </w:tcBorders>
            <w:shd w:val="clear" w:color="auto" w:fill="auto"/>
            <w:vAlign w:val="center"/>
            <w:hideMark/>
          </w:tcPr>
          <w:p w14:paraId="719F163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0,8%</w:t>
            </w:r>
          </w:p>
        </w:tc>
        <w:tc>
          <w:tcPr>
            <w:tcW w:w="760" w:type="dxa"/>
            <w:tcBorders>
              <w:top w:val="nil"/>
              <w:left w:val="nil"/>
              <w:bottom w:val="nil"/>
              <w:right w:val="nil"/>
            </w:tcBorders>
            <w:shd w:val="clear" w:color="auto" w:fill="auto"/>
            <w:vAlign w:val="center"/>
            <w:hideMark/>
          </w:tcPr>
          <w:p w14:paraId="7F24DFE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w:t>
            </w:r>
          </w:p>
        </w:tc>
        <w:tc>
          <w:tcPr>
            <w:tcW w:w="760" w:type="dxa"/>
            <w:tcBorders>
              <w:top w:val="nil"/>
              <w:left w:val="nil"/>
              <w:bottom w:val="nil"/>
              <w:right w:val="nil"/>
            </w:tcBorders>
            <w:shd w:val="clear" w:color="auto" w:fill="auto"/>
            <w:vAlign w:val="center"/>
            <w:hideMark/>
          </w:tcPr>
          <w:p w14:paraId="44AE6E2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4,8%</w:t>
            </w:r>
          </w:p>
        </w:tc>
      </w:tr>
      <w:tr w:rsidR="00310604" w:rsidRPr="006071D4" w14:paraId="79C57CED" w14:textId="77777777" w:rsidTr="00310604">
        <w:trPr>
          <w:trHeight w:val="510"/>
        </w:trPr>
        <w:tc>
          <w:tcPr>
            <w:tcW w:w="3060" w:type="dxa"/>
            <w:tcBorders>
              <w:top w:val="nil"/>
              <w:left w:val="nil"/>
              <w:bottom w:val="nil"/>
              <w:right w:val="nil"/>
            </w:tcBorders>
            <w:shd w:val="clear" w:color="000000" w:fill="D9E1F2"/>
            <w:vAlign w:val="bottom"/>
            <w:hideMark/>
          </w:tcPr>
          <w:p w14:paraId="15FF8B70"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Logement, eau, gaz, électricité et autres combustibles</w:t>
            </w:r>
          </w:p>
        </w:tc>
        <w:tc>
          <w:tcPr>
            <w:tcW w:w="620" w:type="dxa"/>
            <w:tcBorders>
              <w:top w:val="nil"/>
              <w:left w:val="nil"/>
              <w:bottom w:val="nil"/>
              <w:right w:val="nil"/>
            </w:tcBorders>
            <w:shd w:val="clear" w:color="000000" w:fill="D9E1F2"/>
            <w:noWrap/>
            <w:vAlign w:val="center"/>
            <w:hideMark/>
          </w:tcPr>
          <w:p w14:paraId="0794F95E"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1204</w:t>
            </w:r>
          </w:p>
        </w:tc>
        <w:tc>
          <w:tcPr>
            <w:tcW w:w="804" w:type="dxa"/>
            <w:tcBorders>
              <w:top w:val="nil"/>
              <w:left w:val="nil"/>
              <w:bottom w:val="nil"/>
              <w:right w:val="nil"/>
            </w:tcBorders>
            <w:shd w:val="clear" w:color="000000" w:fill="D9E1F2"/>
            <w:noWrap/>
            <w:vAlign w:val="center"/>
            <w:hideMark/>
          </w:tcPr>
          <w:p w14:paraId="792F4F08"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102,4</w:t>
            </w:r>
          </w:p>
        </w:tc>
        <w:tc>
          <w:tcPr>
            <w:tcW w:w="694" w:type="dxa"/>
            <w:tcBorders>
              <w:top w:val="nil"/>
              <w:left w:val="nil"/>
              <w:bottom w:val="nil"/>
              <w:right w:val="nil"/>
            </w:tcBorders>
            <w:shd w:val="clear" w:color="000000" w:fill="D9E1F2"/>
            <w:noWrap/>
            <w:vAlign w:val="center"/>
            <w:hideMark/>
          </w:tcPr>
          <w:p w14:paraId="26F7D57A"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107,8</w:t>
            </w:r>
          </w:p>
        </w:tc>
        <w:tc>
          <w:tcPr>
            <w:tcW w:w="755" w:type="dxa"/>
            <w:tcBorders>
              <w:top w:val="nil"/>
              <w:left w:val="nil"/>
              <w:bottom w:val="nil"/>
              <w:right w:val="nil"/>
            </w:tcBorders>
            <w:shd w:val="clear" w:color="000000" w:fill="D9E1F2"/>
            <w:noWrap/>
            <w:vAlign w:val="center"/>
            <w:hideMark/>
          </w:tcPr>
          <w:p w14:paraId="0CC56EA2"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108,6</w:t>
            </w:r>
          </w:p>
        </w:tc>
        <w:tc>
          <w:tcPr>
            <w:tcW w:w="743" w:type="dxa"/>
            <w:tcBorders>
              <w:top w:val="nil"/>
              <w:left w:val="nil"/>
              <w:bottom w:val="nil"/>
              <w:right w:val="nil"/>
            </w:tcBorders>
            <w:shd w:val="clear" w:color="000000" w:fill="D9E1F2"/>
            <w:noWrap/>
            <w:vAlign w:val="center"/>
            <w:hideMark/>
          </w:tcPr>
          <w:p w14:paraId="0D31F101"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108,8</w:t>
            </w:r>
          </w:p>
        </w:tc>
        <w:tc>
          <w:tcPr>
            <w:tcW w:w="804" w:type="dxa"/>
            <w:tcBorders>
              <w:top w:val="nil"/>
              <w:left w:val="nil"/>
              <w:bottom w:val="nil"/>
              <w:right w:val="nil"/>
            </w:tcBorders>
            <w:shd w:val="clear" w:color="000000" w:fill="D9E1F2"/>
            <w:noWrap/>
            <w:vAlign w:val="center"/>
            <w:hideMark/>
          </w:tcPr>
          <w:p w14:paraId="4FF77706"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111,3</w:t>
            </w:r>
          </w:p>
        </w:tc>
        <w:tc>
          <w:tcPr>
            <w:tcW w:w="760" w:type="dxa"/>
            <w:tcBorders>
              <w:top w:val="nil"/>
              <w:left w:val="nil"/>
              <w:bottom w:val="nil"/>
              <w:right w:val="nil"/>
            </w:tcBorders>
            <w:shd w:val="clear" w:color="000000" w:fill="D9E1F2"/>
            <w:vAlign w:val="center"/>
            <w:hideMark/>
          </w:tcPr>
          <w:p w14:paraId="639DFBD7"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2,3%</w:t>
            </w:r>
          </w:p>
        </w:tc>
        <w:tc>
          <w:tcPr>
            <w:tcW w:w="760" w:type="dxa"/>
            <w:tcBorders>
              <w:top w:val="nil"/>
              <w:left w:val="nil"/>
              <w:bottom w:val="nil"/>
              <w:right w:val="nil"/>
            </w:tcBorders>
            <w:shd w:val="clear" w:color="000000" w:fill="D9E1F2"/>
            <w:vAlign w:val="center"/>
            <w:hideMark/>
          </w:tcPr>
          <w:p w14:paraId="3ED35F11"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3,2%</w:t>
            </w:r>
          </w:p>
        </w:tc>
        <w:tc>
          <w:tcPr>
            <w:tcW w:w="760" w:type="dxa"/>
            <w:tcBorders>
              <w:top w:val="nil"/>
              <w:left w:val="nil"/>
              <w:bottom w:val="nil"/>
              <w:right w:val="nil"/>
            </w:tcBorders>
            <w:shd w:val="clear" w:color="000000" w:fill="D9E1F2"/>
            <w:vAlign w:val="center"/>
            <w:hideMark/>
          </w:tcPr>
          <w:p w14:paraId="4DF2E199"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8,7%</w:t>
            </w:r>
          </w:p>
        </w:tc>
      </w:tr>
      <w:tr w:rsidR="00310604" w:rsidRPr="00310604" w14:paraId="5D78A41E" w14:textId="77777777" w:rsidTr="00310604">
        <w:trPr>
          <w:trHeight w:val="300"/>
        </w:trPr>
        <w:tc>
          <w:tcPr>
            <w:tcW w:w="3060" w:type="dxa"/>
            <w:tcBorders>
              <w:top w:val="nil"/>
              <w:left w:val="nil"/>
              <w:bottom w:val="nil"/>
              <w:right w:val="nil"/>
            </w:tcBorders>
            <w:shd w:val="clear" w:color="auto" w:fill="auto"/>
            <w:vAlign w:val="bottom"/>
            <w:hideMark/>
          </w:tcPr>
          <w:p w14:paraId="285681D7"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Loyers effectifs</w:t>
            </w:r>
          </w:p>
        </w:tc>
        <w:tc>
          <w:tcPr>
            <w:tcW w:w="620" w:type="dxa"/>
            <w:tcBorders>
              <w:top w:val="nil"/>
              <w:left w:val="nil"/>
              <w:bottom w:val="nil"/>
              <w:right w:val="nil"/>
            </w:tcBorders>
            <w:shd w:val="clear" w:color="auto" w:fill="auto"/>
            <w:noWrap/>
            <w:vAlign w:val="center"/>
            <w:hideMark/>
          </w:tcPr>
          <w:p w14:paraId="19BFE4C2"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303</w:t>
            </w:r>
          </w:p>
        </w:tc>
        <w:tc>
          <w:tcPr>
            <w:tcW w:w="804" w:type="dxa"/>
            <w:tcBorders>
              <w:top w:val="nil"/>
              <w:left w:val="nil"/>
              <w:bottom w:val="nil"/>
              <w:right w:val="nil"/>
            </w:tcBorders>
            <w:shd w:val="clear" w:color="auto" w:fill="auto"/>
            <w:noWrap/>
            <w:vAlign w:val="center"/>
            <w:hideMark/>
          </w:tcPr>
          <w:p w14:paraId="71B79D2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111,1</w:t>
            </w:r>
          </w:p>
        </w:tc>
        <w:tc>
          <w:tcPr>
            <w:tcW w:w="694" w:type="dxa"/>
            <w:tcBorders>
              <w:top w:val="nil"/>
              <w:left w:val="nil"/>
              <w:bottom w:val="nil"/>
              <w:right w:val="nil"/>
            </w:tcBorders>
            <w:shd w:val="clear" w:color="auto" w:fill="auto"/>
            <w:noWrap/>
            <w:vAlign w:val="center"/>
            <w:hideMark/>
          </w:tcPr>
          <w:p w14:paraId="2C1591C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111,8</w:t>
            </w:r>
          </w:p>
        </w:tc>
        <w:tc>
          <w:tcPr>
            <w:tcW w:w="755" w:type="dxa"/>
            <w:tcBorders>
              <w:top w:val="nil"/>
              <w:left w:val="nil"/>
              <w:bottom w:val="nil"/>
              <w:right w:val="nil"/>
            </w:tcBorders>
            <w:shd w:val="clear" w:color="auto" w:fill="auto"/>
            <w:noWrap/>
            <w:vAlign w:val="center"/>
            <w:hideMark/>
          </w:tcPr>
          <w:p w14:paraId="52855AD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112,0</w:t>
            </w:r>
          </w:p>
        </w:tc>
        <w:tc>
          <w:tcPr>
            <w:tcW w:w="743" w:type="dxa"/>
            <w:tcBorders>
              <w:top w:val="nil"/>
              <w:left w:val="nil"/>
              <w:bottom w:val="nil"/>
              <w:right w:val="nil"/>
            </w:tcBorders>
            <w:shd w:val="clear" w:color="auto" w:fill="auto"/>
            <w:noWrap/>
            <w:vAlign w:val="center"/>
            <w:hideMark/>
          </w:tcPr>
          <w:p w14:paraId="60FA35F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112,0</w:t>
            </w:r>
          </w:p>
        </w:tc>
        <w:tc>
          <w:tcPr>
            <w:tcW w:w="804" w:type="dxa"/>
            <w:tcBorders>
              <w:top w:val="nil"/>
              <w:left w:val="nil"/>
              <w:bottom w:val="nil"/>
              <w:right w:val="nil"/>
            </w:tcBorders>
            <w:shd w:val="clear" w:color="auto" w:fill="auto"/>
            <w:noWrap/>
            <w:vAlign w:val="center"/>
            <w:hideMark/>
          </w:tcPr>
          <w:p w14:paraId="79F4C1A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112,0</w:t>
            </w:r>
          </w:p>
        </w:tc>
        <w:tc>
          <w:tcPr>
            <w:tcW w:w="760" w:type="dxa"/>
            <w:tcBorders>
              <w:top w:val="nil"/>
              <w:left w:val="nil"/>
              <w:bottom w:val="nil"/>
              <w:right w:val="nil"/>
            </w:tcBorders>
            <w:shd w:val="clear" w:color="auto" w:fill="auto"/>
            <w:vAlign w:val="center"/>
            <w:hideMark/>
          </w:tcPr>
          <w:p w14:paraId="3DB6391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12B86F3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0,2%</w:t>
            </w:r>
          </w:p>
        </w:tc>
        <w:tc>
          <w:tcPr>
            <w:tcW w:w="760" w:type="dxa"/>
            <w:tcBorders>
              <w:top w:val="nil"/>
              <w:left w:val="nil"/>
              <w:bottom w:val="nil"/>
              <w:right w:val="nil"/>
            </w:tcBorders>
            <w:shd w:val="clear" w:color="auto" w:fill="auto"/>
            <w:vAlign w:val="center"/>
            <w:hideMark/>
          </w:tcPr>
          <w:p w14:paraId="489028C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0,8%</w:t>
            </w:r>
          </w:p>
        </w:tc>
      </w:tr>
      <w:tr w:rsidR="00310604" w:rsidRPr="00310604" w14:paraId="1A1FA447" w14:textId="77777777" w:rsidTr="00310604">
        <w:trPr>
          <w:trHeight w:val="255"/>
        </w:trPr>
        <w:tc>
          <w:tcPr>
            <w:tcW w:w="3060" w:type="dxa"/>
            <w:tcBorders>
              <w:top w:val="nil"/>
              <w:left w:val="nil"/>
              <w:bottom w:val="nil"/>
              <w:right w:val="nil"/>
            </w:tcBorders>
            <w:shd w:val="clear" w:color="auto" w:fill="auto"/>
            <w:vAlign w:val="bottom"/>
            <w:hideMark/>
          </w:tcPr>
          <w:p w14:paraId="783D0696"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 xml:space="preserve">Entretien et </w:t>
            </w:r>
            <w:proofErr w:type="spellStart"/>
            <w:r w:rsidRPr="00310604">
              <w:rPr>
                <w:rFonts w:ascii="Arial" w:eastAsia="Times New Roman" w:hAnsi="Arial" w:cs="Arial"/>
                <w:sz w:val="16"/>
                <w:szCs w:val="16"/>
                <w:lang w:val="fr-SN" w:eastAsia="fr-SN"/>
              </w:rPr>
              <w:t>reparation</w:t>
            </w:r>
            <w:proofErr w:type="spellEnd"/>
            <w:r w:rsidRPr="00310604">
              <w:rPr>
                <w:rFonts w:ascii="Arial" w:eastAsia="Times New Roman" w:hAnsi="Arial" w:cs="Arial"/>
                <w:sz w:val="16"/>
                <w:szCs w:val="16"/>
                <w:lang w:val="fr-SN" w:eastAsia="fr-SN"/>
              </w:rPr>
              <w:t xml:space="preserve"> des logements</w:t>
            </w:r>
          </w:p>
        </w:tc>
        <w:tc>
          <w:tcPr>
            <w:tcW w:w="620" w:type="dxa"/>
            <w:tcBorders>
              <w:top w:val="nil"/>
              <w:left w:val="nil"/>
              <w:bottom w:val="nil"/>
              <w:right w:val="nil"/>
            </w:tcBorders>
            <w:shd w:val="clear" w:color="auto" w:fill="auto"/>
            <w:noWrap/>
            <w:vAlign w:val="center"/>
            <w:hideMark/>
          </w:tcPr>
          <w:p w14:paraId="583293B7"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171</w:t>
            </w:r>
          </w:p>
        </w:tc>
        <w:tc>
          <w:tcPr>
            <w:tcW w:w="804" w:type="dxa"/>
            <w:tcBorders>
              <w:top w:val="nil"/>
              <w:left w:val="nil"/>
              <w:bottom w:val="nil"/>
              <w:right w:val="nil"/>
            </w:tcBorders>
            <w:shd w:val="clear" w:color="auto" w:fill="auto"/>
            <w:noWrap/>
            <w:vAlign w:val="center"/>
            <w:hideMark/>
          </w:tcPr>
          <w:p w14:paraId="2759AAA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117,4</w:t>
            </w:r>
          </w:p>
        </w:tc>
        <w:tc>
          <w:tcPr>
            <w:tcW w:w="694" w:type="dxa"/>
            <w:tcBorders>
              <w:top w:val="nil"/>
              <w:left w:val="nil"/>
              <w:bottom w:val="nil"/>
              <w:right w:val="nil"/>
            </w:tcBorders>
            <w:shd w:val="clear" w:color="auto" w:fill="auto"/>
            <w:noWrap/>
            <w:vAlign w:val="center"/>
            <w:hideMark/>
          </w:tcPr>
          <w:p w14:paraId="35F3791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131,5</w:t>
            </w:r>
          </w:p>
        </w:tc>
        <w:tc>
          <w:tcPr>
            <w:tcW w:w="755" w:type="dxa"/>
            <w:tcBorders>
              <w:top w:val="nil"/>
              <w:left w:val="nil"/>
              <w:bottom w:val="nil"/>
              <w:right w:val="nil"/>
            </w:tcBorders>
            <w:shd w:val="clear" w:color="auto" w:fill="auto"/>
            <w:noWrap/>
            <w:vAlign w:val="center"/>
            <w:hideMark/>
          </w:tcPr>
          <w:p w14:paraId="587A483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131,4</w:t>
            </w:r>
          </w:p>
        </w:tc>
        <w:tc>
          <w:tcPr>
            <w:tcW w:w="743" w:type="dxa"/>
            <w:tcBorders>
              <w:top w:val="nil"/>
              <w:left w:val="nil"/>
              <w:bottom w:val="nil"/>
              <w:right w:val="nil"/>
            </w:tcBorders>
            <w:shd w:val="clear" w:color="auto" w:fill="auto"/>
            <w:noWrap/>
            <w:vAlign w:val="center"/>
            <w:hideMark/>
          </w:tcPr>
          <w:p w14:paraId="663066E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130,2</w:t>
            </w:r>
          </w:p>
        </w:tc>
        <w:tc>
          <w:tcPr>
            <w:tcW w:w="804" w:type="dxa"/>
            <w:tcBorders>
              <w:top w:val="nil"/>
              <w:left w:val="nil"/>
              <w:bottom w:val="nil"/>
              <w:right w:val="nil"/>
            </w:tcBorders>
            <w:shd w:val="clear" w:color="auto" w:fill="auto"/>
            <w:noWrap/>
            <w:vAlign w:val="center"/>
            <w:hideMark/>
          </w:tcPr>
          <w:p w14:paraId="69E8835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128,9</w:t>
            </w:r>
          </w:p>
        </w:tc>
        <w:tc>
          <w:tcPr>
            <w:tcW w:w="760" w:type="dxa"/>
            <w:tcBorders>
              <w:top w:val="nil"/>
              <w:left w:val="nil"/>
              <w:bottom w:val="nil"/>
              <w:right w:val="nil"/>
            </w:tcBorders>
            <w:shd w:val="clear" w:color="auto" w:fill="auto"/>
            <w:vAlign w:val="center"/>
            <w:hideMark/>
          </w:tcPr>
          <w:p w14:paraId="1804394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w:t>
            </w:r>
          </w:p>
        </w:tc>
        <w:tc>
          <w:tcPr>
            <w:tcW w:w="760" w:type="dxa"/>
            <w:tcBorders>
              <w:top w:val="nil"/>
              <w:left w:val="nil"/>
              <w:bottom w:val="nil"/>
              <w:right w:val="nil"/>
            </w:tcBorders>
            <w:shd w:val="clear" w:color="auto" w:fill="auto"/>
            <w:vAlign w:val="center"/>
            <w:hideMark/>
          </w:tcPr>
          <w:p w14:paraId="75168FB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-2,0%</w:t>
            </w:r>
          </w:p>
        </w:tc>
        <w:tc>
          <w:tcPr>
            <w:tcW w:w="760" w:type="dxa"/>
            <w:tcBorders>
              <w:top w:val="nil"/>
              <w:left w:val="nil"/>
              <w:bottom w:val="nil"/>
              <w:right w:val="nil"/>
            </w:tcBorders>
            <w:shd w:val="clear" w:color="auto" w:fill="auto"/>
            <w:vAlign w:val="center"/>
            <w:hideMark/>
          </w:tcPr>
          <w:p w14:paraId="7D9361E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9,8%</w:t>
            </w:r>
          </w:p>
        </w:tc>
      </w:tr>
      <w:tr w:rsidR="00310604" w:rsidRPr="00310604" w14:paraId="7C2900CC" w14:textId="77777777" w:rsidTr="00310604">
        <w:trPr>
          <w:trHeight w:val="510"/>
        </w:trPr>
        <w:tc>
          <w:tcPr>
            <w:tcW w:w="3060" w:type="dxa"/>
            <w:tcBorders>
              <w:top w:val="nil"/>
              <w:left w:val="nil"/>
              <w:bottom w:val="nil"/>
              <w:right w:val="nil"/>
            </w:tcBorders>
            <w:shd w:val="clear" w:color="auto" w:fill="auto"/>
            <w:vAlign w:val="bottom"/>
            <w:hideMark/>
          </w:tcPr>
          <w:p w14:paraId="4AEDE4AD"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Alimentation en eau et services divers lié au logement</w:t>
            </w:r>
          </w:p>
        </w:tc>
        <w:tc>
          <w:tcPr>
            <w:tcW w:w="620" w:type="dxa"/>
            <w:tcBorders>
              <w:top w:val="nil"/>
              <w:left w:val="nil"/>
              <w:bottom w:val="nil"/>
              <w:right w:val="nil"/>
            </w:tcBorders>
            <w:shd w:val="clear" w:color="auto" w:fill="auto"/>
            <w:noWrap/>
            <w:vAlign w:val="center"/>
            <w:hideMark/>
          </w:tcPr>
          <w:p w14:paraId="236A931F"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221</w:t>
            </w:r>
          </w:p>
        </w:tc>
        <w:tc>
          <w:tcPr>
            <w:tcW w:w="804" w:type="dxa"/>
            <w:tcBorders>
              <w:top w:val="nil"/>
              <w:left w:val="nil"/>
              <w:bottom w:val="nil"/>
              <w:right w:val="nil"/>
            </w:tcBorders>
            <w:shd w:val="clear" w:color="auto" w:fill="auto"/>
            <w:noWrap/>
            <w:vAlign w:val="center"/>
            <w:hideMark/>
          </w:tcPr>
          <w:p w14:paraId="4A9AD0A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104,4</w:t>
            </w:r>
          </w:p>
        </w:tc>
        <w:tc>
          <w:tcPr>
            <w:tcW w:w="694" w:type="dxa"/>
            <w:tcBorders>
              <w:top w:val="nil"/>
              <w:left w:val="nil"/>
              <w:bottom w:val="nil"/>
              <w:right w:val="nil"/>
            </w:tcBorders>
            <w:shd w:val="clear" w:color="auto" w:fill="auto"/>
            <w:noWrap/>
            <w:vAlign w:val="center"/>
            <w:hideMark/>
          </w:tcPr>
          <w:p w14:paraId="30442A1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104,7</w:t>
            </w:r>
          </w:p>
        </w:tc>
        <w:tc>
          <w:tcPr>
            <w:tcW w:w="755" w:type="dxa"/>
            <w:tcBorders>
              <w:top w:val="nil"/>
              <w:left w:val="nil"/>
              <w:bottom w:val="nil"/>
              <w:right w:val="nil"/>
            </w:tcBorders>
            <w:shd w:val="clear" w:color="auto" w:fill="auto"/>
            <w:noWrap/>
            <w:vAlign w:val="center"/>
            <w:hideMark/>
          </w:tcPr>
          <w:p w14:paraId="42101C8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104,7</w:t>
            </w:r>
          </w:p>
        </w:tc>
        <w:tc>
          <w:tcPr>
            <w:tcW w:w="743" w:type="dxa"/>
            <w:tcBorders>
              <w:top w:val="nil"/>
              <w:left w:val="nil"/>
              <w:bottom w:val="nil"/>
              <w:right w:val="nil"/>
            </w:tcBorders>
            <w:shd w:val="clear" w:color="auto" w:fill="auto"/>
            <w:noWrap/>
            <w:vAlign w:val="center"/>
            <w:hideMark/>
          </w:tcPr>
          <w:p w14:paraId="7F24701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104,7</w:t>
            </w:r>
          </w:p>
        </w:tc>
        <w:tc>
          <w:tcPr>
            <w:tcW w:w="804" w:type="dxa"/>
            <w:tcBorders>
              <w:top w:val="nil"/>
              <w:left w:val="nil"/>
              <w:bottom w:val="nil"/>
              <w:right w:val="nil"/>
            </w:tcBorders>
            <w:shd w:val="clear" w:color="auto" w:fill="auto"/>
            <w:noWrap/>
            <w:vAlign w:val="center"/>
            <w:hideMark/>
          </w:tcPr>
          <w:p w14:paraId="33EE046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104,8</w:t>
            </w:r>
          </w:p>
        </w:tc>
        <w:tc>
          <w:tcPr>
            <w:tcW w:w="760" w:type="dxa"/>
            <w:tcBorders>
              <w:top w:val="nil"/>
              <w:left w:val="nil"/>
              <w:bottom w:val="nil"/>
              <w:right w:val="nil"/>
            </w:tcBorders>
            <w:shd w:val="clear" w:color="auto" w:fill="auto"/>
            <w:vAlign w:val="center"/>
            <w:hideMark/>
          </w:tcPr>
          <w:p w14:paraId="4D2B53E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0,1%</w:t>
            </w:r>
          </w:p>
        </w:tc>
        <w:tc>
          <w:tcPr>
            <w:tcW w:w="760" w:type="dxa"/>
            <w:tcBorders>
              <w:top w:val="nil"/>
              <w:left w:val="nil"/>
              <w:bottom w:val="nil"/>
              <w:right w:val="nil"/>
            </w:tcBorders>
            <w:shd w:val="clear" w:color="auto" w:fill="auto"/>
            <w:vAlign w:val="center"/>
            <w:hideMark/>
          </w:tcPr>
          <w:p w14:paraId="123ED47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0,1%</w:t>
            </w:r>
          </w:p>
        </w:tc>
        <w:tc>
          <w:tcPr>
            <w:tcW w:w="760" w:type="dxa"/>
            <w:tcBorders>
              <w:top w:val="nil"/>
              <w:left w:val="nil"/>
              <w:bottom w:val="nil"/>
              <w:right w:val="nil"/>
            </w:tcBorders>
            <w:shd w:val="clear" w:color="auto" w:fill="auto"/>
            <w:vAlign w:val="center"/>
            <w:hideMark/>
          </w:tcPr>
          <w:p w14:paraId="0F6A4D6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0,4%</w:t>
            </w:r>
          </w:p>
        </w:tc>
      </w:tr>
      <w:tr w:rsidR="00310604" w:rsidRPr="00310604" w14:paraId="68C98CE3" w14:textId="77777777" w:rsidTr="00310604">
        <w:trPr>
          <w:trHeight w:val="255"/>
        </w:trPr>
        <w:tc>
          <w:tcPr>
            <w:tcW w:w="3060" w:type="dxa"/>
            <w:tcBorders>
              <w:top w:val="nil"/>
              <w:left w:val="nil"/>
              <w:bottom w:val="nil"/>
              <w:right w:val="nil"/>
            </w:tcBorders>
            <w:shd w:val="clear" w:color="auto" w:fill="auto"/>
            <w:vAlign w:val="bottom"/>
            <w:hideMark/>
          </w:tcPr>
          <w:p w14:paraId="4C1086C6" w14:textId="77777777" w:rsidR="00310604" w:rsidRPr="00310604" w:rsidRDefault="00310604" w:rsidP="00310604">
            <w:pPr>
              <w:spacing w:after="0" w:line="240" w:lineRule="auto"/>
              <w:rPr>
                <w:rFonts w:ascii="Arial" w:eastAsia="Times New Roman" w:hAnsi="Arial" w:cs="Arial"/>
                <w:sz w:val="16"/>
                <w:szCs w:val="16"/>
                <w:lang w:val="fr-SN" w:eastAsia="fr-SN"/>
              </w:rPr>
            </w:pPr>
            <w:proofErr w:type="spellStart"/>
            <w:r w:rsidRPr="00310604">
              <w:rPr>
                <w:rFonts w:ascii="Arial" w:eastAsia="Times New Roman" w:hAnsi="Arial" w:cs="Arial"/>
                <w:sz w:val="16"/>
                <w:szCs w:val="16"/>
                <w:lang w:val="fr-SN" w:eastAsia="fr-SN"/>
              </w:rPr>
              <w:t>Electricite</w:t>
            </w:r>
            <w:proofErr w:type="spellEnd"/>
            <w:r w:rsidRPr="00310604">
              <w:rPr>
                <w:rFonts w:ascii="Arial" w:eastAsia="Times New Roman" w:hAnsi="Arial" w:cs="Arial"/>
                <w:sz w:val="16"/>
                <w:szCs w:val="16"/>
                <w:lang w:val="fr-SN" w:eastAsia="fr-SN"/>
              </w:rPr>
              <w:t>, gaz et autres combustibles</w:t>
            </w:r>
          </w:p>
        </w:tc>
        <w:tc>
          <w:tcPr>
            <w:tcW w:w="620" w:type="dxa"/>
            <w:tcBorders>
              <w:top w:val="nil"/>
              <w:left w:val="nil"/>
              <w:bottom w:val="nil"/>
              <w:right w:val="nil"/>
            </w:tcBorders>
            <w:shd w:val="clear" w:color="auto" w:fill="auto"/>
            <w:noWrap/>
            <w:vAlign w:val="center"/>
            <w:hideMark/>
          </w:tcPr>
          <w:p w14:paraId="310F2CBA"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509</w:t>
            </w:r>
          </w:p>
        </w:tc>
        <w:tc>
          <w:tcPr>
            <w:tcW w:w="804" w:type="dxa"/>
            <w:tcBorders>
              <w:top w:val="nil"/>
              <w:left w:val="nil"/>
              <w:bottom w:val="nil"/>
              <w:right w:val="nil"/>
            </w:tcBorders>
            <w:shd w:val="clear" w:color="auto" w:fill="auto"/>
            <w:noWrap/>
            <w:vAlign w:val="center"/>
            <w:hideMark/>
          </w:tcPr>
          <w:p w14:paraId="2E33AA6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94,3</w:t>
            </w:r>
          </w:p>
        </w:tc>
        <w:tc>
          <w:tcPr>
            <w:tcW w:w="694" w:type="dxa"/>
            <w:tcBorders>
              <w:top w:val="nil"/>
              <w:left w:val="nil"/>
              <w:bottom w:val="nil"/>
              <w:right w:val="nil"/>
            </w:tcBorders>
            <w:shd w:val="clear" w:color="auto" w:fill="auto"/>
            <w:noWrap/>
            <w:vAlign w:val="center"/>
            <w:hideMark/>
          </w:tcPr>
          <w:p w14:paraId="0F1CC1D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98,8</w:t>
            </w:r>
          </w:p>
        </w:tc>
        <w:tc>
          <w:tcPr>
            <w:tcW w:w="755" w:type="dxa"/>
            <w:tcBorders>
              <w:top w:val="nil"/>
              <w:left w:val="nil"/>
              <w:bottom w:val="nil"/>
              <w:right w:val="nil"/>
            </w:tcBorders>
            <w:shd w:val="clear" w:color="auto" w:fill="auto"/>
            <w:noWrap/>
            <w:vAlign w:val="center"/>
            <w:hideMark/>
          </w:tcPr>
          <w:p w14:paraId="5D44B36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100,6</w:t>
            </w:r>
          </w:p>
        </w:tc>
        <w:tc>
          <w:tcPr>
            <w:tcW w:w="743" w:type="dxa"/>
            <w:tcBorders>
              <w:top w:val="nil"/>
              <w:left w:val="nil"/>
              <w:bottom w:val="nil"/>
              <w:right w:val="nil"/>
            </w:tcBorders>
            <w:shd w:val="clear" w:color="auto" w:fill="auto"/>
            <w:noWrap/>
            <w:vAlign w:val="center"/>
            <w:hideMark/>
          </w:tcPr>
          <w:p w14:paraId="2FA2C0D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101,4</w:t>
            </w:r>
          </w:p>
        </w:tc>
        <w:tc>
          <w:tcPr>
            <w:tcW w:w="804" w:type="dxa"/>
            <w:tcBorders>
              <w:top w:val="nil"/>
              <w:left w:val="nil"/>
              <w:bottom w:val="nil"/>
              <w:right w:val="nil"/>
            </w:tcBorders>
            <w:shd w:val="clear" w:color="auto" w:fill="auto"/>
            <w:noWrap/>
            <w:vAlign w:val="center"/>
            <w:hideMark/>
          </w:tcPr>
          <w:p w14:paraId="11CCFD2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107,8</w:t>
            </w:r>
          </w:p>
        </w:tc>
        <w:tc>
          <w:tcPr>
            <w:tcW w:w="760" w:type="dxa"/>
            <w:tcBorders>
              <w:top w:val="nil"/>
              <w:left w:val="nil"/>
              <w:bottom w:val="nil"/>
              <w:right w:val="nil"/>
            </w:tcBorders>
            <w:shd w:val="clear" w:color="auto" w:fill="auto"/>
            <w:vAlign w:val="center"/>
            <w:hideMark/>
          </w:tcPr>
          <w:p w14:paraId="001997F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6,3%</w:t>
            </w:r>
          </w:p>
        </w:tc>
        <w:tc>
          <w:tcPr>
            <w:tcW w:w="760" w:type="dxa"/>
            <w:tcBorders>
              <w:top w:val="nil"/>
              <w:left w:val="nil"/>
              <w:bottom w:val="nil"/>
              <w:right w:val="nil"/>
            </w:tcBorders>
            <w:shd w:val="clear" w:color="auto" w:fill="auto"/>
            <w:vAlign w:val="center"/>
            <w:hideMark/>
          </w:tcPr>
          <w:p w14:paraId="70E7B8C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9,0%</w:t>
            </w:r>
          </w:p>
        </w:tc>
        <w:tc>
          <w:tcPr>
            <w:tcW w:w="760" w:type="dxa"/>
            <w:tcBorders>
              <w:top w:val="nil"/>
              <w:left w:val="nil"/>
              <w:bottom w:val="nil"/>
              <w:right w:val="nil"/>
            </w:tcBorders>
            <w:shd w:val="clear" w:color="auto" w:fill="auto"/>
            <w:vAlign w:val="center"/>
            <w:hideMark/>
          </w:tcPr>
          <w:p w14:paraId="04A92A5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14,3%</w:t>
            </w:r>
          </w:p>
        </w:tc>
      </w:tr>
      <w:tr w:rsidR="00310604" w:rsidRPr="006071D4" w14:paraId="6CE2901B" w14:textId="77777777" w:rsidTr="00310604">
        <w:trPr>
          <w:trHeight w:val="510"/>
        </w:trPr>
        <w:tc>
          <w:tcPr>
            <w:tcW w:w="3060" w:type="dxa"/>
            <w:tcBorders>
              <w:top w:val="nil"/>
              <w:left w:val="nil"/>
              <w:bottom w:val="nil"/>
              <w:right w:val="nil"/>
            </w:tcBorders>
            <w:shd w:val="clear" w:color="000000" w:fill="D9E1F2"/>
            <w:vAlign w:val="bottom"/>
            <w:hideMark/>
          </w:tcPr>
          <w:p w14:paraId="172EDF65"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Meubles, articles de ménage et entretien courant du foyer</w:t>
            </w:r>
          </w:p>
        </w:tc>
        <w:tc>
          <w:tcPr>
            <w:tcW w:w="620" w:type="dxa"/>
            <w:tcBorders>
              <w:top w:val="nil"/>
              <w:left w:val="nil"/>
              <w:bottom w:val="nil"/>
              <w:right w:val="nil"/>
            </w:tcBorders>
            <w:shd w:val="clear" w:color="000000" w:fill="D9E1F2"/>
            <w:noWrap/>
            <w:vAlign w:val="center"/>
            <w:hideMark/>
          </w:tcPr>
          <w:p w14:paraId="7C3CF3FD"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502</w:t>
            </w:r>
          </w:p>
        </w:tc>
        <w:tc>
          <w:tcPr>
            <w:tcW w:w="804" w:type="dxa"/>
            <w:tcBorders>
              <w:top w:val="nil"/>
              <w:left w:val="nil"/>
              <w:bottom w:val="nil"/>
              <w:right w:val="nil"/>
            </w:tcBorders>
            <w:shd w:val="clear" w:color="000000" w:fill="D9E1F2"/>
            <w:noWrap/>
            <w:vAlign w:val="center"/>
            <w:hideMark/>
          </w:tcPr>
          <w:p w14:paraId="496929FE"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109,6</w:t>
            </w:r>
          </w:p>
        </w:tc>
        <w:tc>
          <w:tcPr>
            <w:tcW w:w="694" w:type="dxa"/>
            <w:tcBorders>
              <w:top w:val="nil"/>
              <w:left w:val="nil"/>
              <w:bottom w:val="nil"/>
              <w:right w:val="nil"/>
            </w:tcBorders>
            <w:shd w:val="clear" w:color="000000" w:fill="D9E1F2"/>
            <w:noWrap/>
            <w:vAlign w:val="center"/>
            <w:hideMark/>
          </w:tcPr>
          <w:p w14:paraId="627CE37E"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114,3</w:t>
            </w:r>
          </w:p>
        </w:tc>
        <w:tc>
          <w:tcPr>
            <w:tcW w:w="755" w:type="dxa"/>
            <w:tcBorders>
              <w:top w:val="nil"/>
              <w:left w:val="nil"/>
              <w:bottom w:val="nil"/>
              <w:right w:val="nil"/>
            </w:tcBorders>
            <w:shd w:val="clear" w:color="000000" w:fill="D9E1F2"/>
            <w:noWrap/>
            <w:vAlign w:val="center"/>
            <w:hideMark/>
          </w:tcPr>
          <w:p w14:paraId="6C303A07"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115,2</w:t>
            </w:r>
          </w:p>
        </w:tc>
        <w:tc>
          <w:tcPr>
            <w:tcW w:w="743" w:type="dxa"/>
            <w:tcBorders>
              <w:top w:val="nil"/>
              <w:left w:val="nil"/>
              <w:bottom w:val="nil"/>
              <w:right w:val="nil"/>
            </w:tcBorders>
            <w:shd w:val="clear" w:color="000000" w:fill="D9E1F2"/>
            <w:noWrap/>
            <w:vAlign w:val="center"/>
            <w:hideMark/>
          </w:tcPr>
          <w:p w14:paraId="112F15E8"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115,5</w:t>
            </w:r>
          </w:p>
        </w:tc>
        <w:tc>
          <w:tcPr>
            <w:tcW w:w="804" w:type="dxa"/>
            <w:tcBorders>
              <w:top w:val="nil"/>
              <w:left w:val="nil"/>
              <w:bottom w:val="nil"/>
              <w:right w:val="nil"/>
            </w:tcBorders>
            <w:shd w:val="clear" w:color="000000" w:fill="D9E1F2"/>
            <w:noWrap/>
            <w:vAlign w:val="center"/>
            <w:hideMark/>
          </w:tcPr>
          <w:p w14:paraId="56682665"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115,7</w:t>
            </w:r>
          </w:p>
        </w:tc>
        <w:tc>
          <w:tcPr>
            <w:tcW w:w="760" w:type="dxa"/>
            <w:tcBorders>
              <w:top w:val="nil"/>
              <w:left w:val="nil"/>
              <w:bottom w:val="nil"/>
              <w:right w:val="nil"/>
            </w:tcBorders>
            <w:shd w:val="clear" w:color="000000" w:fill="D9E1F2"/>
            <w:vAlign w:val="center"/>
            <w:hideMark/>
          </w:tcPr>
          <w:p w14:paraId="7495C49C"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0,1%</w:t>
            </w:r>
          </w:p>
        </w:tc>
        <w:tc>
          <w:tcPr>
            <w:tcW w:w="760" w:type="dxa"/>
            <w:tcBorders>
              <w:top w:val="nil"/>
              <w:left w:val="nil"/>
              <w:bottom w:val="nil"/>
              <w:right w:val="nil"/>
            </w:tcBorders>
            <w:shd w:val="clear" w:color="000000" w:fill="D9E1F2"/>
            <w:vAlign w:val="center"/>
            <w:hideMark/>
          </w:tcPr>
          <w:p w14:paraId="30A47F4C"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1,2%</w:t>
            </w:r>
          </w:p>
        </w:tc>
        <w:tc>
          <w:tcPr>
            <w:tcW w:w="760" w:type="dxa"/>
            <w:tcBorders>
              <w:top w:val="nil"/>
              <w:left w:val="nil"/>
              <w:bottom w:val="nil"/>
              <w:right w:val="nil"/>
            </w:tcBorders>
            <w:shd w:val="clear" w:color="000000" w:fill="D9E1F2"/>
            <w:vAlign w:val="center"/>
            <w:hideMark/>
          </w:tcPr>
          <w:p w14:paraId="31B44C5E"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5,6%</w:t>
            </w:r>
          </w:p>
        </w:tc>
      </w:tr>
      <w:tr w:rsidR="00310604" w:rsidRPr="00310604" w14:paraId="25DDE237" w14:textId="77777777" w:rsidTr="00310604">
        <w:trPr>
          <w:trHeight w:val="510"/>
        </w:trPr>
        <w:tc>
          <w:tcPr>
            <w:tcW w:w="3060" w:type="dxa"/>
            <w:tcBorders>
              <w:top w:val="nil"/>
              <w:left w:val="nil"/>
              <w:bottom w:val="nil"/>
              <w:right w:val="nil"/>
            </w:tcBorders>
            <w:shd w:val="clear" w:color="auto" w:fill="auto"/>
            <w:vAlign w:val="bottom"/>
            <w:hideMark/>
          </w:tcPr>
          <w:p w14:paraId="4ABF5378" w14:textId="77777777" w:rsidR="00310604" w:rsidRPr="00310604" w:rsidRDefault="00310604" w:rsidP="00310604">
            <w:pPr>
              <w:spacing w:after="0" w:line="240" w:lineRule="auto"/>
              <w:rPr>
                <w:rFonts w:ascii="Arial" w:eastAsia="Times New Roman" w:hAnsi="Arial" w:cs="Arial"/>
                <w:sz w:val="16"/>
                <w:szCs w:val="16"/>
                <w:lang w:val="fr-SN" w:eastAsia="fr-SN"/>
              </w:rPr>
            </w:pPr>
            <w:proofErr w:type="gramStart"/>
            <w:r w:rsidRPr="00310604">
              <w:rPr>
                <w:rFonts w:ascii="Arial" w:eastAsia="Times New Roman" w:hAnsi="Arial" w:cs="Arial"/>
                <w:sz w:val="16"/>
                <w:szCs w:val="16"/>
                <w:lang w:val="fr-SN" w:eastAsia="fr-SN"/>
              </w:rPr>
              <w:t>Meubles ,</w:t>
            </w:r>
            <w:proofErr w:type="gramEnd"/>
            <w:r w:rsidRPr="00310604">
              <w:rPr>
                <w:rFonts w:ascii="Arial" w:eastAsia="Times New Roman" w:hAnsi="Arial" w:cs="Arial"/>
                <w:sz w:val="16"/>
                <w:szCs w:val="16"/>
                <w:lang w:val="fr-SN" w:eastAsia="fr-SN"/>
              </w:rPr>
              <w:t xml:space="preserve"> articles d'ameublement, tapis et autres revêtement</w:t>
            </w:r>
          </w:p>
        </w:tc>
        <w:tc>
          <w:tcPr>
            <w:tcW w:w="620" w:type="dxa"/>
            <w:tcBorders>
              <w:top w:val="nil"/>
              <w:left w:val="nil"/>
              <w:bottom w:val="nil"/>
              <w:right w:val="nil"/>
            </w:tcBorders>
            <w:shd w:val="clear" w:color="auto" w:fill="auto"/>
            <w:noWrap/>
            <w:vAlign w:val="center"/>
            <w:hideMark/>
          </w:tcPr>
          <w:p w14:paraId="28F1FF95"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129</w:t>
            </w:r>
          </w:p>
        </w:tc>
        <w:tc>
          <w:tcPr>
            <w:tcW w:w="804" w:type="dxa"/>
            <w:tcBorders>
              <w:top w:val="nil"/>
              <w:left w:val="nil"/>
              <w:bottom w:val="nil"/>
              <w:right w:val="nil"/>
            </w:tcBorders>
            <w:shd w:val="clear" w:color="auto" w:fill="auto"/>
            <w:noWrap/>
            <w:vAlign w:val="center"/>
            <w:hideMark/>
          </w:tcPr>
          <w:p w14:paraId="66E6BA9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116,0</w:t>
            </w:r>
          </w:p>
        </w:tc>
        <w:tc>
          <w:tcPr>
            <w:tcW w:w="694" w:type="dxa"/>
            <w:tcBorders>
              <w:top w:val="nil"/>
              <w:left w:val="nil"/>
              <w:bottom w:val="nil"/>
              <w:right w:val="nil"/>
            </w:tcBorders>
            <w:shd w:val="clear" w:color="auto" w:fill="auto"/>
            <w:noWrap/>
            <w:vAlign w:val="center"/>
            <w:hideMark/>
          </w:tcPr>
          <w:p w14:paraId="3C90126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119,9</w:t>
            </w:r>
          </w:p>
        </w:tc>
        <w:tc>
          <w:tcPr>
            <w:tcW w:w="755" w:type="dxa"/>
            <w:tcBorders>
              <w:top w:val="nil"/>
              <w:left w:val="nil"/>
              <w:bottom w:val="nil"/>
              <w:right w:val="nil"/>
            </w:tcBorders>
            <w:shd w:val="clear" w:color="auto" w:fill="auto"/>
            <w:noWrap/>
            <w:vAlign w:val="center"/>
            <w:hideMark/>
          </w:tcPr>
          <w:p w14:paraId="7E200A4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120,7</w:t>
            </w:r>
          </w:p>
        </w:tc>
        <w:tc>
          <w:tcPr>
            <w:tcW w:w="743" w:type="dxa"/>
            <w:tcBorders>
              <w:top w:val="nil"/>
              <w:left w:val="nil"/>
              <w:bottom w:val="nil"/>
              <w:right w:val="nil"/>
            </w:tcBorders>
            <w:shd w:val="clear" w:color="auto" w:fill="auto"/>
            <w:noWrap/>
            <w:vAlign w:val="center"/>
            <w:hideMark/>
          </w:tcPr>
          <w:p w14:paraId="2E3763D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120,7</w:t>
            </w:r>
          </w:p>
        </w:tc>
        <w:tc>
          <w:tcPr>
            <w:tcW w:w="804" w:type="dxa"/>
            <w:tcBorders>
              <w:top w:val="nil"/>
              <w:left w:val="nil"/>
              <w:bottom w:val="nil"/>
              <w:right w:val="nil"/>
            </w:tcBorders>
            <w:shd w:val="clear" w:color="auto" w:fill="auto"/>
            <w:noWrap/>
            <w:vAlign w:val="center"/>
            <w:hideMark/>
          </w:tcPr>
          <w:p w14:paraId="1DFD25E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121,1</w:t>
            </w:r>
          </w:p>
        </w:tc>
        <w:tc>
          <w:tcPr>
            <w:tcW w:w="760" w:type="dxa"/>
            <w:tcBorders>
              <w:top w:val="nil"/>
              <w:left w:val="nil"/>
              <w:bottom w:val="nil"/>
              <w:right w:val="nil"/>
            </w:tcBorders>
            <w:shd w:val="clear" w:color="auto" w:fill="auto"/>
            <w:vAlign w:val="center"/>
            <w:hideMark/>
          </w:tcPr>
          <w:p w14:paraId="13A4457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0,3%</w:t>
            </w:r>
          </w:p>
        </w:tc>
        <w:tc>
          <w:tcPr>
            <w:tcW w:w="760" w:type="dxa"/>
            <w:tcBorders>
              <w:top w:val="nil"/>
              <w:left w:val="nil"/>
              <w:bottom w:val="nil"/>
              <w:right w:val="nil"/>
            </w:tcBorders>
            <w:shd w:val="clear" w:color="auto" w:fill="auto"/>
            <w:vAlign w:val="center"/>
            <w:hideMark/>
          </w:tcPr>
          <w:p w14:paraId="2008EC2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w:t>
            </w:r>
          </w:p>
        </w:tc>
        <w:tc>
          <w:tcPr>
            <w:tcW w:w="760" w:type="dxa"/>
            <w:tcBorders>
              <w:top w:val="nil"/>
              <w:left w:val="nil"/>
              <w:bottom w:val="nil"/>
              <w:right w:val="nil"/>
            </w:tcBorders>
            <w:shd w:val="clear" w:color="auto" w:fill="auto"/>
            <w:vAlign w:val="center"/>
            <w:hideMark/>
          </w:tcPr>
          <w:p w14:paraId="115931F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4,4%</w:t>
            </w:r>
          </w:p>
        </w:tc>
      </w:tr>
      <w:tr w:rsidR="00310604" w:rsidRPr="00310604" w14:paraId="57D54E13" w14:textId="77777777" w:rsidTr="00310604">
        <w:trPr>
          <w:trHeight w:val="255"/>
        </w:trPr>
        <w:tc>
          <w:tcPr>
            <w:tcW w:w="3060" w:type="dxa"/>
            <w:tcBorders>
              <w:top w:val="nil"/>
              <w:left w:val="nil"/>
              <w:bottom w:val="nil"/>
              <w:right w:val="nil"/>
            </w:tcBorders>
            <w:shd w:val="clear" w:color="auto" w:fill="auto"/>
            <w:vAlign w:val="bottom"/>
            <w:hideMark/>
          </w:tcPr>
          <w:p w14:paraId="4C3C0E87"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Articles de ménage en textiles</w:t>
            </w:r>
          </w:p>
        </w:tc>
        <w:tc>
          <w:tcPr>
            <w:tcW w:w="620" w:type="dxa"/>
            <w:tcBorders>
              <w:top w:val="nil"/>
              <w:left w:val="nil"/>
              <w:bottom w:val="nil"/>
              <w:right w:val="nil"/>
            </w:tcBorders>
            <w:shd w:val="clear" w:color="auto" w:fill="auto"/>
            <w:noWrap/>
            <w:vAlign w:val="center"/>
            <w:hideMark/>
          </w:tcPr>
          <w:p w14:paraId="370633E0"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32</w:t>
            </w:r>
          </w:p>
        </w:tc>
        <w:tc>
          <w:tcPr>
            <w:tcW w:w="804" w:type="dxa"/>
            <w:tcBorders>
              <w:top w:val="nil"/>
              <w:left w:val="nil"/>
              <w:bottom w:val="nil"/>
              <w:right w:val="nil"/>
            </w:tcBorders>
            <w:shd w:val="clear" w:color="auto" w:fill="auto"/>
            <w:noWrap/>
            <w:vAlign w:val="center"/>
            <w:hideMark/>
          </w:tcPr>
          <w:p w14:paraId="0400E24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109,4</w:t>
            </w:r>
          </w:p>
        </w:tc>
        <w:tc>
          <w:tcPr>
            <w:tcW w:w="694" w:type="dxa"/>
            <w:tcBorders>
              <w:top w:val="nil"/>
              <w:left w:val="nil"/>
              <w:bottom w:val="nil"/>
              <w:right w:val="nil"/>
            </w:tcBorders>
            <w:shd w:val="clear" w:color="auto" w:fill="auto"/>
            <w:noWrap/>
            <w:vAlign w:val="center"/>
            <w:hideMark/>
          </w:tcPr>
          <w:p w14:paraId="30F4B53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116,2</w:t>
            </w:r>
          </w:p>
        </w:tc>
        <w:tc>
          <w:tcPr>
            <w:tcW w:w="755" w:type="dxa"/>
            <w:tcBorders>
              <w:top w:val="nil"/>
              <w:left w:val="nil"/>
              <w:bottom w:val="nil"/>
              <w:right w:val="nil"/>
            </w:tcBorders>
            <w:shd w:val="clear" w:color="auto" w:fill="auto"/>
            <w:noWrap/>
            <w:vAlign w:val="center"/>
            <w:hideMark/>
          </w:tcPr>
          <w:p w14:paraId="36D83A5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118,8</w:t>
            </w:r>
          </w:p>
        </w:tc>
        <w:tc>
          <w:tcPr>
            <w:tcW w:w="743" w:type="dxa"/>
            <w:tcBorders>
              <w:top w:val="nil"/>
              <w:left w:val="nil"/>
              <w:bottom w:val="nil"/>
              <w:right w:val="nil"/>
            </w:tcBorders>
            <w:shd w:val="clear" w:color="auto" w:fill="auto"/>
            <w:noWrap/>
            <w:vAlign w:val="center"/>
            <w:hideMark/>
          </w:tcPr>
          <w:p w14:paraId="2043337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118,9</w:t>
            </w:r>
          </w:p>
        </w:tc>
        <w:tc>
          <w:tcPr>
            <w:tcW w:w="804" w:type="dxa"/>
            <w:tcBorders>
              <w:top w:val="nil"/>
              <w:left w:val="nil"/>
              <w:bottom w:val="nil"/>
              <w:right w:val="nil"/>
            </w:tcBorders>
            <w:shd w:val="clear" w:color="auto" w:fill="auto"/>
            <w:noWrap/>
            <w:vAlign w:val="center"/>
            <w:hideMark/>
          </w:tcPr>
          <w:p w14:paraId="4D1AFD0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119,0</w:t>
            </w:r>
          </w:p>
        </w:tc>
        <w:tc>
          <w:tcPr>
            <w:tcW w:w="760" w:type="dxa"/>
            <w:tcBorders>
              <w:top w:val="nil"/>
              <w:left w:val="nil"/>
              <w:bottom w:val="nil"/>
              <w:right w:val="nil"/>
            </w:tcBorders>
            <w:shd w:val="clear" w:color="auto" w:fill="auto"/>
            <w:vAlign w:val="center"/>
            <w:hideMark/>
          </w:tcPr>
          <w:p w14:paraId="1F68EAD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0,1%</w:t>
            </w:r>
          </w:p>
        </w:tc>
        <w:tc>
          <w:tcPr>
            <w:tcW w:w="760" w:type="dxa"/>
            <w:tcBorders>
              <w:top w:val="nil"/>
              <w:left w:val="nil"/>
              <w:bottom w:val="nil"/>
              <w:right w:val="nil"/>
            </w:tcBorders>
            <w:shd w:val="clear" w:color="auto" w:fill="auto"/>
            <w:vAlign w:val="center"/>
            <w:hideMark/>
          </w:tcPr>
          <w:p w14:paraId="17067EB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2,4%</w:t>
            </w:r>
          </w:p>
        </w:tc>
        <w:tc>
          <w:tcPr>
            <w:tcW w:w="760" w:type="dxa"/>
            <w:tcBorders>
              <w:top w:val="nil"/>
              <w:left w:val="nil"/>
              <w:bottom w:val="nil"/>
              <w:right w:val="nil"/>
            </w:tcBorders>
            <w:shd w:val="clear" w:color="auto" w:fill="auto"/>
            <w:vAlign w:val="center"/>
            <w:hideMark/>
          </w:tcPr>
          <w:p w14:paraId="6F38244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8,8%</w:t>
            </w:r>
          </w:p>
        </w:tc>
      </w:tr>
      <w:tr w:rsidR="00310604" w:rsidRPr="00310604" w14:paraId="3E62E1C7" w14:textId="77777777" w:rsidTr="00310604">
        <w:trPr>
          <w:trHeight w:val="255"/>
        </w:trPr>
        <w:tc>
          <w:tcPr>
            <w:tcW w:w="3060" w:type="dxa"/>
            <w:tcBorders>
              <w:top w:val="nil"/>
              <w:left w:val="nil"/>
              <w:bottom w:val="nil"/>
              <w:right w:val="nil"/>
            </w:tcBorders>
            <w:shd w:val="clear" w:color="auto" w:fill="auto"/>
            <w:vAlign w:val="bottom"/>
            <w:hideMark/>
          </w:tcPr>
          <w:p w14:paraId="2D21206C"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 xml:space="preserve">Appareils </w:t>
            </w:r>
            <w:proofErr w:type="spellStart"/>
            <w:r w:rsidRPr="00310604">
              <w:rPr>
                <w:rFonts w:ascii="Arial" w:eastAsia="Times New Roman" w:hAnsi="Arial" w:cs="Arial"/>
                <w:sz w:val="16"/>
                <w:szCs w:val="16"/>
                <w:lang w:val="fr-SN" w:eastAsia="fr-SN"/>
              </w:rPr>
              <w:t>menagers</w:t>
            </w:r>
            <w:proofErr w:type="spellEnd"/>
          </w:p>
        </w:tc>
        <w:tc>
          <w:tcPr>
            <w:tcW w:w="620" w:type="dxa"/>
            <w:tcBorders>
              <w:top w:val="nil"/>
              <w:left w:val="nil"/>
              <w:bottom w:val="nil"/>
              <w:right w:val="nil"/>
            </w:tcBorders>
            <w:shd w:val="clear" w:color="auto" w:fill="auto"/>
            <w:noWrap/>
            <w:vAlign w:val="center"/>
            <w:hideMark/>
          </w:tcPr>
          <w:p w14:paraId="6AE589D3"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27</w:t>
            </w:r>
          </w:p>
        </w:tc>
        <w:tc>
          <w:tcPr>
            <w:tcW w:w="804" w:type="dxa"/>
            <w:tcBorders>
              <w:top w:val="nil"/>
              <w:left w:val="nil"/>
              <w:bottom w:val="nil"/>
              <w:right w:val="nil"/>
            </w:tcBorders>
            <w:shd w:val="clear" w:color="auto" w:fill="auto"/>
            <w:noWrap/>
            <w:vAlign w:val="center"/>
            <w:hideMark/>
          </w:tcPr>
          <w:p w14:paraId="02E5658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109,4</w:t>
            </w:r>
          </w:p>
        </w:tc>
        <w:tc>
          <w:tcPr>
            <w:tcW w:w="694" w:type="dxa"/>
            <w:tcBorders>
              <w:top w:val="nil"/>
              <w:left w:val="nil"/>
              <w:bottom w:val="nil"/>
              <w:right w:val="nil"/>
            </w:tcBorders>
            <w:shd w:val="clear" w:color="auto" w:fill="auto"/>
            <w:noWrap/>
            <w:vAlign w:val="center"/>
            <w:hideMark/>
          </w:tcPr>
          <w:p w14:paraId="3573D77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113,4</w:t>
            </w:r>
          </w:p>
        </w:tc>
        <w:tc>
          <w:tcPr>
            <w:tcW w:w="755" w:type="dxa"/>
            <w:tcBorders>
              <w:top w:val="nil"/>
              <w:left w:val="nil"/>
              <w:bottom w:val="nil"/>
              <w:right w:val="nil"/>
            </w:tcBorders>
            <w:shd w:val="clear" w:color="auto" w:fill="auto"/>
            <w:noWrap/>
            <w:vAlign w:val="center"/>
            <w:hideMark/>
          </w:tcPr>
          <w:p w14:paraId="381D9C4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113,1</w:t>
            </w:r>
          </w:p>
        </w:tc>
        <w:tc>
          <w:tcPr>
            <w:tcW w:w="743" w:type="dxa"/>
            <w:tcBorders>
              <w:top w:val="nil"/>
              <w:left w:val="nil"/>
              <w:bottom w:val="nil"/>
              <w:right w:val="nil"/>
            </w:tcBorders>
            <w:shd w:val="clear" w:color="auto" w:fill="auto"/>
            <w:noWrap/>
            <w:vAlign w:val="center"/>
            <w:hideMark/>
          </w:tcPr>
          <w:p w14:paraId="6301AC3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112,9</w:t>
            </w:r>
          </w:p>
        </w:tc>
        <w:tc>
          <w:tcPr>
            <w:tcW w:w="804" w:type="dxa"/>
            <w:tcBorders>
              <w:top w:val="nil"/>
              <w:left w:val="nil"/>
              <w:bottom w:val="nil"/>
              <w:right w:val="nil"/>
            </w:tcBorders>
            <w:shd w:val="clear" w:color="auto" w:fill="auto"/>
            <w:noWrap/>
            <w:vAlign w:val="center"/>
            <w:hideMark/>
          </w:tcPr>
          <w:p w14:paraId="52393C1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113,1</w:t>
            </w:r>
          </w:p>
        </w:tc>
        <w:tc>
          <w:tcPr>
            <w:tcW w:w="760" w:type="dxa"/>
            <w:tcBorders>
              <w:top w:val="nil"/>
              <w:left w:val="nil"/>
              <w:bottom w:val="nil"/>
              <w:right w:val="nil"/>
            </w:tcBorders>
            <w:shd w:val="clear" w:color="auto" w:fill="auto"/>
            <w:vAlign w:val="center"/>
            <w:hideMark/>
          </w:tcPr>
          <w:p w14:paraId="78C3CE7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0,2%</w:t>
            </w:r>
          </w:p>
        </w:tc>
        <w:tc>
          <w:tcPr>
            <w:tcW w:w="760" w:type="dxa"/>
            <w:tcBorders>
              <w:top w:val="nil"/>
              <w:left w:val="nil"/>
              <w:bottom w:val="nil"/>
              <w:right w:val="nil"/>
            </w:tcBorders>
            <w:shd w:val="clear" w:color="auto" w:fill="auto"/>
            <w:vAlign w:val="center"/>
            <w:hideMark/>
          </w:tcPr>
          <w:p w14:paraId="0AD5AD3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-0,2%</w:t>
            </w:r>
          </w:p>
        </w:tc>
        <w:tc>
          <w:tcPr>
            <w:tcW w:w="760" w:type="dxa"/>
            <w:tcBorders>
              <w:top w:val="nil"/>
              <w:left w:val="nil"/>
              <w:bottom w:val="nil"/>
              <w:right w:val="nil"/>
            </w:tcBorders>
            <w:shd w:val="clear" w:color="auto" w:fill="auto"/>
            <w:vAlign w:val="center"/>
            <w:hideMark/>
          </w:tcPr>
          <w:p w14:paraId="4261D63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3,4%</w:t>
            </w:r>
          </w:p>
        </w:tc>
      </w:tr>
      <w:tr w:rsidR="00310604" w:rsidRPr="00310604" w14:paraId="08805E5D" w14:textId="77777777" w:rsidTr="00310604">
        <w:trPr>
          <w:trHeight w:val="255"/>
        </w:trPr>
        <w:tc>
          <w:tcPr>
            <w:tcW w:w="3060" w:type="dxa"/>
            <w:tcBorders>
              <w:top w:val="nil"/>
              <w:left w:val="nil"/>
              <w:bottom w:val="nil"/>
              <w:right w:val="nil"/>
            </w:tcBorders>
            <w:shd w:val="clear" w:color="auto" w:fill="auto"/>
            <w:vAlign w:val="bottom"/>
            <w:hideMark/>
          </w:tcPr>
          <w:p w14:paraId="727C702C"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 xml:space="preserve">Verrerie, vaisselle et ustensiles de </w:t>
            </w:r>
            <w:proofErr w:type="spellStart"/>
            <w:r w:rsidRPr="00310604">
              <w:rPr>
                <w:rFonts w:ascii="Arial" w:eastAsia="Times New Roman" w:hAnsi="Arial" w:cs="Arial"/>
                <w:sz w:val="16"/>
                <w:szCs w:val="16"/>
                <w:lang w:val="fr-SN" w:eastAsia="fr-SN"/>
              </w:rPr>
              <w:t>menag</w:t>
            </w:r>
            <w:proofErr w:type="spellEnd"/>
          </w:p>
        </w:tc>
        <w:tc>
          <w:tcPr>
            <w:tcW w:w="620" w:type="dxa"/>
            <w:tcBorders>
              <w:top w:val="nil"/>
              <w:left w:val="nil"/>
              <w:bottom w:val="nil"/>
              <w:right w:val="nil"/>
            </w:tcBorders>
            <w:shd w:val="clear" w:color="auto" w:fill="auto"/>
            <w:noWrap/>
            <w:vAlign w:val="center"/>
            <w:hideMark/>
          </w:tcPr>
          <w:p w14:paraId="2AE842DE"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21</w:t>
            </w:r>
          </w:p>
        </w:tc>
        <w:tc>
          <w:tcPr>
            <w:tcW w:w="804" w:type="dxa"/>
            <w:tcBorders>
              <w:top w:val="nil"/>
              <w:left w:val="nil"/>
              <w:bottom w:val="nil"/>
              <w:right w:val="nil"/>
            </w:tcBorders>
            <w:shd w:val="clear" w:color="auto" w:fill="auto"/>
            <w:noWrap/>
            <w:vAlign w:val="center"/>
            <w:hideMark/>
          </w:tcPr>
          <w:p w14:paraId="2B5A144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105,7</w:t>
            </w:r>
          </w:p>
        </w:tc>
        <w:tc>
          <w:tcPr>
            <w:tcW w:w="694" w:type="dxa"/>
            <w:tcBorders>
              <w:top w:val="nil"/>
              <w:left w:val="nil"/>
              <w:bottom w:val="nil"/>
              <w:right w:val="nil"/>
            </w:tcBorders>
            <w:shd w:val="clear" w:color="auto" w:fill="auto"/>
            <w:noWrap/>
            <w:vAlign w:val="center"/>
            <w:hideMark/>
          </w:tcPr>
          <w:p w14:paraId="39C94C5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110,4</w:t>
            </w:r>
          </w:p>
        </w:tc>
        <w:tc>
          <w:tcPr>
            <w:tcW w:w="755" w:type="dxa"/>
            <w:tcBorders>
              <w:top w:val="nil"/>
              <w:left w:val="nil"/>
              <w:bottom w:val="nil"/>
              <w:right w:val="nil"/>
            </w:tcBorders>
            <w:shd w:val="clear" w:color="auto" w:fill="auto"/>
            <w:noWrap/>
            <w:vAlign w:val="center"/>
            <w:hideMark/>
          </w:tcPr>
          <w:p w14:paraId="7A81E62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110,9</w:t>
            </w:r>
          </w:p>
        </w:tc>
        <w:tc>
          <w:tcPr>
            <w:tcW w:w="743" w:type="dxa"/>
            <w:tcBorders>
              <w:top w:val="nil"/>
              <w:left w:val="nil"/>
              <w:bottom w:val="nil"/>
              <w:right w:val="nil"/>
            </w:tcBorders>
            <w:shd w:val="clear" w:color="auto" w:fill="auto"/>
            <w:noWrap/>
            <w:vAlign w:val="center"/>
            <w:hideMark/>
          </w:tcPr>
          <w:p w14:paraId="6466D2A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111,3</w:t>
            </w:r>
          </w:p>
        </w:tc>
        <w:tc>
          <w:tcPr>
            <w:tcW w:w="804" w:type="dxa"/>
            <w:tcBorders>
              <w:top w:val="nil"/>
              <w:left w:val="nil"/>
              <w:bottom w:val="nil"/>
              <w:right w:val="nil"/>
            </w:tcBorders>
            <w:shd w:val="clear" w:color="auto" w:fill="auto"/>
            <w:noWrap/>
            <w:vAlign w:val="center"/>
            <w:hideMark/>
          </w:tcPr>
          <w:p w14:paraId="57AD7B1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111,3</w:t>
            </w:r>
          </w:p>
        </w:tc>
        <w:tc>
          <w:tcPr>
            <w:tcW w:w="760" w:type="dxa"/>
            <w:tcBorders>
              <w:top w:val="nil"/>
              <w:left w:val="nil"/>
              <w:bottom w:val="nil"/>
              <w:right w:val="nil"/>
            </w:tcBorders>
            <w:shd w:val="clear" w:color="auto" w:fill="auto"/>
            <w:vAlign w:val="center"/>
            <w:hideMark/>
          </w:tcPr>
          <w:p w14:paraId="3557C9F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-0,1%</w:t>
            </w:r>
          </w:p>
        </w:tc>
        <w:tc>
          <w:tcPr>
            <w:tcW w:w="760" w:type="dxa"/>
            <w:tcBorders>
              <w:top w:val="nil"/>
              <w:left w:val="nil"/>
              <w:bottom w:val="nil"/>
              <w:right w:val="nil"/>
            </w:tcBorders>
            <w:shd w:val="clear" w:color="auto" w:fill="auto"/>
            <w:vAlign w:val="center"/>
            <w:hideMark/>
          </w:tcPr>
          <w:p w14:paraId="03EBF3C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0,8%</w:t>
            </w:r>
          </w:p>
        </w:tc>
        <w:tc>
          <w:tcPr>
            <w:tcW w:w="760" w:type="dxa"/>
            <w:tcBorders>
              <w:top w:val="nil"/>
              <w:left w:val="nil"/>
              <w:bottom w:val="nil"/>
              <w:right w:val="nil"/>
            </w:tcBorders>
            <w:shd w:val="clear" w:color="auto" w:fill="auto"/>
            <w:vAlign w:val="center"/>
            <w:hideMark/>
          </w:tcPr>
          <w:p w14:paraId="0DF4EEF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5,3%</w:t>
            </w:r>
          </w:p>
        </w:tc>
      </w:tr>
      <w:tr w:rsidR="00310604" w:rsidRPr="00310604" w14:paraId="3F2D1AF5" w14:textId="77777777" w:rsidTr="00310604">
        <w:trPr>
          <w:trHeight w:val="510"/>
        </w:trPr>
        <w:tc>
          <w:tcPr>
            <w:tcW w:w="3060" w:type="dxa"/>
            <w:tcBorders>
              <w:top w:val="nil"/>
              <w:left w:val="nil"/>
              <w:bottom w:val="nil"/>
              <w:right w:val="nil"/>
            </w:tcBorders>
            <w:shd w:val="clear" w:color="auto" w:fill="auto"/>
            <w:vAlign w:val="bottom"/>
            <w:hideMark/>
          </w:tcPr>
          <w:p w14:paraId="3FB0C717"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lastRenderedPageBreak/>
              <w:t>Outillage et autre matériel pour la maison et le jardin</w:t>
            </w:r>
          </w:p>
        </w:tc>
        <w:tc>
          <w:tcPr>
            <w:tcW w:w="620" w:type="dxa"/>
            <w:tcBorders>
              <w:top w:val="nil"/>
              <w:left w:val="nil"/>
              <w:bottom w:val="nil"/>
              <w:right w:val="nil"/>
            </w:tcBorders>
            <w:shd w:val="clear" w:color="auto" w:fill="auto"/>
            <w:noWrap/>
            <w:vAlign w:val="center"/>
            <w:hideMark/>
          </w:tcPr>
          <w:p w14:paraId="7BD284C2"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10</w:t>
            </w:r>
          </w:p>
        </w:tc>
        <w:tc>
          <w:tcPr>
            <w:tcW w:w="804" w:type="dxa"/>
            <w:tcBorders>
              <w:top w:val="nil"/>
              <w:left w:val="nil"/>
              <w:bottom w:val="nil"/>
              <w:right w:val="nil"/>
            </w:tcBorders>
            <w:shd w:val="clear" w:color="auto" w:fill="auto"/>
            <w:noWrap/>
            <w:vAlign w:val="center"/>
            <w:hideMark/>
          </w:tcPr>
          <w:p w14:paraId="563C0AA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102,0</w:t>
            </w:r>
          </w:p>
        </w:tc>
        <w:tc>
          <w:tcPr>
            <w:tcW w:w="694" w:type="dxa"/>
            <w:tcBorders>
              <w:top w:val="nil"/>
              <w:left w:val="nil"/>
              <w:bottom w:val="nil"/>
              <w:right w:val="nil"/>
            </w:tcBorders>
            <w:shd w:val="clear" w:color="auto" w:fill="auto"/>
            <w:noWrap/>
            <w:vAlign w:val="center"/>
            <w:hideMark/>
          </w:tcPr>
          <w:p w14:paraId="58716C0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105,4</w:t>
            </w:r>
          </w:p>
        </w:tc>
        <w:tc>
          <w:tcPr>
            <w:tcW w:w="755" w:type="dxa"/>
            <w:tcBorders>
              <w:top w:val="nil"/>
              <w:left w:val="nil"/>
              <w:bottom w:val="nil"/>
              <w:right w:val="nil"/>
            </w:tcBorders>
            <w:shd w:val="clear" w:color="auto" w:fill="auto"/>
            <w:noWrap/>
            <w:vAlign w:val="center"/>
            <w:hideMark/>
          </w:tcPr>
          <w:p w14:paraId="124A2DB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106,0</w:t>
            </w:r>
          </w:p>
        </w:tc>
        <w:tc>
          <w:tcPr>
            <w:tcW w:w="743" w:type="dxa"/>
            <w:tcBorders>
              <w:top w:val="nil"/>
              <w:left w:val="nil"/>
              <w:bottom w:val="nil"/>
              <w:right w:val="nil"/>
            </w:tcBorders>
            <w:shd w:val="clear" w:color="auto" w:fill="auto"/>
            <w:noWrap/>
            <w:vAlign w:val="center"/>
            <w:hideMark/>
          </w:tcPr>
          <w:p w14:paraId="42C7E7B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106,9</w:t>
            </w:r>
          </w:p>
        </w:tc>
        <w:tc>
          <w:tcPr>
            <w:tcW w:w="804" w:type="dxa"/>
            <w:tcBorders>
              <w:top w:val="nil"/>
              <w:left w:val="nil"/>
              <w:bottom w:val="nil"/>
              <w:right w:val="nil"/>
            </w:tcBorders>
            <w:shd w:val="clear" w:color="auto" w:fill="auto"/>
            <w:noWrap/>
            <w:vAlign w:val="center"/>
            <w:hideMark/>
          </w:tcPr>
          <w:p w14:paraId="0A125B5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107,1</w:t>
            </w:r>
          </w:p>
        </w:tc>
        <w:tc>
          <w:tcPr>
            <w:tcW w:w="760" w:type="dxa"/>
            <w:tcBorders>
              <w:top w:val="nil"/>
              <w:left w:val="nil"/>
              <w:bottom w:val="nil"/>
              <w:right w:val="nil"/>
            </w:tcBorders>
            <w:shd w:val="clear" w:color="auto" w:fill="auto"/>
            <w:vAlign w:val="center"/>
            <w:hideMark/>
          </w:tcPr>
          <w:p w14:paraId="7D45C62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0,2%</w:t>
            </w:r>
          </w:p>
        </w:tc>
        <w:tc>
          <w:tcPr>
            <w:tcW w:w="760" w:type="dxa"/>
            <w:tcBorders>
              <w:top w:val="nil"/>
              <w:left w:val="nil"/>
              <w:bottom w:val="nil"/>
              <w:right w:val="nil"/>
            </w:tcBorders>
            <w:shd w:val="clear" w:color="auto" w:fill="auto"/>
            <w:vAlign w:val="center"/>
            <w:hideMark/>
          </w:tcPr>
          <w:p w14:paraId="78CED76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1,5%</w:t>
            </w:r>
          </w:p>
        </w:tc>
        <w:tc>
          <w:tcPr>
            <w:tcW w:w="760" w:type="dxa"/>
            <w:tcBorders>
              <w:top w:val="nil"/>
              <w:left w:val="nil"/>
              <w:bottom w:val="nil"/>
              <w:right w:val="nil"/>
            </w:tcBorders>
            <w:shd w:val="clear" w:color="auto" w:fill="auto"/>
            <w:vAlign w:val="center"/>
            <w:hideMark/>
          </w:tcPr>
          <w:p w14:paraId="322B38C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4,9%</w:t>
            </w:r>
          </w:p>
        </w:tc>
      </w:tr>
      <w:tr w:rsidR="00310604" w:rsidRPr="00310604" w14:paraId="39B9BDD2" w14:textId="77777777" w:rsidTr="00310604">
        <w:trPr>
          <w:trHeight w:val="510"/>
        </w:trPr>
        <w:tc>
          <w:tcPr>
            <w:tcW w:w="3060" w:type="dxa"/>
            <w:tcBorders>
              <w:top w:val="nil"/>
              <w:left w:val="nil"/>
              <w:bottom w:val="nil"/>
              <w:right w:val="nil"/>
            </w:tcBorders>
            <w:shd w:val="clear" w:color="auto" w:fill="auto"/>
            <w:vAlign w:val="bottom"/>
            <w:hideMark/>
          </w:tcPr>
          <w:p w14:paraId="406FF07C"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Biens et services liés à l'entretien courant du foyer</w:t>
            </w:r>
          </w:p>
        </w:tc>
        <w:tc>
          <w:tcPr>
            <w:tcW w:w="620" w:type="dxa"/>
            <w:tcBorders>
              <w:top w:val="nil"/>
              <w:left w:val="nil"/>
              <w:bottom w:val="nil"/>
              <w:right w:val="nil"/>
            </w:tcBorders>
            <w:shd w:val="clear" w:color="auto" w:fill="auto"/>
            <w:noWrap/>
            <w:vAlign w:val="center"/>
            <w:hideMark/>
          </w:tcPr>
          <w:p w14:paraId="2169A9D4"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283</w:t>
            </w:r>
          </w:p>
        </w:tc>
        <w:tc>
          <w:tcPr>
            <w:tcW w:w="804" w:type="dxa"/>
            <w:tcBorders>
              <w:top w:val="nil"/>
              <w:left w:val="nil"/>
              <w:bottom w:val="nil"/>
              <w:right w:val="nil"/>
            </w:tcBorders>
            <w:shd w:val="clear" w:color="auto" w:fill="auto"/>
            <w:noWrap/>
            <w:vAlign w:val="center"/>
            <w:hideMark/>
          </w:tcPr>
          <w:p w14:paraId="6DA4E94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106,2</w:t>
            </w:r>
          </w:p>
        </w:tc>
        <w:tc>
          <w:tcPr>
            <w:tcW w:w="694" w:type="dxa"/>
            <w:tcBorders>
              <w:top w:val="nil"/>
              <w:left w:val="nil"/>
              <w:bottom w:val="nil"/>
              <w:right w:val="nil"/>
            </w:tcBorders>
            <w:shd w:val="clear" w:color="auto" w:fill="auto"/>
            <w:noWrap/>
            <w:vAlign w:val="center"/>
            <w:hideMark/>
          </w:tcPr>
          <w:p w14:paraId="6A95482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112,2</w:t>
            </w:r>
          </w:p>
        </w:tc>
        <w:tc>
          <w:tcPr>
            <w:tcW w:w="755" w:type="dxa"/>
            <w:tcBorders>
              <w:top w:val="nil"/>
              <w:left w:val="nil"/>
              <w:bottom w:val="nil"/>
              <w:right w:val="nil"/>
            </w:tcBorders>
            <w:shd w:val="clear" w:color="auto" w:fill="auto"/>
            <w:noWrap/>
            <w:vAlign w:val="center"/>
            <w:hideMark/>
          </w:tcPr>
          <w:p w14:paraId="7BFD6BB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113,0</w:t>
            </w:r>
          </w:p>
        </w:tc>
        <w:tc>
          <w:tcPr>
            <w:tcW w:w="743" w:type="dxa"/>
            <w:tcBorders>
              <w:top w:val="nil"/>
              <w:left w:val="nil"/>
              <w:bottom w:val="nil"/>
              <w:right w:val="nil"/>
            </w:tcBorders>
            <w:shd w:val="clear" w:color="auto" w:fill="auto"/>
            <w:noWrap/>
            <w:vAlign w:val="center"/>
            <w:hideMark/>
          </w:tcPr>
          <w:p w14:paraId="441A0EC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113,6</w:t>
            </w:r>
          </w:p>
        </w:tc>
        <w:tc>
          <w:tcPr>
            <w:tcW w:w="804" w:type="dxa"/>
            <w:tcBorders>
              <w:top w:val="nil"/>
              <w:left w:val="nil"/>
              <w:bottom w:val="nil"/>
              <w:right w:val="nil"/>
            </w:tcBorders>
            <w:shd w:val="clear" w:color="auto" w:fill="auto"/>
            <w:noWrap/>
            <w:vAlign w:val="center"/>
            <w:hideMark/>
          </w:tcPr>
          <w:p w14:paraId="36B5538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113,7</w:t>
            </w:r>
          </w:p>
        </w:tc>
        <w:tc>
          <w:tcPr>
            <w:tcW w:w="760" w:type="dxa"/>
            <w:tcBorders>
              <w:top w:val="nil"/>
              <w:left w:val="nil"/>
              <w:bottom w:val="nil"/>
              <w:right w:val="nil"/>
            </w:tcBorders>
            <w:shd w:val="clear" w:color="auto" w:fill="auto"/>
            <w:vAlign w:val="center"/>
            <w:hideMark/>
          </w:tcPr>
          <w:p w14:paraId="6552A2E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2E408CF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1,3%</w:t>
            </w:r>
          </w:p>
        </w:tc>
        <w:tc>
          <w:tcPr>
            <w:tcW w:w="760" w:type="dxa"/>
            <w:tcBorders>
              <w:top w:val="nil"/>
              <w:left w:val="nil"/>
              <w:bottom w:val="nil"/>
              <w:right w:val="nil"/>
            </w:tcBorders>
            <w:shd w:val="clear" w:color="auto" w:fill="auto"/>
            <w:vAlign w:val="center"/>
            <w:hideMark/>
          </w:tcPr>
          <w:p w14:paraId="7D6C2AF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7,0%</w:t>
            </w:r>
          </w:p>
        </w:tc>
      </w:tr>
      <w:tr w:rsidR="00310604" w:rsidRPr="006071D4" w14:paraId="5E65A9D7" w14:textId="77777777" w:rsidTr="00310604">
        <w:trPr>
          <w:trHeight w:val="300"/>
        </w:trPr>
        <w:tc>
          <w:tcPr>
            <w:tcW w:w="3060" w:type="dxa"/>
            <w:tcBorders>
              <w:top w:val="nil"/>
              <w:left w:val="nil"/>
              <w:bottom w:val="nil"/>
              <w:right w:val="nil"/>
            </w:tcBorders>
            <w:shd w:val="clear" w:color="000000" w:fill="D9E1F2"/>
            <w:vAlign w:val="bottom"/>
            <w:hideMark/>
          </w:tcPr>
          <w:p w14:paraId="25B3E4A7"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Santé</w:t>
            </w:r>
          </w:p>
        </w:tc>
        <w:tc>
          <w:tcPr>
            <w:tcW w:w="620" w:type="dxa"/>
            <w:tcBorders>
              <w:top w:val="nil"/>
              <w:left w:val="nil"/>
              <w:bottom w:val="nil"/>
              <w:right w:val="nil"/>
            </w:tcBorders>
            <w:shd w:val="clear" w:color="000000" w:fill="D9E1F2"/>
            <w:noWrap/>
            <w:vAlign w:val="center"/>
            <w:hideMark/>
          </w:tcPr>
          <w:p w14:paraId="01579976"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353</w:t>
            </w:r>
          </w:p>
        </w:tc>
        <w:tc>
          <w:tcPr>
            <w:tcW w:w="804" w:type="dxa"/>
            <w:tcBorders>
              <w:top w:val="nil"/>
              <w:left w:val="nil"/>
              <w:bottom w:val="nil"/>
              <w:right w:val="nil"/>
            </w:tcBorders>
            <w:shd w:val="clear" w:color="000000" w:fill="D9E1F2"/>
            <w:noWrap/>
            <w:vAlign w:val="center"/>
            <w:hideMark/>
          </w:tcPr>
          <w:p w14:paraId="18A6FF96"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109,2</w:t>
            </w:r>
          </w:p>
        </w:tc>
        <w:tc>
          <w:tcPr>
            <w:tcW w:w="694" w:type="dxa"/>
            <w:tcBorders>
              <w:top w:val="nil"/>
              <w:left w:val="nil"/>
              <w:bottom w:val="nil"/>
              <w:right w:val="nil"/>
            </w:tcBorders>
            <w:shd w:val="clear" w:color="000000" w:fill="D9E1F2"/>
            <w:noWrap/>
            <w:vAlign w:val="center"/>
            <w:hideMark/>
          </w:tcPr>
          <w:p w14:paraId="59A7EE6A"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111,6</w:t>
            </w:r>
          </w:p>
        </w:tc>
        <w:tc>
          <w:tcPr>
            <w:tcW w:w="755" w:type="dxa"/>
            <w:tcBorders>
              <w:top w:val="nil"/>
              <w:left w:val="nil"/>
              <w:bottom w:val="nil"/>
              <w:right w:val="nil"/>
            </w:tcBorders>
            <w:shd w:val="clear" w:color="000000" w:fill="D9E1F2"/>
            <w:noWrap/>
            <w:vAlign w:val="center"/>
            <w:hideMark/>
          </w:tcPr>
          <w:p w14:paraId="1A724472"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111,8</w:t>
            </w:r>
          </w:p>
        </w:tc>
        <w:tc>
          <w:tcPr>
            <w:tcW w:w="743" w:type="dxa"/>
            <w:tcBorders>
              <w:top w:val="nil"/>
              <w:left w:val="nil"/>
              <w:bottom w:val="nil"/>
              <w:right w:val="nil"/>
            </w:tcBorders>
            <w:shd w:val="clear" w:color="000000" w:fill="D9E1F2"/>
            <w:noWrap/>
            <w:vAlign w:val="center"/>
            <w:hideMark/>
          </w:tcPr>
          <w:p w14:paraId="2CB882D0"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112,6</w:t>
            </w:r>
          </w:p>
        </w:tc>
        <w:tc>
          <w:tcPr>
            <w:tcW w:w="804" w:type="dxa"/>
            <w:tcBorders>
              <w:top w:val="nil"/>
              <w:left w:val="nil"/>
              <w:bottom w:val="nil"/>
              <w:right w:val="nil"/>
            </w:tcBorders>
            <w:shd w:val="clear" w:color="000000" w:fill="D9E1F2"/>
            <w:noWrap/>
            <w:vAlign w:val="center"/>
            <w:hideMark/>
          </w:tcPr>
          <w:p w14:paraId="3D7F1E49"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112,3</w:t>
            </w:r>
          </w:p>
        </w:tc>
        <w:tc>
          <w:tcPr>
            <w:tcW w:w="760" w:type="dxa"/>
            <w:tcBorders>
              <w:top w:val="nil"/>
              <w:left w:val="nil"/>
              <w:bottom w:val="nil"/>
              <w:right w:val="nil"/>
            </w:tcBorders>
            <w:shd w:val="clear" w:color="000000" w:fill="D9E1F2"/>
            <w:vAlign w:val="center"/>
            <w:hideMark/>
          </w:tcPr>
          <w:p w14:paraId="50B99D40"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-0,2%</w:t>
            </w:r>
          </w:p>
        </w:tc>
        <w:tc>
          <w:tcPr>
            <w:tcW w:w="760" w:type="dxa"/>
            <w:tcBorders>
              <w:top w:val="nil"/>
              <w:left w:val="nil"/>
              <w:bottom w:val="nil"/>
              <w:right w:val="nil"/>
            </w:tcBorders>
            <w:shd w:val="clear" w:color="000000" w:fill="D9E1F2"/>
            <w:vAlign w:val="center"/>
            <w:hideMark/>
          </w:tcPr>
          <w:p w14:paraId="7BD28C12"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0,6%</w:t>
            </w:r>
          </w:p>
        </w:tc>
        <w:tc>
          <w:tcPr>
            <w:tcW w:w="760" w:type="dxa"/>
            <w:tcBorders>
              <w:top w:val="nil"/>
              <w:left w:val="nil"/>
              <w:bottom w:val="nil"/>
              <w:right w:val="nil"/>
            </w:tcBorders>
            <w:shd w:val="clear" w:color="000000" w:fill="D9E1F2"/>
            <w:vAlign w:val="center"/>
            <w:hideMark/>
          </w:tcPr>
          <w:p w14:paraId="575476FD"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2,9%</w:t>
            </w:r>
          </w:p>
        </w:tc>
      </w:tr>
      <w:tr w:rsidR="00310604" w:rsidRPr="00310604" w14:paraId="5D765516" w14:textId="77777777" w:rsidTr="00310604">
        <w:trPr>
          <w:trHeight w:val="255"/>
        </w:trPr>
        <w:tc>
          <w:tcPr>
            <w:tcW w:w="3060" w:type="dxa"/>
            <w:tcBorders>
              <w:top w:val="nil"/>
              <w:left w:val="nil"/>
              <w:bottom w:val="nil"/>
              <w:right w:val="nil"/>
            </w:tcBorders>
            <w:shd w:val="clear" w:color="auto" w:fill="auto"/>
            <w:vAlign w:val="bottom"/>
            <w:hideMark/>
          </w:tcPr>
          <w:p w14:paraId="7D318674"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Produits, appareils et matériels médicaux</w:t>
            </w:r>
          </w:p>
        </w:tc>
        <w:tc>
          <w:tcPr>
            <w:tcW w:w="620" w:type="dxa"/>
            <w:tcBorders>
              <w:top w:val="nil"/>
              <w:left w:val="nil"/>
              <w:bottom w:val="nil"/>
              <w:right w:val="nil"/>
            </w:tcBorders>
            <w:shd w:val="clear" w:color="auto" w:fill="auto"/>
            <w:noWrap/>
            <w:vAlign w:val="center"/>
            <w:hideMark/>
          </w:tcPr>
          <w:p w14:paraId="6FFFF8D0"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213</w:t>
            </w:r>
          </w:p>
        </w:tc>
        <w:tc>
          <w:tcPr>
            <w:tcW w:w="804" w:type="dxa"/>
            <w:tcBorders>
              <w:top w:val="nil"/>
              <w:left w:val="nil"/>
              <w:bottom w:val="nil"/>
              <w:right w:val="nil"/>
            </w:tcBorders>
            <w:shd w:val="clear" w:color="auto" w:fill="auto"/>
            <w:noWrap/>
            <w:vAlign w:val="center"/>
            <w:hideMark/>
          </w:tcPr>
          <w:p w14:paraId="49F93A5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107,6</w:t>
            </w:r>
          </w:p>
        </w:tc>
        <w:tc>
          <w:tcPr>
            <w:tcW w:w="694" w:type="dxa"/>
            <w:tcBorders>
              <w:top w:val="nil"/>
              <w:left w:val="nil"/>
              <w:bottom w:val="nil"/>
              <w:right w:val="nil"/>
            </w:tcBorders>
            <w:shd w:val="clear" w:color="auto" w:fill="auto"/>
            <w:noWrap/>
            <w:vAlign w:val="center"/>
            <w:hideMark/>
          </w:tcPr>
          <w:p w14:paraId="793F583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109,2</w:t>
            </w:r>
          </w:p>
        </w:tc>
        <w:tc>
          <w:tcPr>
            <w:tcW w:w="755" w:type="dxa"/>
            <w:tcBorders>
              <w:top w:val="nil"/>
              <w:left w:val="nil"/>
              <w:bottom w:val="nil"/>
              <w:right w:val="nil"/>
            </w:tcBorders>
            <w:shd w:val="clear" w:color="auto" w:fill="auto"/>
            <w:noWrap/>
            <w:vAlign w:val="center"/>
            <w:hideMark/>
          </w:tcPr>
          <w:p w14:paraId="0E29376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109,5</w:t>
            </w:r>
          </w:p>
        </w:tc>
        <w:tc>
          <w:tcPr>
            <w:tcW w:w="743" w:type="dxa"/>
            <w:tcBorders>
              <w:top w:val="nil"/>
              <w:left w:val="nil"/>
              <w:bottom w:val="nil"/>
              <w:right w:val="nil"/>
            </w:tcBorders>
            <w:shd w:val="clear" w:color="auto" w:fill="auto"/>
            <w:noWrap/>
            <w:vAlign w:val="center"/>
            <w:hideMark/>
          </w:tcPr>
          <w:p w14:paraId="5E3F9EC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110,8</w:t>
            </w:r>
          </w:p>
        </w:tc>
        <w:tc>
          <w:tcPr>
            <w:tcW w:w="804" w:type="dxa"/>
            <w:tcBorders>
              <w:top w:val="nil"/>
              <w:left w:val="nil"/>
              <w:bottom w:val="nil"/>
              <w:right w:val="nil"/>
            </w:tcBorders>
            <w:shd w:val="clear" w:color="auto" w:fill="auto"/>
            <w:noWrap/>
            <w:vAlign w:val="center"/>
            <w:hideMark/>
          </w:tcPr>
          <w:p w14:paraId="49BACD6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110,3</w:t>
            </w:r>
          </w:p>
        </w:tc>
        <w:tc>
          <w:tcPr>
            <w:tcW w:w="760" w:type="dxa"/>
            <w:tcBorders>
              <w:top w:val="nil"/>
              <w:left w:val="nil"/>
              <w:bottom w:val="nil"/>
              <w:right w:val="nil"/>
            </w:tcBorders>
            <w:shd w:val="clear" w:color="auto" w:fill="auto"/>
            <w:vAlign w:val="center"/>
            <w:hideMark/>
          </w:tcPr>
          <w:p w14:paraId="1E678A9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-0,4%</w:t>
            </w:r>
          </w:p>
        </w:tc>
        <w:tc>
          <w:tcPr>
            <w:tcW w:w="760" w:type="dxa"/>
            <w:tcBorders>
              <w:top w:val="nil"/>
              <w:left w:val="nil"/>
              <w:bottom w:val="nil"/>
              <w:right w:val="nil"/>
            </w:tcBorders>
            <w:shd w:val="clear" w:color="auto" w:fill="auto"/>
            <w:vAlign w:val="center"/>
            <w:hideMark/>
          </w:tcPr>
          <w:p w14:paraId="053D95D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w:t>
            </w:r>
          </w:p>
        </w:tc>
        <w:tc>
          <w:tcPr>
            <w:tcW w:w="760" w:type="dxa"/>
            <w:tcBorders>
              <w:top w:val="nil"/>
              <w:left w:val="nil"/>
              <w:bottom w:val="nil"/>
              <w:right w:val="nil"/>
            </w:tcBorders>
            <w:shd w:val="clear" w:color="auto" w:fill="auto"/>
            <w:vAlign w:val="center"/>
            <w:hideMark/>
          </w:tcPr>
          <w:p w14:paraId="26A9DC5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2,5%</w:t>
            </w:r>
          </w:p>
        </w:tc>
      </w:tr>
      <w:tr w:rsidR="00310604" w:rsidRPr="00310604" w14:paraId="7D902B53" w14:textId="77777777" w:rsidTr="00310604">
        <w:trPr>
          <w:trHeight w:val="255"/>
        </w:trPr>
        <w:tc>
          <w:tcPr>
            <w:tcW w:w="3060" w:type="dxa"/>
            <w:tcBorders>
              <w:top w:val="nil"/>
              <w:left w:val="nil"/>
              <w:bottom w:val="nil"/>
              <w:right w:val="nil"/>
            </w:tcBorders>
            <w:shd w:val="clear" w:color="auto" w:fill="auto"/>
            <w:vAlign w:val="bottom"/>
            <w:hideMark/>
          </w:tcPr>
          <w:p w14:paraId="1FAB0D47"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Services ambulatoires</w:t>
            </w:r>
          </w:p>
        </w:tc>
        <w:tc>
          <w:tcPr>
            <w:tcW w:w="620" w:type="dxa"/>
            <w:tcBorders>
              <w:top w:val="nil"/>
              <w:left w:val="nil"/>
              <w:bottom w:val="nil"/>
              <w:right w:val="nil"/>
            </w:tcBorders>
            <w:shd w:val="clear" w:color="auto" w:fill="auto"/>
            <w:noWrap/>
            <w:vAlign w:val="center"/>
            <w:hideMark/>
          </w:tcPr>
          <w:p w14:paraId="00291FEF"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76</w:t>
            </w:r>
          </w:p>
        </w:tc>
        <w:tc>
          <w:tcPr>
            <w:tcW w:w="804" w:type="dxa"/>
            <w:tcBorders>
              <w:top w:val="nil"/>
              <w:left w:val="nil"/>
              <w:bottom w:val="nil"/>
              <w:right w:val="nil"/>
            </w:tcBorders>
            <w:shd w:val="clear" w:color="auto" w:fill="auto"/>
            <w:noWrap/>
            <w:vAlign w:val="center"/>
            <w:hideMark/>
          </w:tcPr>
          <w:p w14:paraId="44BABDB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111,0</w:t>
            </w:r>
          </w:p>
        </w:tc>
        <w:tc>
          <w:tcPr>
            <w:tcW w:w="694" w:type="dxa"/>
            <w:tcBorders>
              <w:top w:val="nil"/>
              <w:left w:val="nil"/>
              <w:bottom w:val="nil"/>
              <w:right w:val="nil"/>
            </w:tcBorders>
            <w:shd w:val="clear" w:color="auto" w:fill="auto"/>
            <w:noWrap/>
            <w:vAlign w:val="center"/>
            <w:hideMark/>
          </w:tcPr>
          <w:p w14:paraId="4B0CB73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110,1</w:t>
            </w:r>
          </w:p>
        </w:tc>
        <w:tc>
          <w:tcPr>
            <w:tcW w:w="755" w:type="dxa"/>
            <w:tcBorders>
              <w:top w:val="nil"/>
              <w:left w:val="nil"/>
              <w:bottom w:val="nil"/>
              <w:right w:val="nil"/>
            </w:tcBorders>
            <w:shd w:val="clear" w:color="auto" w:fill="auto"/>
            <w:noWrap/>
            <w:vAlign w:val="center"/>
            <w:hideMark/>
          </w:tcPr>
          <w:p w14:paraId="41DCFDB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110,1</w:t>
            </w:r>
          </w:p>
        </w:tc>
        <w:tc>
          <w:tcPr>
            <w:tcW w:w="743" w:type="dxa"/>
            <w:tcBorders>
              <w:top w:val="nil"/>
              <w:left w:val="nil"/>
              <w:bottom w:val="nil"/>
              <w:right w:val="nil"/>
            </w:tcBorders>
            <w:shd w:val="clear" w:color="auto" w:fill="auto"/>
            <w:noWrap/>
            <w:vAlign w:val="center"/>
            <w:hideMark/>
          </w:tcPr>
          <w:p w14:paraId="55FE155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110,1</w:t>
            </w:r>
          </w:p>
        </w:tc>
        <w:tc>
          <w:tcPr>
            <w:tcW w:w="804" w:type="dxa"/>
            <w:tcBorders>
              <w:top w:val="nil"/>
              <w:left w:val="nil"/>
              <w:bottom w:val="nil"/>
              <w:right w:val="nil"/>
            </w:tcBorders>
            <w:shd w:val="clear" w:color="auto" w:fill="auto"/>
            <w:noWrap/>
            <w:vAlign w:val="center"/>
            <w:hideMark/>
          </w:tcPr>
          <w:p w14:paraId="0F84BB5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110,3</w:t>
            </w:r>
          </w:p>
        </w:tc>
        <w:tc>
          <w:tcPr>
            <w:tcW w:w="760" w:type="dxa"/>
            <w:tcBorders>
              <w:top w:val="nil"/>
              <w:left w:val="nil"/>
              <w:bottom w:val="nil"/>
              <w:right w:val="nil"/>
            </w:tcBorders>
            <w:shd w:val="clear" w:color="auto" w:fill="auto"/>
            <w:vAlign w:val="center"/>
            <w:hideMark/>
          </w:tcPr>
          <w:p w14:paraId="7213B63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0,2%</w:t>
            </w:r>
          </w:p>
        </w:tc>
        <w:tc>
          <w:tcPr>
            <w:tcW w:w="760" w:type="dxa"/>
            <w:tcBorders>
              <w:top w:val="nil"/>
              <w:left w:val="nil"/>
              <w:bottom w:val="nil"/>
              <w:right w:val="nil"/>
            </w:tcBorders>
            <w:shd w:val="clear" w:color="auto" w:fill="auto"/>
            <w:vAlign w:val="center"/>
            <w:hideMark/>
          </w:tcPr>
          <w:p w14:paraId="794181D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0,2%</w:t>
            </w:r>
          </w:p>
        </w:tc>
        <w:tc>
          <w:tcPr>
            <w:tcW w:w="760" w:type="dxa"/>
            <w:tcBorders>
              <w:top w:val="nil"/>
              <w:left w:val="nil"/>
              <w:bottom w:val="nil"/>
              <w:right w:val="nil"/>
            </w:tcBorders>
            <w:shd w:val="clear" w:color="auto" w:fill="auto"/>
            <w:vAlign w:val="center"/>
            <w:hideMark/>
          </w:tcPr>
          <w:p w14:paraId="611F01A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-0,6%</w:t>
            </w:r>
          </w:p>
        </w:tc>
      </w:tr>
      <w:tr w:rsidR="00310604" w:rsidRPr="00310604" w14:paraId="4662F226" w14:textId="77777777" w:rsidTr="00310604">
        <w:trPr>
          <w:trHeight w:val="255"/>
        </w:trPr>
        <w:tc>
          <w:tcPr>
            <w:tcW w:w="3060" w:type="dxa"/>
            <w:tcBorders>
              <w:top w:val="nil"/>
              <w:left w:val="nil"/>
              <w:bottom w:val="nil"/>
              <w:right w:val="nil"/>
            </w:tcBorders>
            <w:shd w:val="clear" w:color="auto" w:fill="auto"/>
            <w:vAlign w:val="bottom"/>
            <w:hideMark/>
          </w:tcPr>
          <w:p w14:paraId="1EDB1B6C"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Services hospitaliers</w:t>
            </w:r>
          </w:p>
        </w:tc>
        <w:tc>
          <w:tcPr>
            <w:tcW w:w="620" w:type="dxa"/>
            <w:tcBorders>
              <w:top w:val="nil"/>
              <w:left w:val="nil"/>
              <w:bottom w:val="nil"/>
              <w:right w:val="nil"/>
            </w:tcBorders>
            <w:shd w:val="clear" w:color="auto" w:fill="auto"/>
            <w:noWrap/>
            <w:vAlign w:val="center"/>
            <w:hideMark/>
          </w:tcPr>
          <w:p w14:paraId="56B7B2E8"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64</w:t>
            </w:r>
          </w:p>
        </w:tc>
        <w:tc>
          <w:tcPr>
            <w:tcW w:w="804" w:type="dxa"/>
            <w:tcBorders>
              <w:top w:val="nil"/>
              <w:left w:val="nil"/>
              <w:bottom w:val="nil"/>
              <w:right w:val="nil"/>
            </w:tcBorders>
            <w:shd w:val="clear" w:color="auto" w:fill="auto"/>
            <w:noWrap/>
            <w:vAlign w:val="center"/>
            <w:hideMark/>
          </w:tcPr>
          <w:p w14:paraId="605762B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114,2</w:t>
            </w:r>
          </w:p>
        </w:tc>
        <w:tc>
          <w:tcPr>
            <w:tcW w:w="694" w:type="dxa"/>
            <w:tcBorders>
              <w:top w:val="nil"/>
              <w:left w:val="nil"/>
              <w:bottom w:val="nil"/>
              <w:right w:val="nil"/>
            </w:tcBorders>
            <w:shd w:val="clear" w:color="auto" w:fill="auto"/>
            <w:noWrap/>
            <w:vAlign w:val="center"/>
            <w:hideMark/>
          </w:tcPr>
          <w:p w14:paraId="1373110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121,6</w:t>
            </w:r>
          </w:p>
        </w:tc>
        <w:tc>
          <w:tcPr>
            <w:tcW w:w="755" w:type="dxa"/>
            <w:tcBorders>
              <w:top w:val="nil"/>
              <w:left w:val="nil"/>
              <w:bottom w:val="nil"/>
              <w:right w:val="nil"/>
            </w:tcBorders>
            <w:shd w:val="clear" w:color="auto" w:fill="auto"/>
            <w:noWrap/>
            <w:vAlign w:val="center"/>
            <w:hideMark/>
          </w:tcPr>
          <w:p w14:paraId="4060E76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121,6</w:t>
            </w:r>
          </w:p>
        </w:tc>
        <w:tc>
          <w:tcPr>
            <w:tcW w:w="743" w:type="dxa"/>
            <w:tcBorders>
              <w:top w:val="nil"/>
              <w:left w:val="nil"/>
              <w:bottom w:val="nil"/>
              <w:right w:val="nil"/>
            </w:tcBorders>
            <w:shd w:val="clear" w:color="auto" w:fill="auto"/>
            <w:noWrap/>
            <w:vAlign w:val="center"/>
            <w:hideMark/>
          </w:tcPr>
          <w:p w14:paraId="609A143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121,6</w:t>
            </w:r>
          </w:p>
        </w:tc>
        <w:tc>
          <w:tcPr>
            <w:tcW w:w="804" w:type="dxa"/>
            <w:tcBorders>
              <w:top w:val="nil"/>
              <w:left w:val="nil"/>
              <w:bottom w:val="nil"/>
              <w:right w:val="nil"/>
            </w:tcBorders>
            <w:shd w:val="clear" w:color="auto" w:fill="auto"/>
            <w:noWrap/>
            <w:vAlign w:val="center"/>
            <w:hideMark/>
          </w:tcPr>
          <w:p w14:paraId="1205510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121,6</w:t>
            </w:r>
          </w:p>
        </w:tc>
        <w:tc>
          <w:tcPr>
            <w:tcW w:w="760" w:type="dxa"/>
            <w:tcBorders>
              <w:top w:val="nil"/>
              <w:left w:val="nil"/>
              <w:bottom w:val="nil"/>
              <w:right w:val="nil"/>
            </w:tcBorders>
            <w:shd w:val="clear" w:color="auto" w:fill="auto"/>
            <w:noWrap/>
            <w:vAlign w:val="center"/>
            <w:hideMark/>
          </w:tcPr>
          <w:p w14:paraId="7101457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noWrap/>
            <w:vAlign w:val="center"/>
            <w:hideMark/>
          </w:tcPr>
          <w:p w14:paraId="58D3BA1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noWrap/>
            <w:vAlign w:val="center"/>
            <w:hideMark/>
          </w:tcPr>
          <w:p w14:paraId="4D9774A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6,5%</w:t>
            </w:r>
          </w:p>
        </w:tc>
      </w:tr>
      <w:tr w:rsidR="00310604" w:rsidRPr="006071D4" w14:paraId="3FBCC131" w14:textId="77777777" w:rsidTr="00310604">
        <w:trPr>
          <w:trHeight w:val="315"/>
        </w:trPr>
        <w:tc>
          <w:tcPr>
            <w:tcW w:w="3060" w:type="dxa"/>
            <w:tcBorders>
              <w:top w:val="nil"/>
              <w:left w:val="nil"/>
              <w:bottom w:val="nil"/>
              <w:right w:val="nil"/>
            </w:tcBorders>
            <w:shd w:val="clear" w:color="000000" w:fill="D9E1F2"/>
            <w:vAlign w:val="bottom"/>
            <w:hideMark/>
          </w:tcPr>
          <w:p w14:paraId="5CF08095"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Transports</w:t>
            </w:r>
          </w:p>
        </w:tc>
        <w:tc>
          <w:tcPr>
            <w:tcW w:w="620" w:type="dxa"/>
            <w:tcBorders>
              <w:top w:val="nil"/>
              <w:left w:val="nil"/>
              <w:bottom w:val="nil"/>
              <w:right w:val="nil"/>
            </w:tcBorders>
            <w:shd w:val="clear" w:color="000000" w:fill="D9E1F2"/>
            <w:noWrap/>
            <w:vAlign w:val="center"/>
            <w:hideMark/>
          </w:tcPr>
          <w:p w14:paraId="1181B9BC"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563</w:t>
            </w:r>
          </w:p>
        </w:tc>
        <w:tc>
          <w:tcPr>
            <w:tcW w:w="804" w:type="dxa"/>
            <w:tcBorders>
              <w:top w:val="nil"/>
              <w:left w:val="nil"/>
              <w:bottom w:val="nil"/>
              <w:right w:val="nil"/>
            </w:tcBorders>
            <w:shd w:val="clear" w:color="000000" w:fill="D9E1F2"/>
            <w:noWrap/>
            <w:vAlign w:val="center"/>
            <w:hideMark/>
          </w:tcPr>
          <w:p w14:paraId="38BF2076"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106,6</w:t>
            </w:r>
          </w:p>
        </w:tc>
        <w:tc>
          <w:tcPr>
            <w:tcW w:w="694" w:type="dxa"/>
            <w:tcBorders>
              <w:top w:val="nil"/>
              <w:left w:val="nil"/>
              <w:bottom w:val="nil"/>
              <w:right w:val="nil"/>
            </w:tcBorders>
            <w:shd w:val="clear" w:color="000000" w:fill="D9E1F2"/>
            <w:noWrap/>
            <w:vAlign w:val="center"/>
            <w:hideMark/>
          </w:tcPr>
          <w:p w14:paraId="174D2D6E"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108,5</w:t>
            </w:r>
          </w:p>
        </w:tc>
        <w:tc>
          <w:tcPr>
            <w:tcW w:w="755" w:type="dxa"/>
            <w:tcBorders>
              <w:top w:val="nil"/>
              <w:left w:val="nil"/>
              <w:bottom w:val="nil"/>
              <w:right w:val="nil"/>
            </w:tcBorders>
            <w:shd w:val="clear" w:color="000000" w:fill="D9E1F2"/>
            <w:noWrap/>
            <w:vAlign w:val="center"/>
            <w:hideMark/>
          </w:tcPr>
          <w:p w14:paraId="06D49148"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108,8</w:t>
            </w:r>
          </w:p>
        </w:tc>
        <w:tc>
          <w:tcPr>
            <w:tcW w:w="743" w:type="dxa"/>
            <w:tcBorders>
              <w:top w:val="nil"/>
              <w:left w:val="nil"/>
              <w:bottom w:val="nil"/>
              <w:right w:val="nil"/>
            </w:tcBorders>
            <w:shd w:val="clear" w:color="000000" w:fill="D9E1F2"/>
            <w:noWrap/>
            <w:vAlign w:val="center"/>
            <w:hideMark/>
          </w:tcPr>
          <w:p w14:paraId="23D6331A"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109,0</w:t>
            </w:r>
          </w:p>
        </w:tc>
        <w:tc>
          <w:tcPr>
            <w:tcW w:w="804" w:type="dxa"/>
            <w:tcBorders>
              <w:top w:val="nil"/>
              <w:left w:val="nil"/>
              <w:bottom w:val="nil"/>
              <w:right w:val="nil"/>
            </w:tcBorders>
            <w:shd w:val="clear" w:color="000000" w:fill="D9E1F2"/>
            <w:noWrap/>
            <w:vAlign w:val="center"/>
            <w:hideMark/>
          </w:tcPr>
          <w:p w14:paraId="6B732BE8"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111,3</w:t>
            </w:r>
          </w:p>
        </w:tc>
        <w:tc>
          <w:tcPr>
            <w:tcW w:w="760" w:type="dxa"/>
            <w:tcBorders>
              <w:top w:val="nil"/>
              <w:left w:val="nil"/>
              <w:bottom w:val="nil"/>
              <w:right w:val="nil"/>
            </w:tcBorders>
            <w:shd w:val="clear" w:color="000000" w:fill="D9E1F2"/>
            <w:vAlign w:val="center"/>
            <w:hideMark/>
          </w:tcPr>
          <w:p w14:paraId="3C685DB7"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2,1%</w:t>
            </w:r>
          </w:p>
        </w:tc>
        <w:tc>
          <w:tcPr>
            <w:tcW w:w="760" w:type="dxa"/>
            <w:tcBorders>
              <w:top w:val="nil"/>
              <w:left w:val="nil"/>
              <w:bottom w:val="nil"/>
              <w:right w:val="nil"/>
            </w:tcBorders>
            <w:shd w:val="clear" w:color="000000" w:fill="D9E1F2"/>
            <w:vAlign w:val="center"/>
            <w:hideMark/>
          </w:tcPr>
          <w:p w14:paraId="0AE007D5"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2,5%</w:t>
            </w:r>
          </w:p>
        </w:tc>
        <w:tc>
          <w:tcPr>
            <w:tcW w:w="760" w:type="dxa"/>
            <w:tcBorders>
              <w:top w:val="nil"/>
              <w:left w:val="nil"/>
              <w:bottom w:val="nil"/>
              <w:right w:val="nil"/>
            </w:tcBorders>
            <w:shd w:val="clear" w:color="000000" w:fill="D9E1F2"/>
            <w:vAlign w:val="center"/>
            <w:hideMark/>
          </w:tcPr>
          <w:p w14:paraId="4F991B65"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4,3%</w:t>
            </w:r>
          </w:p>
        </w:tc>
      </w:tr>
      <w:tr w:rsidR="00310604" w:rsidRPr="00310604" w14:paraId="0281B795" w14:textId="77777777" w:rsidTr="00310604">
        <w:trPr>
          <w:trHeight w:val="255"/>
        </w:trPr>
        <w:tc>
          <w:tcPr>
            <w:tcW w:w="3060" w:type="dxa"/>
            <w:tcBorders>
              <w:top w:val="nil"/>
              <w:left w:val="nil"/>
              <w:bottom w:val="nil"/>
              <w:right w:val="nil"/>
            </w:tcBorders>
            <w:shd w:val="clear" w:color="auto" w:fill="auto"/>
            <w:vAlign w:val="bottom"/>
            <w:hideMark/>
          </w:tcPr>
          <w:p w14:paraId="474C43ED"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Achat de véhicules</w:t>
            </w:r>
          </w:p>
        </w:tc>
        <w:tc>
          <w:tcPr>
            <w:tcW w:w="620" w:type="dxa"/>
            <w:tcBorders>
              <w:top w:val="nil"/>
              <w:left w:val="nil"/>
              <w:bottom w:val="nil"/>
              <w:right w:val="nil"/>
            </w:tcBorders>
            <w:shd w:val="clear" w:color="auto" w:fill="auto"/>
            <w:noWrap/>
            <w:vAlign w:val="center"/>
            <w:hideMark/>
          </w:tcPr>
          <w:p w14:paraId="53D6ADBE"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42</w:t>
            </w:r>
          </w:p>
        </w:tc>
        <w:tc>
          <w:tcPr>
            <w:tcW w:w="804" w:type="dxa"/>
            <w:tcBorders>
              <w:top w:val="nil"/>
              <w:left w:val="nil"/>
              <w:bottom w:val="nil"/>
              <w:right w:val="nil"/>
            </w:tcBorders>
            <w:shd w:val="clear" w:color="auto" w:fill="auto"/>
            <w:noWrap/>
            <w:vAlign w:val="center"/>
            <w:hideMark/>
          </w:tcPr>
          <w:p w14:paraId="6DD4394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104,6</w:t>
            </w:r>
          </w:p>
        </w:tc>
        <w:tc>
          <w:tcPr>
            <w:tcW w:w="694" w:type="dxa"/>
            <w:tcBorders>
              <w:top w:val="nil"/>
              <w:left w:val="nil"/>
              <w:bottom w:val="nil"/>
              <w:right w:val="nil"/>
            </w:tcBorders>
            <w:shd w:val="clear" w:color="auto" w:fill="auto"/>
            <w:noWrap/>
            <w:vAlign w:val="center"/>
            <w:hideMark/>
          </w:tcPr>
          <w:p w14:paraId="01A617D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102,0</w:t>
            </w:r>
          </w:p>
        </w:tc>
        <w:tc>
          <w:tcPr>
            <w:tcW w:w="755" w:type="dxa"/>
            <w:tcBorders>
              <w:top w:val="nil"/>
              <w:left w:val="nil"/>
              <w:bottom w:val="nil"/>
              <w:right w:val="nil"/>
            </w:tcBorders>
            <w:shd w:val="clear" w:color="auto" w:fill="auto"/>
            <w:noWrap/>
            <w:vAlign w:val="center"/>
            <w:hideMark/>
          </w:tcPr>
          <w:p w14:paraId="5BEC30E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102,1</w:t>
            </w:r>
          </w:p>
        </w:tc>
        <w:tc>
          <w:tcPr>
            <w:tcW w:w="743" w:type="dxa"/>
            <w:tcBorders>
              <w:top w:val="nil"/>
              <w:left w:val="nil"/>
              <w:bottom w:val="nil"/>
              <w:right w:val="nil"/>
            </w:tcBorders>
            <w:shd w:val="clear" w:color="auto" w:fill="auto"/>
            <w:noWrap/>
            <w:vAlign w:val="center"/>
            <w:hideMark/>
          </w:tcPr>
          <w:p w14:paraId="0F1CB31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103,1</w:t>
            </w:r>
          </w:p>
        </w:tc>
        <w:tc>
          <w:tcPr>
            <w:tcW w:w="804" w:type="dxa"/>
            <w:tcBorders>
              <w:top w:val="nil"/>
              <w:left w:val="nil"/>
              <w:bottom w:val="nil"/>
              <w:right w:val="nil"/>
            </w:tcBorders>
            <w:shd w:val="clear" w:color="auto" w:fill="auto"/>
            <w:noWrap/>
            <w:vAlign w:val="center"/>
            <w:hideMark/>
          </w:tcPr>
          <w:p w14:paraId="5B0F158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103,0</w:t>
            </w:r>
          </w:p>
        </w:tc>
        <w:tc>
          <w:tcPr>
            <w:tcW w:w="760" w:type="dxa"/>
            <w:tcBorders>
              <w:top w:val="nil"/>
              <w:left w:val="nil"/>
              <w:bottom w:val="nil"/>
              <w:right w:val="nil"/>
            </w:tcBorders>
            <w:shd w:val="clear" w:color="auto" w:fill="auto"/>
            <w:vAlign w:val="center"/>
            <w:hideMark/>
          </w:tcPr>
          <w:p w14:paraId="6CB9C14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-0,1%</w:t>
            </w:r>
          </w:p>
        </w:tc>
        <w:tc>
          <w:tcPr>
            <w:tcW w:w="760" w:type="dxa"/>
            <w:tcBorders>
              <w:top w:val="nil"/>
              <w:left w:val="nil"/>
              <w:bottom w:val="nil"/>
              <w:right w:val="nil"/>
            </w:tcBorders>
            <w:shd w:val="clear" w:color="auto" w:fill="auto"/>
            <w:vAlign w:val="center"/>
            <w:hideMark/>
          </w:tcPr>
          <w:p w14:paraId="2D385D1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w:t>
            </w:r>
          </w:p>
        </w:tc>
        <w:tc>
          <w:tcPr>
            <w:tcW w:w="760" w:type="dxa"/>
            <w:tcBorders>
              <w:top w:val="nil"/>
              <w:left w:val="nil"/>
              <w:bottom w:val="nil"/>
              <w:right w:val="nil"/>
            </w:tcBorders>
            <w:shd w:val="clear" w:color="auto" w:fill="auto"/>
            <w:vAlign w:val="center"/>
            <w:hideMark/>
          </w:tcPr>
          <w:p w14:paraId="665914D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-1,5%</w:t>
            </w:r>
          </w:p>
        </w:tc>
      </w:tr>
      <w:tr w:rsidR="00310604" w:rsidRPr="00310604" w14:paraId="07B7A783" w14:textId="77777777" w:rsidTr="00310604">
        <w:trPr>
          <w:trHeight w:val="255"/>
        </w:trPr>
        <w:tc>
          <w:tcPr>
            <w:tcW w:w="3060" w:type="dxa"/>
            <w:tcBorders>
              <w:top w:val="nil"/>
              <w:left w:val="nil"/>
              <w:bottom w:val="nil"/>
              <w:right w:val="nil"/>
            </w:tcBorders>
            <w:shd w:val="clear" w:color="auto" w:fill="auto"/>
            <w:vAlign w:val="bottom"/>
            <w:hideMark/>
          </w:tcPr>
          <w:p w14:paraId="456C6E13"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Dépenses d'utilisation des véhicules</w:t>
            </w:r>
          </w:p>
        </w:tc>
        <w:tc>
          <w:tcPr>
            <w:tcW w:w="620" w:type="dxa"/>
            <w:tcBorders>
              <w:top w:val="nil"/>
              <w:left w:val="nil"/>
              <w:bottom w:val="nil"/>
              <w:right w:val="nil"/>
            </w:tcBorders>
            <w:shd w:val="clear" w:color="auto" w:fill="auto"/>
            <w:noWrap/>
            <w:vAlign w:val="center"/>
            <w:hideMark/>
          </w:tcPr>
          <w:p w14:paraId="6BC7A96A"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146</w:t>
            </w:r>
          </w:p>
        </w:tc>
        <w:tc>
          <w:tcPr>
            <w:tcW w:w="804" w:type="dxa"/>
            <w:tcBorders>
              <w:top w:val="nil"/>
              <w:left w:val="nil"/>
              <w:bottom w:val="nil"/>
              <w:right w:val="nil"/>
            </w:tcBorders>
            <w:shd w:val="clear" w:color="auto" w:fill="auto"/>
            <w:noWrap/>
            <w:vAlign w:val="center"/>
            <w:hideMark/>
          </w:tcPr>
          <w:p w14:paraId="65BB488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102,6</w:t>
            </w:r>
          </w:p>
        </w:tc>
        <w:tc>
          <w:tcPr>
            <w:tcW w:w="694" w:type="dxa"/>
            <w:tcBorders>
              <w:top w:val="nil"/>
              <w:left w:val="nil"/>
              <w:bottom w:val="nil"/>
              <w:right w:val="nil"/>
            </w:tcBorders>
            <w:shd w:val="clear" w:color="auto" w:fill="auto"/>
            <w:noWrap/>
            <w:vAlign w:val="center"/>
            <w:hideMark/>
          </w:tcPr>
          <w:p w14:paraId="5CDA818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104,9</w:t>
            </w:r>
          </w:p>
        </w:tc>
        <w:tc>
          <w:tcPr>
            <w:tcW w:w="755" w:type="dxa"/>
            <w:tcBorders>
              <w:top w:val="nil"/>
              <w:left w:val="nil"/>
              <w:bottom w:val="nil"/>
              <w:right w:val="nil"/>
            </w:tcBorders>
            <w:shd w:val="clear" w:color="auto" w:fill="auto"/>
            <w:noWrap/>
            <w:vAlign w:val="center"/>
            <w:hideMark/>
          </w:tcPr>
          <w:p w14:paraId="45A7855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105,5</w:t>
            </w:r>
          </w:p>
        </w:tc>
        <w:tc>
          <w:tcPr>
            <w:tcW w:w="743" w:type="dxa"/>
            <w:tcBorders>
              <w:top w:val="nil"/>
              <w:left w:val="nil"/>
              <w:bottom w:val="nil"/>
              <w:right w:val="nil"/>
            </w:tcBorders>
            <w:shd w:val="clear" w:color="auto" w:fill="auto"/>
            <w:noWrap/>
            <w:vAlign w:val="center"/>
            <w:hideMark/>
          </w:tcPr>
          <w:p w14:paraId="46B2182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105,6</w:t>
            </w:r>
          </w:p>
        </w:tc>
        <w:tc>
          <w:tcPr>
            <w:tcW w:w="804" w:type="dxa"/>
            <w:tcBorders>
              <w:top w:val="nil"/>
              <w:left w:val="nil"/>
              <w:bottom w:val="nil"/>
              <w:right w:val="nil"/>
            </w:tcBorders>
            <w:shd w:val="clear" w:color="auto" w:fill="auto"/>
            <w:noWrap/>
            <w:vAlign w:val="center"/>
            <w:hideMark/>
          </w:tcPr>
          <w:p w14:paraId="3955F5C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112,1</w:t>
            </w:r>
          </w:p>
        </w:tc>
        <w:tc>
          <w:tcPr>
            <w:tcW w:w="760" w:type="dxa"/>
            <w:tcBorders>
              <w:top w:val="nil"/>
              <w:left w:val="nil"/>
              <w:bottom w:val="nil"/>
              <w:right w:val="nil"/>
            </w:tcBorders>
            <w:shd w:val="clear" w:color="auto" w:fill="auto"/>
            <w:vAlign w:val="center"/>
            <w:hideMark/>
          </w:tcPr>
          <w:p w14:paraId="31C18F3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6,2%</w:t>
            </w:r>
          </w:p>
        </w:tc>
        <w:tc>
          <w:tcPr>
            <w:tcW w:w="760" w:type="dxa"/>
            <w:tcBorders>
              <w:top w:val="nil"/>
              <w:left w:val="nil"/>
              <w:bottom w:val="nil"/>
              <w:right w:val="nil"/>
            </w:tcBorders>
            <w:shd w:val="clear" w:color="auto" w:fill="auto"/>
            <w:vAlign w:val="center"/>
            <w:hideMark/>
          </w:tcPr>
          <w:p w14:paraId="699FB08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6,9%</w:t>
            </w:r>
          </w:p>
        </w:tc>
        <w:tc>
          <w:tcPr>
            <w:tcW w:w="760" w:type="dxa"/>
            <w:tcBorders>
              <w:top w:val="nil"/>
              <w:left w:val="nil"/>
              <w:bottom w:val="nil"/>
              <w:right w:val="nil"/>
            </w:tcBorders>
            <w:shd w:val="clear" w:color="auto" w:fill="auto"/>
            <w:vAlign w:val="center"/>
            <w:hideMark/>
          </w:tcPr>
          <w:p w14:paraId="2E4427C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9,3%</w:t>
            </w:r>
          </w:p>
        </w:tc>
      </w:tr>
      <w:tr w:rsidR="00310604" w:rsidRPr="00310604" w14:paraId="449C5066" w14:textId="77777777" w:rsidTr="00310604">
        <w:trPr>
          <w:trHeight w:val="255"/>
        </w:trPr>
        <w:tc>
          <w:tcPr>
            <w:tcW w:w="3060" w:type="dxa"/>
            <w:tcBorders>
              <w:top w:val="nil"/>
              <w:left w:val="nil"/>
              <w:bottom w:val="nil"/>
              <w:right w:val="nil"/>
            </w:tcBorders>
            <w:shd w:val="clear" w:color="auto" w:fill="auto"/>
            <w:vAlign w:val="bottom"/>
            <w:hideMark/>
          </w:tcPr>
          <w:p w14:paraId="2BA1FD5F"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Services de transport</w:t>
            </w:r>
          </w:p>
        </w:tc>
        <w:tc>
          <w:tcPr>
            <w:tcW w:w="620" w:type="dxa"/>
            <w:tcBorders>
              <w:top w:val="nil"/>
              <w:left w:val="nil"/>
              <w:bottom w:val="nil"/>
              <w:right w:val="nil"/>
            </w:tcBorders>
            <w:shd w:val="clear" w:color="auto" w:fill="auto"/>
            <w:noWrap/>
            <w:vAlign w:val="center"/>
            <w:hideMark/>
          </w:tcPr>
          <w:p w14:paraId="0081E282"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375</w:t>
            </w:r>
          </w:p>
        </w:tc>
        <w:tc>
          <w:tcPr>
            <w:tcW w:w="804" w:type="dxa"/>
            <w:tcBorders>
              <w:top w:val="nil"/>
              <w:left w:val="nil"/>
              <w:bottom w:val="nil"/>
              <w:right w:val="nil"/>
            </w:tcBorders>
            <w:shd w:val="clear" w:color="auto" w:fill="auto"/>
            <w:noWrap/>
            <w:vAlign w:val="center"/>
            <w:hideMark/>
          </w:tcPr>
          <w:p w14:paraId="11DB432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108,6</w:t>
            </w:r>
          </w:p>
        </w:tc>
        <w:tc>
          <w:tcPr>
            <w:tcW w:w="694" w:type="dxa"/>
            <w:tcBorders>
              <w:top w:val="nil"/>
              <w:left w:val="nil"/>
              <w:bottom w:val="nil"/>
              <w:right w:val="nil"/>
            </w:tcBorders>
            <w:shd w:val="clear" w:color="auto" w:fill="auto"/>
            <w:noWrap/>
            <w:vAlign w:val="center"/>
            <w:hideMark/>
          </w:tcPr>
          <w:p w14:paraId="23AC3CA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110,7</w:t>
            </w:r>
          </w:p>
        </w:tc>
        <w:tc>
          <w:tcPr>
            <w:tcW w:w="755" w:type="dxa"/>
            <w:tcBorders>
              <w:top w:val="nil"/>
              <w:left w:val="nil"/>
              <w:bottom w:val="nil"/>
              <w:right w:val="nil"/>
            </w:tcBorders>
            <w:shd w:val="clear" w:color="auto" w:fill="auto"/>
            <w:noWrap/>
            <w:vAlign w:val="center"/>
            <w:hideMark/>
          </w:tcPr>
          <w:p w14:paraId="219EF5C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110,8</w:t>
            </w:r>
          </w:p>
        </w:tc>
        <w:tc>
          <w:tcPr>
            <w:tcW w:w="743" w:type="dxa"/>
            <w:tcBorders>
              <w:top w:val="nil"/>
              <w:left w:val="nil"/>
              <w:bottom w:val="nil"/>
              <w:right w:val="nil"/>
            </w:tcBorders>
            <w:shd w:val="clear" w:color="auto" w:fill="auto"/>
            <w:noWrap/>
            <w:vAlign w:val="center"/>
            <w:hideMark/>
          </w:tcPr>
          <w:p w14:paraId="6A48544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111,0</w:t>
            </w:r>
          </w:p>
        </w:tc>
        <w:tc>
          <w:tcPr>
            <w:tcW w:w="804" w:type="dxa"/>
            <w:tcBorders>
              <w:top w:val="nil"/>
              <w:left w:val="nil"/>
              <w:bottom w:val="nil"/>
              <w:right w:val="nil"/>
            </w:tcBorders>
            <w:shd w:val="clear" w:color="auto" w:fill="auto"/>
            <w:noWrap/>
            <w:vAlign w:val="center"/>
            <w:hideMark/>
          </w:tcPr>
          <w:p w14:paraId="73D5528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111,9</w:t>
            </w:r>
          </w:p>
        </w:tc>
        <w:tc>
          <w:tcPr>
            <w:tcW w:w="760" w:type="dxa"/>
            <w:tcBorders>
              <w:top w:val="nil"/>
              <w:left w:val="nil"/>
              <w:bottom w:val="nil"/>
              <w:right w:val="nil"/>
            </w:tcBorders>
            <w:shd w:val="clear" w:color="auto" w:fill="auto"/>
            <w:vAlign w:val="center"/>
            <w:hideMark/>
          </w:tcPr>
          <w:p w14:paraId="59CD33B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0,8%</w:t>
            </w:r>
          </w:p>
        </w:tc>
        <w:tc>
          <w:tcPr>
            <w:tcW w:w="760" w:type="dxa"/>
            <w:tcBorders>
              <w:top w:val="nil"/>
              <w:left w:val="nil"/>
              <w:bottom w:val="nil"/>
              <w:right w:val="nil"/>
            </w:tcBorders>
            <w:shd w:val="clear" w:color="auto" w:fill="auto"/>
            <w:vAlign w:val="center"/>
            <w:hideMark/>
          </w:tcPr>
          <w:p w14:paraId="3046697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w:t>
            </w:r>
          </w:p>
        </w:tc>
        <w:tc>
          <w:tcPr>
            <w:tcW w:w="760" w:type="dxa"/>
            <w:tcBorders>
              <w:top w:val="nil"/>
              <w:left w:val="nil"/>
              <w:bottom w:val="nil"/>
              <w:right w:val="nil"/>
            </w:tcBorders>
            <w:shd w:val="clear" w:color="auto" w:fill="auto"/>
            <w:vAlign w:val="center"/>
            <w:hideMark/>
          </w:tcPr>
          <w:p w14:paraId="184906F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3,0%</w:t>
            </w:r>
          </w:p>
        </w:tc>
      </w:tr>
      <w:tr w:rsidR="00310604" w:rsidRPr="006071D4" w14:paraId="4ED03AEA" w14:textId="77777777" w:rsidTr="00310604">
        <w:trPr>
          <w:trHeight w:val="300"/>
        </w:trPr>
        <w:tc>
          <w:tcPr>
            <w:tcW w:w="3060" w:type="dxa"/>
            <w:tcBorders>
              <w:top w:val="nil"/>
              <w:left w:val="nil"/>
              <w:bottom w:val="nil"/>
              <w:right w:val="nil"/>
            </w:tcBorders>
            <w:shd w:val="clear" w:color="000000" w:fill="D9E1F2"/>
            <w:vAlign w:val="bottom"/>
            <w:hideMark/>
          </w:tcPr>
          <w:p w14:paraId="3BC534C4"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Communication</w:t>
            </w:r>
          </w:p>
        </w:tc>
        <w:tc>
          <w:tcPr>
            <w:tcW w:w="620" w:type="dxa"/>
            <w:tcBorders>
              <w:top w:val="nil"/>
              <w:left w:val="nil"/>
              <w:bottom w:val="nil"/>
              <w:right w:val="nil"/>
            </w:tcBorders>
            <w:shd w:val="clear" w:color="000000" w:fill="D9E1F2"/>
            <w:noWrap/>
            <w:vAlign w:val="center"/>
            <w:hideMark/>
          </w:tcPr>
          <w:p w14:paraId="178629A2"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329</w:t>
            </w:r>
          </w:p>
        </w:tc>
        <w:tc>
          <w:tcPr>
            <w:tcW w:w="804" w:type="dxa"/>
            <w:tcBorders>
              <w:top w:val="nil"/>
              <w:left w:val="nil"/>
              <w:bottom w:val="nil"/>
              <w:right w:val="nil"/>
            </w:tcBorders>
            <w:shd w:val="clear" w:color="000000" w:fill="D9E1F2"/>
            <w:noWrap/>
            <w:vAlign w:val="center"/>
            <w:hideMark/>
          </w:tcPr>
          <w:p w14:paraId="10F7EAF2"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82,2</w:t>
            </w:r>
          </w:p>
        </w:tc>
        <w:tc>
          <w:tcPr>
            <w:tcW w:w="694" w:type="dxa"/>
            <w:tcBorders>
              <w:top w:val="nil"/>
              <w:left w:val="nil"/>
              <w:bottom w:val="nil"/>
              <w:right w:val="nil"/>
            </w:tcBorders>
            <w:shd w:val="clear" w:color="000000" w:fill="D9E1F2"/>
            <w:noWrap/>
            <w:vAlign w:val="center"/>
            <w:hideMark/>
          </w:tcPr>
          <w:p w14:paraId="11FCF725"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87,8</w:t>
            </w:r>
          </w:p>
        </w:tc>
        <w:tc>
          <w:tcPr>
            <w:tcW w:w="755" w:type="dxa"/>
            <w:tcBorders>
              <w:top w:val="nil"/>
              <w:left w:val="nil"/>
              <w:bottom w:val="nil"/>
              <w:right w:val="nil"/>
            </w:tcBorders>
            <w:shd w:val="clear" w:color="000000" w:fill="D9E1F2"/>
            <w:noWrap/>
            <w:vAlign w:val="center"/>
            <w:hideMark/>
          </w:tcPr>
          <w:p w14:paraId="30A206E2"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88,9</w:t>
            </w:r>
          </w:p>
        </w:tc>
        <w:tc>
          <w:tcPr>
            <w:tcW w:w="743" w:type="dxa"/>
            <w:tcBorders>
              <w:top w:val="nil"/>
              <w:left w:val="nil"/>
              <w:bottom w:val="nil"/>
              <w:right w:val="nil"/>
            </w:tcBorders>
            <w:shd w:val="clear" w:color="000000" w:fill="D9E1F2"/>
            <w:noWrap/>
            <w:vAlign w:val="center"/>
            <w:hideMark/>
          </w:tcPr>
          <w:p w14:paraId="52EEC7AB"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88,8</w:t>
            </w:r>
          </w:p>
        </w:tc>
        <w:tc>
          <w:tcPr>
            <w:tcW w:w="804" w:type="dxa"/>
            <w:tcBorders>
              <w:top w:val="nil"/>
              <w:left w:val="nil"/>
              <w:bottom w:val="nil"/>
              <w:right w:val="nil"/>
            </w:tcBorders>
            <w:shd w:val="clear" w:color="000000" w:fill="D9E1F2"/>
            <w:noWrap/>
            <w:vAlign w:val="center"/>
            <w:hideMark/>
          </w:tcPr>
          <w:p w14:paraId="2D6ED479"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88,8</w:t>
            </w:r>
          </w:p>
        </w:tc>
        <w:tc>
          <w:tcPr>
            <w:tcW w:w="760" w:type="dxa"/>
            <w:tcBorders>
              <w:top w:val="nil"/>
              <w:left w:val="nil"/>
              <w:bottom w:val="nil"/>
              <w:right w:val="nil"/>
            </w:tcBorders>
            <w:shd w:val="clear" w:color="000000" w:fill="D9E1F2"/>
            <w:vAlign w:val="center"/>
            <w:hideMark/>
          </w:tcPr>
          <w:p w14:paraId="0FD9E846"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0,0%</w:t>
            </w:r>
          </w:p>
        </w:tc>
        <w:tc>
          <w:tcPr>
            <w:tcW w:w="760" w:type="dxa"/>
            <w:tcBorders>
              <w:top w:val="nil"/>
              <w:left w:val="nil"/>
              <w:bottom w:val="nil"/>
              <w:right w:val="nil"/>
            </w:tcBorders>
            <w:shd w:val="clear" w:color="000000" w:fill="D9E1F2"/>
            <w:vAlign w:val="center"/>
            <w:hideMark/>
          </w:tcPr>
          <w:p w14:paraId="35B06F64"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1,2%</w:t>
            </w:r>
          </w:p>
        </w:tc>
        <w:tc>
          <w:tcPr>
            <w:tcW w:w="760" w:type="dxa"/>
            <w:tcBorders>
              <w:top w:val="nil"/>
              <w:left w:val="nil"/>
              <w:bottom w:val="nil"/>
              <w:right w:val="nil"/>
            </w:tcBorders>
            <w:shd w:val="clear" w:color="000000" w:fill="D9E1F2"/>
            <w:vAlign w:val="center"/>
            <w:hideMark/>
          </w:tcPr>
          <w:p w14:paraId="4CAE1E61"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8,1%</w:t>
            </w:r>
          </w:p>
        </w:tc>
      </w:tr>
      <w:tr w:rsidR="00310604" w:rsidRPr="00310604" w14:paraId="56E9D2C6" w14:textId="77777777" w:rsidTr="00310604">
        <w:trPr>
          <w:trHeight w:val="255"/>
        </w:trPr>
        <w:tc>
          <w:tcPr>
            <w:tcW w:w="3060" w:type="dxa"/>
            <w:tcBorders>
              <w:top w:val="nil"/>
              <w:left w:val="nil"/>
              <w:bottom w:val="nil"/>
              <w:right w:val="nil"/>
            </w:tcBorders>
            <w:shd w:val="clear" w:color="auto" w:fill="auto"/>
            <w:vAlign w:val="bottom"/>
            <w:hideMark/>
          </w:tcPr>
          <w:p w14:paraId="25710E62"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Services postaux</w:t>
            </w:r>
          </w:p>
        </w:tc>
        <w:tc>
          <w:tcPr>
            <w:tcW w:w="620" w:type="dxa"/>
            <w:tcBorders>
              <w:top w:val="nil"/>
              <w:left w:val="nil"/>
              <w:bottom w:val="nil"/>
              <w:right w:val="nil"/>
            </w:tcBorders>
            <w:shd w:val="clear" w:color="auto" w:fill="auto"/>
            <w:noWrap/>
            <w:vAlign w:val="center"/>
            <w:hideMark/>
          </w:tcPr>
          <w:p w14:paraId="7D41843D"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4</w:t>
            </w:r>
          </w:p>
        </w:tc>
        <w:tc>
          <w:tcPr>
            <w:tcW w:w="804" w:type="dxa"/>
            <w:tcBorders>
              <w:top w:val="nil"/>
              <w:left w:val="nil"/>
              <w:bottom w:val="nil"/>
              <w:right w:val="nil"/>
            </w:tcBorders>
            <w:shd w:val="clear" w:color="auto" w:fill="auto"/>
            <w:noWrap/>
            <w:vAlign w:val="center"/>
            <w:hideMark/>
          </w:tcPr>
          <w:p w14:paraId="557B12A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113,3</w:t>
            </w:r>
          </w:p>
        </w:tc>
        <w:tc>
          <w:tcPr>
            <w:tcW w:w="694" w:type="dxa"/>
            <w:tcBorders>
              <w:top w:val="nil"/>
              <w:left w:val="nil"/>
              <w:bottom w:val="nil"/>
              <w:right w:val="nil"/>
            </w:tcBorders>
            <w:shd w:val="clear" w:color="auto" w:fill="auto"/>
            <w:noWrap/>
            <w:vAlign w:val="center"/>
            <w:hideMark/>
          </w:tcPr>
          <w:p w14:paraId="6D88035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113,3</w:t>
            </w:r>
          </w:p>
        </w:tc>
        <w:tc>
          <w:tcPr>
            <w:tcW w:w="755" w:type="dxa"/>
            <w:tcBorders>
              <w:top w:val="nil"/>
              <w:left w:val="nil"/>
              <w:bottom w:val="nil"/>
              <w:right w:val="nil"/>
            </w:tcBorders>
            <w:shd w:val="clear" w:color="auto" w:fill="auto"/>
            <w:noWrap/>
            <w:vAlign w:val="center"/>
            <w:hideMark/>
          </w:tcPr>
          <w:p w14:paraId="15F5C71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113,3</w:t>
            </w:r>
          </w:p>
        </w:tc>
        <w:tc>
          <w:tcPr>
            <w:tcW w:w="743" w:type="dxa"/>
            <w:tcBorders>
              <w:top w:val="nil"/>
              <w:left w:val="nil"/>
              <w:bottom w:val="nil"/>
              <w:right w:val="nil"/>
            </w:tcBorders>
            <w:shd w:val="clear" w:color="auto" w:fill="auto"/>
            <w:noWrap/>
            <w:vAlign w:val="center"/>
            <w:hideMark/>
          </w:tcPr>
          <w:p w14:paraId="10E2F80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113,3</w:t>
            </w:r>
          </w:p>
        </w:tc>
        <w:tc>
          <w:tcPr>
            <w:tcW w:w="804" w:type="dxa"/>
            <w:tcBorders>
              <w:top w:val="nil"/>
              <w:left w:val="nil"/>
              <w:bottom w:val="nil"/>
              <w:right w:val="nil"/>
            </w:tcBorders>
            <w:shd w:val="clear" w:color="auto" w:fill="auto"/>
            <w:noWrap/>
            <w:vAlign w:val="center"/>
            <w:hideMark/>
          </w:tcPr>
          <w:p w14:paraId="6E52BD8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113,3</w:t>
            </w:r>
          </w:p>
        </w:tc>
        <w:tc>
          <w:tcPr>
            <w:tcW w:w="760" w:type="dxa"/>
            <w:tcBorders>
              <w:top w:val="nil"/>
              <w:left w:val="nil"/>
              <w:bottom w:val="nil"/>
              <w:right w:val="nil"/>
            </w:tcBorders>
            <w:shd w:val="clear" w:color="auto" w:fill="auto"/>
            <w:vAlign w:val="center"/>
            <w:hideMark/>
          </w:tcPr>
          <w:p w14:paraId="773D9D5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11CAD0F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2CBFD8B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r>
      <w:tr w:rsidR="00310604" w:rsidRPr="00310604" w14:paraId="55CA42D1" w14:textId="77777777" w:rsidTr="00310604">
        <w:trPr>
          <w:trHeight w:val="255"/>
        </w:trPr>
        <w:tc>
          <w:tcPr>
            <w:tcW w:w="3060" w:type="dxa"/>
            <w:tcBorders>
              <w:top w:val="nil"/>
              <w:left w:val="nil"/>
              <w:bottom w:val="nil"/>
              <w:right w:val="nil"/>
            </w:tcBorders>
            <w:shd w:val="clear" w:color="auto" w:fill="auto"/>
            <w:vAlign w:val="bottom"/>
            <w:hideMark/>
          </w:tcPr>
          <w:p w14:paraId="6347DE27"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Matériel de téléphonie et de télécopie</w:t>
            </w:r>
          </w:p>
        </w:tc>
        <w:tc>
          <w:tcPr>
            <w:tcW w:w="620" w:type="dxa"/>
            <w:tcBorders>
              <w:top w:val="nil"/>
              <w:left w:val="nil"/>
              <w:bottom w:val="nil"/>
              <w:right w:val="nil"/>
            </w:tcBorders>
            <w:shd w:val="clear" w:color="auto" w:fill="auto"/>
            <w:noWrap/>
            <w:vAlign w:val="center"/>
            <w:hideMark/>
          </w:tcPr>
          <w:p w14:paraId="57227168"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32</w:t>
            </w:r>
          </w:p>
        </w:tc>
        <w:tc>
          <w:tcPr>
            <w:tcW w:w="804" w:type="dxa"/>
            <w:tcBorders>
              <w:top w:val="nil"/>
              <w:left w:val="nil"/>
              <w:bottom w:val="nil"/>
              <w:right w:val="nil"/>
            </w:tcBorders>
            <w:shd w:val="clear" w:color="auto" w:fill="auto"/>
            <w:noWrap/>
            <w:vAlign w:val="center"/>
            <w:hideMark/>
          </w:tcPr>
          <w:p w14:paraId="5F658A8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85,3</w:t>
            </w:r>
          </w:p>
        </w:tc>
        <w:tc>
          <w:tcPr>
            <w:tcW w:w="694" w:type="dxa"/>
            <w:tcBorders>
              <w:top w:val="nil"/>
              <w:left w:val="nil"/>
              <w:bottom w:val="nil"/>
              <w:right w:val="nil"/>
            </w:tcBorders>
            <w:shd w:val="clear" w:color="auto" w:fill="auto"/>
            <w:noWrap/>
            <w:vAlign w:val="center"/>
            <w:hideMark/>
          </w:tcPr>
          <w:p w14:paraId="5581596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88,1</w:t>
            </w:r>
          </w:p>
        </w:tc>
        <w:tc>
          <w:tcPr>
            <w:tcW w:w="755" w:type="dxa"/>
            <w:tcBorders>
              <w:top w:val="nil"/>
              <w:left w:val="nil"/>
              <w:bottom w:val="nil"/>
              <w:right w:val="nil"/>
            </w:tcBorders>
            <w:shd w:val="clear" w:color="auto" w:fill="auto"/>
            <w:noWrap/>
            <w:vAlign w:val="center"/>
            <w:hideMark/>
          </w:tcPr>
          <w:p w14:paraId="5E4EB86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88,2</w:t>
            </w:r>
          </w:p>
        </w:tc>
        <w:tc>
          <w:tcPr>
            <w:tcW w:w="743" w:type="dxa"/>
            <w:tcBorders>
              <w:top w:val="nil"/>
              <w:left w:val="nil"/>
              <w:bottom w:val="nil"/>
              <w:right w:val="nil"/>
            </w:tcBorders>
            <w:shd w:val="clear" w:color="auto" w:fill="auto"/>
            <w:noWrap/>
            <w:vAlign w:val="center"/>
            <w:hideMark/>
          </w:tcPr>
          <w:p w14:paraId="0D04286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87,9</w:t>
            </w:r>
          </w:p>
        </w:tc>
        <w:tc>
          <w:tcPr>
            <w:tcW w:w="804" w:type="dxa"/>
            <w:tcBorders>
              <w:top w:val="nil"/>
              <w:left w:val="nil"/>
              <w:bottom w:val="nil"/>
              <w:right w:val="nil"/>
            </w:tcBorders>
            <w:shd w:val="clear" w:color="auto" w:fill="auto"/>
            <w:noWrap/>
            <w:vAlign w:val="center"/>
            <w:hideMark/>
          </w:tcPr>
          <w:p w14:paraId="738F802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88,1</w:t>
            </w:r>
          </w:p>
        </w:tc>
        <w:tc>
          <w:tcPr>
            <w:tcW w:w="760" w:type="dxa"/>
            <w:tcBorders>
              <w:top w:val="nil"/>
              <w:left w:val="nil"/>
              <w:bottom w:val="nil"/>
              <w:right w:val="nil"/>
            </w:tcBorders>
            <w:shd w:val="clear" w:color="auto" w:fill="auto"/>
            <w:vAlign w:val="center"/>
            <w:hideMark/>
          </w:tcPr>
          <w:p w14:paraId="6333B4C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0,3%</w:t>
            </w:r>
          </w:p>
        </w:tc>
        <w:tc>
          <w:tcPr>
            <w:tcW w:w="760" w:type="dxa"/>
            <w:tcBorders>
              <w:top w:val="nil"/>
              <w:left w:val="nil"/>
              <w:bottom w:val="nil"/>
              <w:right w:val="nil"/>
            </w:tcBorders>
            <w:shd w:val="clear" w:color="auto" w:fill="auto"/>
            <w:vAlign w:val="center"/>
            <w:hideMark/>
          </w:tcPr>
          <w:p w14:paraId="51AC008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4E9C1B2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3,3%</w:t>
            </w:r>
          </w:p>
        </w:tc>
      </w:tr>
      <w:tr w:rsidR="00310604" w:rsidRPr="00310604" w14:paraId="4CF58A04" w14:textId="77777777" w:rsidTr="00310604">
        <w:trPr>
          <w:trHeight w:val="255"/>
        </w:trPr>
        <w:tc>
          <w:tcPr>
            <w:tcW w:w="3060" w:type="dxa"/>
            <w:tcBorders>
              <w:top w:val="nil"/>
              <w:left w:val="nil"/>
              <w:bottom w:val="nil"/>
              <w:right w:val="nil"/>
            </w:tcBorders>
            <w:shd w:val="clear" w:color="auto" w:fill="auto"/>
            <w:vAlign w:val="bottom"/>
            <w:hideMark/>
          </w:tcPr>
          <w:p w14:paraId="4B7226BD"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Services de téléphonie et de télécopie</w:t>
            </w:r>
          </w:p>
        </w:tc>
        <w:tc>
          <w:tcPr>
            <w:tcW w:w="620" w:type="dxa"/>
            <w:tcBorders>
              <w:top w:val="nil"/>
              <w:left w:val="nil"/>
              <w:bottom w:val="nil"/>
              <w:right w:val="nil"/>
            </w:tcBorders>
            <w:shd w:val="clear" w:color="auto" w:fill="auto"/>
            <w:noWrap/>
            <w:vAlign w:val="center"/>
            <w:hideMark/>
          </w:tcPr>
          <w:p w14:paraId="75450031"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293</w:t>
            </w:r>
          </w:p>
        </w:tc>
        <w:tc>
          <w:tcPr>
            <w:tcW w:w="804" w:type="dxa"/>
            <w:tcBorders>
              <w:top w:val="nil"/>
              <w:left w:val="nil"/>
              <w:bottom w:val="nil"/>
              <w:right w:val="nil"/>
            </w:tcBorders>
            <w:shd w:val="clear" w:color="auto" w:fill="auto"/>
            <w:noWrap/>
            <w:vAlign w:val="center"/>
            <w:hideMark/>
          </w:tcPr>
          <w:p w14:paraId="7325485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79,3</w:t>
            </w:r>
          </w:p>
        </w:tc>
        <w:tc>
          <w:tcPr>
            <w:tcW w:w="694" w:type="dxa"/>
            <w:tcBorders>
              <w:top w:val="nil"/>
              <w:left w:val="nil"/>
              <w:bottom w:val="nil"/>
              <w:right w:val="nil"/>
            </w:tcBorders>
            <w:shd w:val="clear" w:color="auto" w:fill="auto"/>
            <w:noWrap/>
            <w:vAlign w:val="center"/>
            <w:hideMark/>
          </w:tcPr>
          <w:p w14:paraId="78552B3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87,4</w:t>
            </w:r>
          </w:p>
        </w:tc>
        <w:tc>
          <w:tcPr>
            <w:tcW w:w="755" w:type="dxa"/>
            <w:tcBorders>
              <w:top w:val="nil"/>
              <w:left w:val="nil"/>
              <w:bottom w:val="nil"/>
              <w:right w:val="nil"/>
            </w:tcBorders>
            <w:shd w:val="clear" w:color="auto" w:fill="auto"/>
            <w:noWrap/>
            <w:vAlign w:val="center"/>
            <w:hideMark/>
          </w:tcPr>
          <w:p w14:paraId="7667AF5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88,6</w:t>
            </w:r>
          </w:p>
        </w:tc>
        <w:tc>
          <w:tcPr>
            <w:tcW w:w="743" w:type="dxa"/>
            <w:tcBorders>
              <w:top w:val="nil"/>
              <w:left w:val="nil"/>
              <w:bottom w:val="nil"/>
              <w:right w:val="nil"/>
            </w:tcBorders>
            <w:shd w:val="clear" w:color="auto" w:fill="auto"/>
            <w:noWrap/>
            <w:vAlign w:val="center"/>
            <w:hideMark/>
          </w:tcPr>
          <w:p w14:paraId="02BDF4F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88,6</w:t>
            </w:r>
          </w:p>
        </w:tc>
        <w:tc>
          <w:tcPr>
            <w:tcW w:w="804" w:type="dxa"/>
            <w:tcBorders>
              <w:top w:val="nil"/>
              <w:left w:val="nil"/>
              <w:bottom w:val="nil"/>
              <w:right w:val="nil"/>
            </w:tcBorders>
            <w:shd w:val="clear" w:color="auto" w:fill="auto"/>
            <w:noWrap/>
            <w:vAlign w:val="center"/>
            <w:hideMark/>
          </w:tcPr>
          <w:p w14:paraId="4C6BA4A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88,6</w:t>
            </w:r>
          </w:p>
        </w:tc>
        <w:tc>
          <w:tcPr>
            <w:tcW w:w="760" w:type="dxa"/>
            <w:tcBorders>
              <w:top w:val="nil"/>
              <w:left w:val="nil"/>
              <w:bottom w:val="nil"/>
              <w:right w:val="nil"/>
            </w:tcBorders>
            <w:shd w:val="clear" w:color="auto" w:fill="auto"/>
            <w:vAlign w:val="center"/>
            <w:hideMark/>
          </w:tcPr>
          <w:p w14:paraId="5897D33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538DBE5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1,3%</w:t>
            </w:r>
          </w:p>
        </w:tc>
        <w:tc>
          <w:tcPr>
            <w:tcW w:w="760" w:type="dxa"/>
            <w:tcBorders>
              <w:top w:val="nil"/>
              <w:left w:val="nil"/>
              <w:bottom w:val="nil"/>
              <w:right w:val="nil"/>
            </w:tcBorders>
            <w:shd w:val="clear" w:color="auto" w:fill="auto"/>
            <w:vAlign w:val="center"/>
            <w:hideMark/>
          </w:tcPr>
          <w:p w14:paraId="7FCBEAA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11,6%</w:t>
            </w:r>
          </w:p>
        </w:tc>
      </w:tr>
      <w:tr w:rsidR="00310604" w:rsidRPr="006071D4" w14:paraId="33218398" w14:textId="77777777" w:rsidTr="00310604">
        <w:trPr>
          <w:trHeight w:val="300"/>
        </w:trPr>
        <w:tc>
          <w:tcPr>
            <w:tcW w:w="3060" w:type="dxa"/>
            <w:tcBorders>
              <w:top w:val="nil"/>
              <w:left w:val="nil"/>
              <w:bottom w:val="nil"/>
              <w:right w:val="nil"/>
            </w:tcBorders>
            <w:shd w:val="clear" w:color="000000" w:fill="D9E1F2"/>
            <w:vAlign w:val="bottom"/>
            <w:hideMark/>
          </w:tcPr>
          <w:p w14:paraId="02BC9FC9"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Loisirs et culture</w:t>
            </w:r>
          </w:p>
        </w:tc>
        <w:tc>
          <w:tcPr>
            <w:tcW w:w="620" w:type="dxa"/>
            <w:tcBorders>
              <w:top w:val="nil"/>
              <w:left w:val="nil"/>
              <w:bottom w:val="nil"/>
              <w:right w:val="nil"/>
            </w:tcBorders>
            <w:shd w:val="clear" w:color="000000" w:fill="D9E1F2"/>
            <w:noWrap/>
            <w:vAlign w:val="center"/>
            <w:hideMark/>
          </w:tcPr>
          <w:p w14:paraId="194A9DD1"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353</w:t>
            </w:r>
          </w:p>
        </w:tc>
        <w:tc>
          <w:tcPr>
            <w:tcW w:w="804" w:type="dxa"/>
            <w:tcBorders>
              <w:top w:val="nil"/>
              <w:left w:val="nil"/>
              <w:bottom w:val="nil"/>
              <w:right w:val="nil"/>
            </w:tcBorders>
            <w:shd w:val="clear" w:color="000000" w:fill="D9E1F2"/>
            <w:noWrap/>
            <w:vAlign w:val="center"/>
            <w:hideMark/>
          </w:tcPr>
          <w:p w14:paraId="5E950C74"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102,3</w:t>
            </w:r>
          </w:p>
        </w:tc>
        <w:tc>
          <w:tcPr>
            <w:tcW w:w="694" w:type="dxa"/>
            <w:tcBorders>
              <w:top w:val="nil"/>
              <w:left w:val="nil"/>
              <w:bottom w:val="nil"/>
              <w:right w:val="nil"/>
            </w:tcBorders>
            <w:shd w:val="clear" w:color="000000" w:fill="D9E1F2"/>
            <w:noWrap/>
            <w:vAlign w:val="center"/>
            <w:hideMark/>
          </w:tcPr>
          <w:p w14:paraId="170BB175"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117,5</w:t>
            </w:r>
          </w:p>
        </w:tc>
        <w:tc>
          <w:tcPr>
            <w:tcW w:w="755" w:type="dxa"/>
            <w:tcBorders>
              <w:top w:val="nil"/>
              <w:left w:val="nil"/>
              <w:bottom w:val="nil"/>
              <w:right w:val="nil"/>
            </w:tcBorders>
            <w:shd w:val="clear" w:color="000000" w:fill="D9E1F2"/>
            <w:noWrap/>
            <w:vAlign w:val="center"/>
            <w:hideMark/>
          </w:tcPr>
          <w:p w14:paraId="36A39DE3"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118,0</w:t>
            </w:r>
          </w:p>
        </w:tc>
        <w:tc>
          <w:tcPr>
            <w:tcW w:w="743" w:type="dxa"/>
            <w:tcBorders>
              <w:top w:val="nil"/>
              <w:left w:val="nil"/>
              <w:bottom w:val="nil"/>
              <w:right w:val="nil"/>
            </w:tcBorders>
            <w:shd w:val="clear" w:color="000000" w:fill="D9E1F2"/>
            <w:noWrap/>
            <w:vAlign w:val="center"/>
            <w:hideMark/>
          </w:tcPr>
          <w:p w14:paraId="3DECD2C6"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118,4</w:t>
            </w:r>
          </w:p>
        </w:tc>
        <w:tc>
          <w:tcPr>
            <w:tcW w:w="804" w:type="dxa"/>
            <w:tcBorders>
              <w:top w:val="nil"/>
              <w:left w:val="nil"/>
              <w:bottom w:val="nil"/>
              <w:right w:val="nil"/>
            </w:tcBorders>
            <w:shd w:val="clear" w:color="000000" w:fill="D9E1F2"/>
            <w:noWrap/>
            <w:vAlign w:val="center"/>
            <w:hideMark/>
          </w:tcPr>
          <w:p w14:paraId="415ED071"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118,5</w:t>
            </w:r>
          </w:p>
        </w:tc>
        <w:tc>
          <w:tcPr>
            <w:tcW w:w="760" w:type="dxa"/>
            <w:tcBorders>
              <w:top w:val="nil"/>
              <w:left w:val="nil"/>
              <w:bottom w:val="nil"/>
              <w:right w:val="nil"/>
            </w:tcBorders>
            <w:shd w:val="clear" w:color="000000" w:fill="D9E1F2"/>
            <w:vAlign w:val="center"/>
            <w:hideMark/>
          </w:tcPr>
          <w:p w14:paraId="6D6F6912"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0,1%</w:t>
            </w:r>
          </w:p>
        </w:tc>
        <w:tc>
          <w:tcPr>
            <w:tcW w:w="760" w:type="dxa"/>
            <w:tcBorders>
              <w:top w:val="nil"/>
              <w:left w:val="nil"/>
              <w:bottom w:val="nil"/>
              <w:right w:val="nil"/>
            </w:tcBorders>
            <w:shd w:val="clear" w:color="000000" w:fill="D9E1F2"/>
            <w:vAlign w:val="center"/>
            <w:hideMark/>
          </w:tcPr>
          <w:p w14:paraId="661ED890"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0,8%</w:t>
            </w:r>
          </w:p>
        </w:tc>
        <w:tc>
          <w:tcPr>
            <w:tcW w:w="760" w:type="dxa"/>
            <w:tcBorders>
              <w:top w:val="nil"/>
              <w:left w:val="nil"/>
              <w:bottom w:val="nil"/>
              <w:right w:val="nil"/>
            </w:tcBorders>
            <w:shd w:val="clear" w:color="000000" w:fill="D9E1F2"/>
            <w:vAlign w:val="center"/>
            <w:hideMark/>
          </w:tcPr>
          <w:p w14:paraId="4867046C"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15,9%</w:t>
            </w:r>
          </w:p>
        </w:tc>
      </w:tr>
      <w:tr w:rsidR="00310604" w:rsidRPr="00310604" w14:paraId="3CD8567B" w14:textId="77777777" w:rsidTr="00310604">
        <w:trPr>
          <w:trHeight w:val="510"/>
        </w:trPr>
        <w:tc>
          <w:tcPr>
            <w:tcW w:w="3060" w:type="dxa"/>
            <w:tcBorders>
              <w:top w:val="nil"/>
              <w:left w:val="nil"/>
              <w:bottom w:val="nil"/>
              <w:right w:val="nil"/>
            </w:tcBorders>
            <w:shd w:val="clear" w:color="auto" w:fill="auto"/>
            <w:vAlign w:val="bottom"/>
            <w:hideMark/>
          </w:tcPr>
          <w:p w14:paraId="27C22853"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Matériel audiovisuel, photographique et de traitement de l'image et du son</w:t>
            </w:r>
          </w:p>
        </w:tc>
        <w:tc>
          <w:tcPr>
            <w:tcW w:w="620" w:type="dxa"/>
            <w:tcBorders>
              <w:top w:val="nil"/>
              <w:left w:val="nil"/>
              <w:bottom w:val="nil"/>
              <w:right w:val="nil"/>
            </w:tcBorders>
            <w:shd w:val="clear" w:color="auto" w:fill="auto"/>
            <w:noWrap/>
            <w:vAlign w:val="center"/>
            <w:hideMark/>
          </w:tcPr>
          <w:p w14:paraId="5E91C447"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147</w:t>
            </w:r>
          </w:p>
        </w:tc>
        <w:tc>
          <w:tcPr>
            <w:tcW w:w="804" w:type="dxa"/>
            <w:tcBorders>
              <w:top w:val="nil"/>
              <w:left w:val="nil"/>
              <w:bottom w:val="nil"/>
              <w:right w:val="nil"/>
            </w:tcBorders>
            <w:shd w:val="clear" w:color="auto" w:fill="auto"/>
            <w:noWrap/>
            <w:vAlign w:val="center"/>
            <w:hideMark/>
          </w:tcPr>
          <w:p w14:paraId="1923C69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91,2</w:t>
            </w:r>
          </w:p>
        </w:tc>
        <w:tc>
          <w:tcPr>
            <w:tcW w:w="694" w:type="dxa"/>
            <w:tcBorders>
              <w:top w:val="nil"/>
              <w:left w:val="nil"/>
              <w:bottom w:val="nil"/>
              <w:right w:val="nil"/>
            </w:tcBorders>
            <w:shd w:val="clear" w:color="auto" w:fill="auto"/>
            <w:noWrap/>
            <w:vAlign w:val="center"/>
            <w:hideMark/>
          </w:tcPr>
          <w:p w14:paraId="0C87415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94,9</w:t>
            </w:r>
          </w:p>
        </w:tc>
        <w:tc>
          <w:tcPr>
            <w:tcW w:w="755" w:type="dxa"/>
            <w:tcBorders>
              <w:top w:val="nil"/>
              <w:left w:val="nil"/>
              <w:bottom w:val="nil"/>
              <w:right w:val="nil"/>
            </w:tcBorders>
            <w:shd w:val="clear" w:color="auto" w:fill="auto"/>
            <w:noWrap/>
            <w:vAlign w:val="center"/>
            <w:hideMark/>
          </w:tcPr>
          <w:p w14:paraId="3BE1707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95,8</w:t>
            </w:r>
          </w:p>
        </w:tc>
        <w:tc>
          <w:tcPr>
            <w:tcW w:w="743" w:type="dxa"/>
            <w:tcBorders>
              <w:top w:val="nil"/>
              <w:left w:val="nil"/>
              <w:bottom w:val="nil"/>
              <w:right w:val="nil"/>
            </w:tcBorders>
            <w:shd w:val="clear" w:color="auto" w:fill="auto"/>
            <w:noWrap/>
            <w:vAlign w:val="center"/>
            <w:hideMark/>
          </w:tcPr>
          <w:p w14:paraId="52A3FC8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96,7</w:t>
            </w:r>
          </w:p>
        </w:tc>
        <w:tc>
          <w:tcPr>
            <w:tcW w:w="804" w:type="dxa"/>
            <w:tcBorders>
              <w:top w:val="nil"/>
              <w:left w:val="nil"/>
              <w:bottom w:val="nil"/>
              <w:right w:val="nil"/>
            </w:tcBorders>
            <w:shd w:val="clear" w:color="auto" w:fill="auto"/>
            <w:noWrap/>
            <w:vAlign w:val="center"/>
            <w:hideMark/>
          </w:tcPr>
          <w:p w14:paraId="781C114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96,9</w:t>
            </w:r>
          </w:p>
        </w:tc>
        <w:tc>
          <w:tcPr>
            <w:tcW w:w="760" w:type="dxa"/>
            <w:tcBorders>
              <w:top w:val="nil"/>
              <w:left w:val="nil"/>
              <w:bottom w:val="nil"/>
              <w:right w:val="nil"/>
            </w:tcBorders>
            <w:shd w:val="clear" w:color="auto" w:fill="auto"/>
            <w:vAlign w:val="center"/>
            <w:hideMark/>
          </w:tcPr>
          <w:p w14:paraId="67CF8DC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0,2%</w:t>
            </w:r>
          </w:p>
        </w:tc>
        <w:tc>
          <w:tcPr>
            <w:tcW w:w="760" w:type="dxa"/>
            <w:tcBorders>
              <w:top w:val="nil"/>
              <w:left w:val="nil"/>
              <w:bottom w:val="nil"/>
              <w:right w:val="nil"/>
            </w:tcBorders>
            <w:shd w:val="clear" w:color="auto" w:fill="auto"/>
            <w:vAlign w:val="center"/>
            <w:hideMark/>
          </w:tcPr>
          <w:p w14:paraId="207F2C7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2,1%</w:t>
            </w:r>
          </w:p>
        </w:tc>
        <w:tc>
          <w:tcPr>
            <w:tcW w:w="760" w:type="dxa"/>
            <w:tcBorders>
              <w:top w:val="nil"/>
              <w:left w:val="nil"/>
              <w:bottom w:val="nil"/>
              <w:right w:val="nil"/>
            </w:tcBorders>
            <w:shd w:val="clear" w:color="auto" w:fill="auto"/>
            <w:vAlign w:val="center"/>
            <w:hideMark/>
          </w:tcPr>
          <w:p w14:paraId="49D99FE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6,2%</w:t>
            </w:r>
          </w:p>
        </w:tc>
      </w:tr>
      <w:tr w:rsidR="00310604" w:rsidRPr="00310604" w14:paraId="34436AFE" w14:textId="77777777" w:rsidTr="00310604">
        <w:trPr>
          <w:trHeight w:val="510"/>
        </w:trPr>
        <w:tc>
          <w:tcPr>
            <w:tcW w:w="3060" w:type="dxa"/>
            <w:tcBorders>
              <w:top w:val="nil"/>
              <w:left w:val="nil"/>
              <w:bottom w:val="nil"/>
              <w:right w:val="nil"/>
            </w:tcBorders>
            <w:shd w:val="clear" w:color="auto" w:fill="auto"/>
            <w:vAlign w:val="bottom"/>
            <w:hideMark/>
          </w:tcPr>
          <w:p w14:paraId="527A864C"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 xml:space="preserve">Autres articles et matériel de loisirs, de jardinage et </w:t>
            </w:r>
            <w:proofErr w:type="spellStart"/>
            <w:r w:rsidRPr="00310604">
              <w:rPr>
                <w:rFonts w:ascii="Arial" w:eastAsia="Times New Roman" w:hAnsi="Arial" w:cs="Arial"/>
                <w:sz w:val="16"/>
                <w:szCs w:val="16"/>
                <w:lang w:val="fr-SN" w:eastAsia="fr-SN"/>
              </w:rPr>
              <w:t>anim</w:t>
            </w:r>
            <w:proofErr w:type="spellEnd"/>
          </w:p>
        </w:tc>
        <w:tc>
          <w:tcPr>
            <w:tcW w:w="620" w:type="dxa"/>
            <w:tcBorders>
              <w:top w:val="nil"/>
              <w:left w:val="nil"/>
              <w:bottom w:val="nil"/>
              <w:right w:val="nil"/>
            </w:tcBorders>
            <w:shd w:val="clear" w:color="auto" w:fill="auto"/>
            <w:noWrap/>
            <w:vAlign w:val="center"/>
            <w:hideMark/>
          </w:tcPr>
          <w:p w14:paraId="417EF4BD"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40</w:t>
            </w:r>
          </w:p>
        </w:tc>
        <w:tc>
          <w:tcPr>
            <w:tcW w:w="804" w:type="dxa"/>
            <w:tcBorders>
              <w:top w:val="nil"/>
              <w:left w:val="nil"/>
              <w:bottom w:val="nil"/>
              <w:right w:val="nil"/>
            </w:tcBorders>
            <w:shd w:val="clear" w:color="auto" w:fill="auto"/>
            <w:noWrap/>
            <w:vAlign w:val="center"/>
            <w:hideMark/>
          </w:tcPr>
          <w:p w14:paraId="3E7FDC6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101,2</w:t>
            </w:r>
          </w:p>
        </w:tc>
        <w:tc>
          <w:tcPr>
            <w:tcW w:w="694" w:type="dxa"/>
            <w:tcBorders>
              <w:top w:val="nil"/>
              <w:left w:val="nil"/>
              <w:bottom w:val="nil"/>
              <w:right w:val="nil"/>
            </w:tcBorders>
            <w:shd w:val="clear" w:color="auto" w:fill="auto"/>
            <w:noWrap/>
            <w:vAlign w:val="center"/>
            <w:hideMark/>
          </w:tcPr>
          <w:p w14:paraId="4A379B9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101,8</w:t>
            </w:r>
          </w:p>
        </w:tc>
        <w:tc>
          <w:tcPr>
            <w:tcW w:w="755" w:type="dxa"/>
            <w:tcBorders>
              <w:top w:val="nil"/>
              <w:left w:val="nil"/>
              <w:bottom w:val="nil"/>
              <w:right w:val="nil"/>
            </w:tcBorders>
            <w:shd w:val="clear" w:color="auto" w:fill="auto"/>
            <w:noWrap/>
            <w:vAlign w:val="center"/>
            <w:hideMark/>
          </w:tcPr>
          <w:p w14:paraId="525985F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102,0</w:t>
            </w:r>
          </w:p>
        </w:tc>
        <w:tc>
          <w:tcPr>
            <w:tcW w:w="743" w:type="dxa"/>
            <w:tcBorders>
              <w:top w:val="nil"/>
              <w:left w:val="nil"/>
              <w:bottom w:val="nil"/>
              <w:right w:val="nil"/>
            </w:tcBorders>
            <w:shd w:val="clear" w:color="auto" w:fill="auto"/>
            <w:noWrap/>
            <w:vAlign w:val="center"/>
            <w:hideMark/>
          </w:tcPr>
          <w:p w14:paraId="4F761E5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101,7</w:t>
            </w:r>
          </w:p>
        </w:tc>
        <w:tc>
          <w:tcPr>
            <w:tcW w:w="804" w:type="dxa"/>
            <w:tcBorders>
              <w:top w:val="nil"/>
              <w:left w:val="nil"/>
              <w:bottom w:val="nil"/>
              <w:right w:val="nil"/>
            </w:tcBorders>
            <w:shd w:val="clear" w:color="auto" w:fill="auto"/>
            <w:noWrap/>
            <w:vAlign w:val="center"/>
            <w:hideMark/>
          </w:tcPr>
          <w:p w14:paraId="0176CAD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101,9</w:t>
            </w:r>
          </w:p>
        </w:tc>
        <w:tc>
          <w:tcPr>
            <w:tcW w:w="760" w:type="dxa"/>
            <w:tcBorders>
              <w:top w:val="nil"/>
              <w:left w:val="nil"/>
              <w:bottom w:val="nil"/>
              <w:right w:val="nil"/>
            </w:tcBorders>
            <w:shd w:val="clear" w:color="auto" w:fill="auto"/>
            <w:vAlign w:val="center"/>
            <w:hideMark/>
          </w:tcPr>
          <w:p w14:paraId="455189A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0,1%</w:t>
            </w:r>
          </w:p>
        </w:tc>
        <w:tc>
          <w:tcPr>
            <w:tcW w:w="760" w:type="dxa"/>
            <w:tcBorders>
              <w:top w:val="nil"/>
              <w:left w:val="nil"/>
              <w:bottom w:val="nil"/>
              <w:right w:val="nil"/>
            </w:tcBorders>
            <w:shd w:val="clear" w:color="auto" w:fill="auto"/>
            <w:vAlign w:val="center"/>
            <w:hideMark/>
          </w:tcPr>
          <w:p w14:paraId="6419BD4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0,1%</w:t>
            </w:r>
          </w:p>
        </w:tc>
        <w:tc>
          <w:tcPr>
            <w:tcW w:w="760" w:type="dxa"/>
            <w:tcBorders>
              <w:top w:val="nil"/>
              <w:left w:val="nil"/>
              <w:bottom w:val="nil"/>
              <w:right w:val="nil"/>
            </w:tcBorders>
            <w:shd w:val="clear" w:color="auto" w:fill="auto"/>
            <w:vAlign w:val="center"/>
            <w:hideMark/>
          </w:tcPr>
          <w:p w14:paraId="4A803A2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0,7%</w:t>
            </w:r>
          </w:p>
        </w:tc>
      </w:tr>
      <w:tr w:rsidR="00310604" w:rsidRPr="00310604" w14:paraId="0A8C569E" w14:textId="77777777" w:rsidTr="00310604">
        <w:trPr>
          <w:trHeight w:val="255"/>
        </w:trPr>
        <w:tc>
          <w:tcPr>
            <w:tcW w:w="3060" w:type="dxa"/>
            <w:tcBorders>
              <w:top w:val="nil"/>
              <w:left w:val="nil"/>
              <w:bottom w:val="nil"/>
              <w:right w:val="nil"/>
            </w:tcBorders>
            <w:shd w:val="clear" w:color="auto" w:fill="auto"/>
            <w:vAlign w:val="bottom"/>
            <w:hideMark/>
          </w:tcPr>
          <w:p w14:paraId="196C6C0A"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Services récréatifs et culturels</w:t>
            </w:r>
          </w:p>
        </w:tc>
        <w:tc>
          <w:tcPr>
            <w:tcW w:w="620" w:type="dxa"/>
            <w:tcBorders>
              <w:top w:val="nil"/>
              <w:left w:val="nil"/>
              <w:bottom w:val="nil"/>
              <w:right w:val="nil"/>
            </w:tcBorders>
            <w:shd w:val="clear" w:color="auto" w:fill="auto"/>
            <w:noWrap/>
            <w:vAlign w:val="center"/>
            <w:hideMark/>
          </w:tcPr>
          <w:p w14:paraId="6F798655"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30</w:t>
            </w:r>
          </w:p>
        </w:tc>
        <w:tc>
          <w:tcPr>
            <w:tcW w:w="804" w:type="dxa"/>
            <w:tcBorders>
              <w:top w:val="nil"/>
              <w:left w:val="nil"/>
              <w:bottom w:val="nil"/>
              <w:right w:val="nil"/>
            </w:tcBorders>
            <w:shd w:val="clear" w:color="auto" w:fill="auto"/>
            <w:noWrap/>
            <w:vAlign w:val="center"/>
            <w:hideMark/>
          </w:tcPr>
          <w:p w14:paraId="24236EC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104,5</w:t>
            </w:r>
          </w:p>
        </w:tc>
        <w:tc>
          <w:tcPr>
            <w:tcW w:w="694" w:type="dxa"/>
            <w:tcBorders>
              <w:top w:val="nil"/>
              <w:left w:val="nil"/>
              <w:bottom w:val="nil"/>
              <w:right w:val="nil"/>
            </w:tcBorders>
            <w:shd w:val="clear" w:color="auto" w:fill="auto"/>
            <w:noWrap/>
            <w:vAlign w:val="center"/>
            <w:hideMark/>
          </w:tcPr>
          <w:p w14:paraId="7E5CAFF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106,0</w:t>
            </w:r>
          </w:p>
        </w:tc>
        <w:tc>
          <w:tcPr>
            <w:tcW w:w="755" w:type="dxa"/>
            <w:tcBorders>
              <w:top w:val="nil"/>
              <w:left w:val="nil"/>
              <w:bottom w:val="nil"/>
              <w:right w:val="nil"/>
            </w:tcBorders>
            <w:shd w:val="clear" w:color="auto" w:fill="auto"/>
            <w:noWrap/>
            <w:vAlign w:val="center"/>
            <w:hideMark/>
          </w:tcPr>
          <w:p w14:paraId="44D7660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106,9</w:t>
            </w:r>
          </w:p>
        </w:tc>
        <w:tc>
          <w:tcPr>
            <w:tcW w:w="743" w:type="dxa"/>
            <w:tcBorders>
              <w:top w:val="nil"/>
              <w:left w:val="nil"/>
              <w:bottom w:val="nil"/>
              <w:right w:val="nil"/>
            </w:tcBorders>
            <w:shd w:val="clear" w:color="auto" w:fill="auto"/>
            <w:noWrap/>
            <w:vAlign w:val="center"/>
            <w:hideMark/>
          </w:tcPr>
          <w:p w14:paraId="1671151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107,9</w:t>
            </w:r>
          </w:p>
        </w:tc>
        <w:tc>
          <w:tcPr>
            <w:tcW w:w="804" w:type="dxa"/>
            <w:tcBorders>
              <w:top w:val="nil"/>
              <w:left w:val="nil"/>
              <w:bottom w:val="nil"/>
              <w:right w:val="nil"/>
            </w:tcBorders>
            <w:shd w:val="clear" w:color="auto" w:fill="auto"/>
            <w:noWrap/>
            <w:vAlign w:val="center"/>
            <w:hideMark/>
          </w:tcPr>
          <w:p w14:paraId="0B4326A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107,8</w:t>
            </w:r>
          </w:p>
        </w:tc>
        <w:tc>
          <w:tcPr>
            <w:tcW w:w="760" w:type="dxa"/>
            <w:tcBorders>
              <w:top w:val="nil"/>
              <w:left w:val="nil"/>
              <w:bottom w:val="nil"/>
              <w:right w:val="nil"/>
            </w:tcBorders>
            <w:shd w:val="clear" w:color="auto" w:fill="auto"/>
            <w:vAlign w:val="center"/>
            <w:hideMark/>
          </w:tcPr>
          <w:p w14:paraId="2A2F25A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-0,1%</w:t>
            </w:r>
          </w:p>
        </w:tc>
        <w:tc>
          <w:tcPr>
            <w:tcW w:w="760" w:type="dxa"/>
            <w:tcBorders>
              <w:top w:val="nil"/>
              <w:left w:val="nil"/>
              <w:bottom w:val="nil"/>
              <w:right w:val="nil"/>
            </w:tcBorders>
            <w:shd w:val="clear" w:color="auto" w:fill="auto"/>
            <w:vAlign w:val="center"/>
            <w:hideMark/>
          </w:tcPr>
          <w:p w14:paraId="6DC3F54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1,7%</w:t>
            </w:r>
          </w:p>
        </w:tc>
        <w:tc>
          <w:tcPr>
            <w:tcW w:w="760" w:type="dxa"/>
            <w:tcBorders>
              <w:top w:val="nil"/>
              <w:left w:val="nil"/>
              <w:bottom w:val="nil"/>
              <w:right w:val="nil"/>
            </w:tcBorders>
            <w:shd w:val="clear" w:color="auto" w:fill="auto"/>
            <w:vAlign w:val="center"/>
            <w:hideMark/>
          </w:tcPr>
          <w:p w14:paraId="11A5391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3,2%</w:t>
            </w:r>
          </w:p>
        </w:tc>
      </w:tr>
      <w:tr w:rsidR="00310604" w:rsidRPr="00310604" w14:paraId="703E736A" w14:textId="77777777" w:rsidTr="00310604">
        <w:trPr>
          <w:trHeight w:val="255"/>
        </w:trPr>
        <w:tc>
          <w:tcPr>
            <w:tcW w:w="3060" w:type="dxa"/>
            <w:tcBorders>
              <w:top w:val="nil"/>
              <w:left w:val="nil"/>
              <w:bottom w:val="nil"/>
              <w:right w:val="nil"/>
            </w:tcBorders>
            <w:shd w:val="clear" w:color="auto" w:fill="auto"/>
            <w:vAlign w:val="bottom"/>
            <w:hideMark/>
          </w:tcPr>
          <w:p w14:paraId="44E39968"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Journaux, livres et articles de papeterie</w:t>
            </w:r>
          </w:p>
        </w:tc>
        <w:tc>
          <w:tcPr>
            <w:tcW w:w="620" w:type="dxa"/>
            <w:tcBorders>
              <w:top w:val="nil"/>
              <w:left w:val="nil"/>
              <w:bottom w:val="nil"/>
              <w:right w:val="nil"/>
            </w:tcBorders>
            <w:shd w:val="clear" w:color="auto" w:fill="auto"/>
            <w:noWrap/>
            <w:vAlign w:val="center"/>
            <w:hideMark/>
          </w:tcPr>
          <w:p w14:paraId="6A80F27C"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59</w:t>
            </w:r>
          </w:p>
        </w:tc>
        <w:tc>
          <w:tcPr>
            <w:tcW w:w="804" w:type="dxa"/>
            <w:tcBorders>
              <w:top w:val="nil"/>
              <w:left w:val="nil"/>
              <w:bottom w:val="nil"/>
              <w:right w:val="nil"/>
            </w:tcBorders>
            <w:shd w:val="clear" w:color="auto" w:fill="auto"/>
            <w:noWrap/>
            <w:vAlign w:val="center"/>
            <w:hideMark/>
          </w:tcPr>
          <w:p w14:paraId="6FE378B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99,1</w:t>
            </w:r>
          </w:p>
        </w:tc>
        <w:tc>
          <w:tcPr>
            <w:tcW w:w="694" w:type="dxa"/>
            <w:tcBorders>
              <w:top w:val="nil"/>
              <w:left w:val="nil"/>
              <w:bottom w:val="nil"/>
              <w:right w:val="nil"/>
            </w:tcBorders>
            <w:shd w:val="clear" w:color="auto" w:fill="auto"/>
            <w:noWrap/>
            <w:vAlign w:val="center"/>
            <w:hideMark/>
          </w:tcPr>
          <w:p w14:paraId="049B772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106,3</w:t>
            </w:r>
          </w:p>
        </w:tc>
        <w:tc>
          <w:tcPr>
            <w:tcW w:w="755" w:type="dxa"/>
            <w:tcBorders>
              <w:top w:val="nil"/>
              <w:left w:val="nil"/>
              <w:bottom w:val="nil"/>
              <w:right w:val="nil"/>
            </w:tcBorders>
            <w:shd w:val="clear" w:color="auto" w:fill="auto"/>
            <w:noWrap/>
            <w:vAlign w:val="center"/>
            <w:hideMark/>
          </w:tcPr>
          <w:p w14:paraId="5B37B9B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106,4</w:t>
            </w:r>
          </w:p>
        </w:tc>
        <w:tc>
          <w:tcPr>
            <w:tcW w:w="743" w:type="dxa"/>
            <w:tcBorders>
              <w:top w:val="nil"/>
              <w:left w:val="nil"/>
              <w:bottom w:val="nil"/>
              <w:right w:val="nil"/>
            </w:tcBorders>
            <w:shd w:val="clear" w:color="auto" w:fill="auto"/>
            <w:noWrap/>
            <w:vAlign w:val="center"/>
            <w:hideMark/>
          </w:tcPr>
          <w:p w14:paraId="03DC561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106,4</w:t>
            </w:r>
          </w:p>
        </w:tc>
        <w:tc>
          <w:tcPr>
            <w:tcW w:w="804" w:type="dxa"/>
            <w:tcBorders>
              <w:top w:val="nil"/>
              <w:left w:val="nil"/>
              <w:bottom w:val="nil"/>
              <w:right w:val="nil"/>
            </w:tcBorders>
            <w:shd w:val="clear" w:color="auto" w:fill="auto"/>
            <w:noWrap/>
            <w:vAlign w:val="center"/>
            <w:hideMark/>
          </w:tcPr>
          <w:p w14:paraId="36DF2AB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106,4</w:t>
            </w:r>
          </w:p>
        </w:tc>
        <w:tc>
          <w:tcPr>
            <w:tcW w:w="760" w:type="dxa"/>
            <w:tcBorders>
              <w:top w:val="nil"/>
              <w:left w:val="nil"/>
              <w:bottom w:val="nil"/>
              <w:right w:val="nil"/>
            </w:tcBorders>
            <w:shd w:val="clear" w:color="auto" w:fill="auto"/>
            <w:vAlign w:val="center"/>
            <w:hideMark/>
          </w:tcPr>
          <w:p w14:paraId="2A77569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3F41FF6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0,1%</w:t>
            </w:r>
          </w:p>
        </w:tc>
        <w:tc>
          <w:tcPr>
            <w:tcW w:w="760" w:type="dxa"/>
            <w:tcBorders>
              <w:top w:val="nil"/>
              <w:left w:val="nil"/>
              <w:bottom w:val="nil"/>
              <w:right w:val="nil"/>
            </w:tcBorders>
            <w:shd w:val="clear" w:color="auto" w:fill="auto"/>
            <w:vAlign w:val="center"/>
            <w:hideMark/>
          </w:tcPr>
          <w:p w14:paraId="61F0DC4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7,4%</w:t>
            </w:r>
          </w:p>
        </w:tc>
      </w:tr>
      <w:tr w:rsidR="00310604" w:rsidRPr="00310604" w14:paraId="781F8C96" w14:textId="77777777" w:rsidTr="00310604">
        <w:trPr>
          <w:trHeight w:val="255"/>
        </w:trPr>
        <w:tc>
          <w:tcPr>
            <w:tcW w:w="3060" w:type="dxa"/>
            <w:tcBorders>
              <w:top w:val="nil"/>
              <w:left w:val="nil"/>
              <w:bottom w:val="nil"/>
              <w:right w:val="nil"/>
            </w:tcBorders>
            <w:shd w:val="clear" w:color="auto" w:fill="auto"/>
            <w:vAlign w:val="bottom"/>
            <w:hideMark/>
          </w:tcPr>
          <w:p w14:paraId="26DEA67D"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Forfaits touristiques</w:t>
            </w:r>
          </w:p>
        </w:tc>
        <w:tc>
          <w:tcPr>
            <w:tcW w:w="620" w:type="dxa"/>
            <w:tcBorders>
              <w:top w:val="nil"/>
              <w:left w:val="nil"/>
              <w:bottom w:val="nil"/>
              <w:right w:val="nil"/>
            </w:tcBorders>
            <w:shd w:val="clear" w:color="auto" w:fill="auto"/>
            <w:noWrap/>
            <w:vAlign w:val="center"/>
            <w:hideMark/>
          </w:tcPr>
          <w:p w14:paraId="46A5E25A"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77</w:t>
            </w:r>
          </w:p>
        </w:tc>
        <w:tc>
          <w:tcPr>
            <w:tcW w:w="804" w:type="dxa"/>
            <w:tcBorders>
              <w:top w:val="nil"/>
              <w:left w:val="nil"/>
              <w:bottom w:val="nil"/>
              <w:right w:val="nil"/>
            </w:tcBorders>
            <w:shd w:val="clear" w:color="auto" w:fill="auto"/>
            <w:noWrap/>
            <w:vAlign w:val="center"/>
            <w:hideMark/>
          </w:tcPr>
          <w:p w14:paraId="64E9617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128,5</w:t>
            </w:r>
          </w:p>
        </w:tc>
        <w:tc>
          <w:tcPr>
            <w:tcW w:w="694" w:type="dxa"/>
            <w:tcBorders>
              <w:top w:val="nil"/>
              <w:left w:val="nil"/>
              <w:bottom w:val="nil"/>
              <w:right w:val="nil"/>
            </w:tcBorders>
            <w:shd w:val="clear" w:color="auto" w:fill="auto"/>
            <w:noWrap/>
            <w:vAlign w:val="center"/>
            <w:hideMark/>
          </w:tcPr>
          <w:p w14:paraId="684D436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181,7</w:t>
            </w:r>
          </w:p>
        </w:tc>
        <w:tc>
          <w:tcPr>
            <w:tcW w:w="755" w:type="dxa"/>
            <w:tcBorders>
              <w:top w:val="nil"/>
              <w:left w:val="nil"/>
              <w:bottom w:val="nil"/>
              <w:right w:val="nil"/>
            </w:tcBorders>
            <w:shd w:val="clear" w:color="auto" w:fill="auto"/>
            <w:noWrap/>
            <w:vAlign w:val="center"/>
            <w:hideMark/>
          </w:tcPr>
          <w:p w14:paraId="7720E96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181,7</w:t>
            </w:r>
          </w:p>
        </w:tc>
        <w:tc>
          <w:tcPr>
            <w:tcW w:w="743" w:type="dxa"/>
            <w:tcBorders>
              <w:top w:val="nil"/>
              <w:left w:val="nil"/>
              <w:bottom w:val="nil"/>
              <w:right w:val="nil"/>
            </w:tcBorders>
            <w:shd w:val="clear" w:color="auto" w:fill="auto"/>
            <w:noWrap/>
            <w:vAlign w:val="center"/>
            <w:hideMark/>
          </w:tcPr>
          <w:p w14:paraId="44A77D85"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181,5</w:t>
            </w:r>
          </w:p>
        </w:tc>
        <w:tc>
          <w:tcPr>
            <w:tcW w:w="804" w:type="dxa"/>
            <w:tcBorders>
              <w:top w:val="nil"/>
              <w:left w:val="nil"/>
              <w:bottom w:val="nil"/>
              <w:right w:val="nil"/>
            </w:tcBorders>
            <w:shd w:val="clear" w:color="auto" w:fill="auto"/>
            <w:noWrap/>
            <w:vAlign w:val="center"/>
            <w:hideMark/>
          </w:tcPr>
          <w:p w14:paraId="6887347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181,5</w:t>
            </w:r>
          </w:p>
        </w:tc>
        <w:tc>
          <w:tcPr>
            <w:tcW w:w="760" w:type="dxa"/>
            <w:tcBorders>
              <w:top w:val="nil"/>
              <w:left w:val="nil"/>
              <w:bottom w:val="nil"/>
              <w:right w:val="nil"/>
            </w:tcBorders>
            <w:shd w:val="clear" w:color="auto" w:fill="auto"/>
            <w:vAlign w:val="center"/>
            <w:hideMark/>
          </w:tcPr>
          <w:p w14:paraId="25F4178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2036E07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-0,1%</w:t>
            </w:r>
          </w:p>
        </w:tc>
        <w:tc>
          <w:tcPr>
            <w:tcW w:w="760" w:type="dxa"/>
            <w:tcBorders>
              <w:top w:val="nil"/>
              <w:left w:val="nil"/>
              <w:bottom w:val="nil"/>
              <w:right w:val="nil"/>
            </w:tcBorders>
            <w:shd w:val="clear" w:color="auto" w:fill="auto"/>
            <w:vAlign w:val="center"/>
            <w:hideMark/>
          </w:tcPr>
          <w:p w14:paraId="744E3A4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41,2%</w:t>
            </w:r>
          </w:p>
        </w:tc>
      </w:tr>
      <w:tr w:rsidR="00310604" w:rsidRPr="006071D4" w14:paraId="0884FE98" w14:textId="77777777" w:rsidTr="00310604">
        <w:trPr>
          <w:trHeight w:val="300"/>
        </w:trPr>
        <w:tc>
          <w:tcPr>
            <w:tcW w:w="3060" w:type="dxa"/>
            <w:tcBorders>
              <w:top w:val="nil"/>
              <w:left w:val="nil"/>
              <w:bottom w:val="nil"/>
              <w:right w:val="nil"/>
            </w:tcBorders>
            <w:shd w:val="clear" w:color="000000" w:fill="D9E1F2"/>
            <w:vAlign w:val="bottom"/>
            <w:hideMark/>
          </w:tcPr>
          <w:p w14:paraId="6D6156FE"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Enseignement</w:t>
            </w:r>
          </w:p>
        </w:tc>
        <w:tc>
          <w:tcPr>
            <w:tcW w:w="620" w:type="dxa"/>
            <w:tcBorders>
              <w:top w:val="nil"/>
              <w:left w:val="nil"/>
              <w:bottom w:val="nil"/>
              <w:right w:val="nil"/>
            </w:tcBorders>
            <w:shd w:val="clear" w:color="000000" w:fill="D9E1F2"/>
            <w:noWrap/>
            <w:vAlign w:val="center"/>
            <w:hideMark/>
          </w:tcPr>
          <w:p w14:paraId="4A533BE5"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194</w:t>
            </w:r>
          </w:p>
        </w:tc>
        <w:tc>
          <w:tcPr>
            <w:tcW w:w="804" w:type="dxa"/>
            <w:tcBorders>
              <w:top w:val="nil"/>
              <w:left w:val="nil"/>
              <w:bottom w:val="nil"/>
              <w:right w:val="nil"/>
            </w:tcBorders>
            <w:shd w:val="clear" w:color="000000" w:fill="D9E1F2"/>
            <w:noWrap/>
            <w:vAlign w:val="center"/>
            <w:hideMark/>
          </w:tcPr>
          <w:p w14:paraId="762D9023"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112,3</w:t>
            </w:r>
          </w:p>
        </w:tc>
        <w:tc>
          <w:tcPr>
            <w:tcW w:w="694" w:type="dxa"/>
            <w:tcBorders>
              <w:top w:val="nil"/>
              <w:left w:val="nil"/>
              <w:bottom w:val="nil"/>
              <w:right w:val="nil"/>
            </w:tcBorders>
            <w:shd w:val="clear" w:color="000000" w:fill="D9E1F2"/>
            <w:noWrap/>
            <w:vAlign w:val="center"/>
            <w:hideMark/>
          </w:tcPr>
          <w:p w14:paraId="4CFF87A6"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114,4</w:t>
            </w:r>
          </w:p>
        </w:tc>
        <w:tc>
          <w:tcPr>
            <w:tcW w:w="755" w:type="dxa"/>
            <w:tcBorders>
              <w:top w:val="nil"/>
              <w:left w:val="nil"/>
              <w:bottom w:val="nil"/>
              <w:right w:val="nil"/>
            </w:tcBorders>
            <w:shd w:val="clear" w:color="000000" w:fill="D9E1F2"/>
            <w:noWrap/>
            <w:vAlign w:val="center"/>
            <w:hideMark/>
          </w:tcPr>
          <w:p w14:paraId="0203CBBE"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114,4</w:t>
            </w:r>
          </w:p>
        </w:tc>
        <w:tc>
          <w:tcPr>
            <w:tcW w:w="743" w:type="dxa"/>
            <w:tcBorders>
              <w:top w:val="nil"/>
              <w:left w:val="nil"/>
              <w:bottom w:val="nil"/>
              <w:right w:val="nil"/>
            </w:tcBorders>
            <w:shd w:val="clear" w:color="000000" w:fill="D9E1F2"/>
            <w:noWrap/>
            <w:vAlign w:val="center"/>
            <w:hideMark/>
          </w:tcPr>
          <w:p w14:paraId="66ABE2BB"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114,4</w:t>
            </w:r>
          </w:p>
        </w:tc>
        <w:tc>
          <w:tcPr>
            <w:tcW w:w="804" w:type="dxa"/>
            <w:tcBorders>
              <w:top w:val="nil"/>
              <w:left w:val="nil"/>
              <w:bottom w:val="nil"/>
              <w:right w:val="nil"/>
            </w:tcBorders>
            <w:shd w:val="clear" w:color="000000" w:fill="D9E1F2"/>
            <w:noWrap/>
            <w:vAlign w:val="center"/>
            <w:hideMark/>
          </w:tcPr>
          <w:p w14:paraId="6B260E4E"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114,4</w:t>
            </w:r>
          </w:p>
        </w:tc>
        <w:tc>
          <w:tcPr>
            <w:tcW w:w="760" w:type="dxa"/>
            <w:tcBorders>
              <w:top w:val="nil"/>
              <w:left w:val="nil"/>
              <w:bottom w:val="nil"/>
              <w:right w:val="nil"/>
            </w:tcBorders>
            <w:shd w:val="clear" w:color="000000" w:fill="D9E1F2"/>
            <w:vAlign w:val="center"/>
            <w:hideMark/>
          </w:tcPr>
          <w:p w14:paraId="2DFFA62C"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0,0%</w:t>
            </w:r>
          </w:p>
        </w:tc>
        <w:tc>
          <w:tcPr>
            <w:tcW w:w="760" w:type="dxa"/>
            <w:tcBorders>
              <w:top w:val="nil"/>
              <w:left w:val="nil"/>
              <w:bottom w:val="nil"/>
              <w:right w:val="nil"/>
            </w:tcBorders>
            <w:shd w:val="clear" w:color="000000" w:fill="D9E1F2"/>
            <w:vAlign w:val="center"/>
            <w:hideMark/>
          </w:tcPr>
          <w:p w14:paraId="4396A5C0"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0,0%</w:t>
            </w:r>
          </w:p>
        </w:tc>
        <w:tc>
          <w:tcPr>
            <w:tcW w:w="760" w:type="dxa"/>
            <w:tcBorders>
              <w:top w:val="nil"/>
              <w:left w:val="nil"/>
              <w:bottom w:val="nil"/>
              <w:right w:val="nil"/>
            </w:tcBorders>
            <w:shd w:val="clear" w:color="000000" w:fill="D9E1F2"/>
            <w:vAlign w:val="center"/>
            <w:hideMark/>
          </w:tcPr>
          <w:p w14:paraId="05618055"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1,9%</w:t>
            </w:r>
          </w:p>
        </w:tc>
      </w:tr>
      <w:tr w:rsidR="00310604" w:rsidRPr="00310604" w14:paraId="2F976195" w14:textId="77777777" w:rsidTr="00310604">
        <w:trPr>
          <w:trHeight w:val="255"/>
        </w:trPr>
        <w:tc>
          <w:tcPr>
            <w:tcW w:w="3060" w:type="dxa"/>
            <w:tcBorders>
              <w:top w:val="nil"/>
              <w:left w:val="nil"/>
              <w:bottom w:val="nil"/>
              <w:right w:val="nil"/>
            </w:tcBorders>
            <w:shd w:val="clear" w:color="auto" w:fill="auto"/>
            <w:vAlign w:val="bottom"/>
            <w:hideMark/>
          </w:tcPr>
          <w:p w14:paraId="7127CC28"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 xml:space="preserve">Enseignement </w:t>
            </w:r>
            <w:proofErr w:type="spellStart"/>
            <w:r w:rsidRPr="00310604">
              <w:rPr>
                <w:rFonts w:ascii="Arial" w:eastAsia="Times New Roman" w:hAnsi="Arial" w:cs="Arial"/>
                <w:sz w:val="16"/>
                <w:szCs w:val="16"/>
                <w:lang w:val="fr-SN" w:eastAsia="fr-SN"/>
              </w:rPr>
              <w:t>pré-élémentaire</w:t>
            </w:r>
            <w:proofErr w:type="spellEnd"/>
            <w:r w:rsidRPr="00310604">
              <w:rPr>
                <w:rFonts w:ascii="Arial" w:eastAsia="Times New Roman" w:hAnsi="Arial" w:cs="Arial"/>
                <w:sz w:val="16"/>
                <w:szCs w:val="16"/>
                <w:lang w:val="fr-SN" w:eastAsia="fr-SN"/>
              </w:rPr>
              <w:t xml:space="preserve"> et primaire</w:t>
            </w:r>
          </w:p>
        </w:tc>
        <w:tc>
          <w:tcPr>
            <w:tcW w:w="620" w:type="dxa"/>
            <w:tcBorders>
              <w:top w:val="nil"/>
              <w:left w:val="nil"/>
              <w:bottom w:val="nil"/>
              <w:right w:val="nil"/>
            </w:tcBorders>
            <w:shd w:val="clear" w:color="auto" w:fill="auto"/>
            <w:noWrap/>
            <w:vAlign w:val="center"/>
            <w:hideMark/>
          </w:tcPr>
          <w:p w14:paraId="1ED00A8D"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73</w:t>
            </w:r>
          </w:p>
        </w:tc>
        <w:tc>
          <w:tcPr>
            <w:tcW w:w="804" w:type="dxa"/>
            <w:tcBorders>
              <w:top w:val="nil"/>
              <w:left w:val="nil"/>
              <w:bottom w:val="nil"/>
              <w:right w:val="nil"/>
            </w:tcBorders>
            <w:shd w:val="clear" w:color="auto" w:fill="auto"/>
            <w:noWrap/>
            <w:vAlign w:val="center"/>
            <w:hideMark/>
          </w:tcPr>
          <w:p w14:paraId="2E318BF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114,5</w:t>
            </w:r>
          </w:p>
        </w:tc>
        <w:tc>
          <w:tcPr>
            <w:tcW w:w="694" w:type="dxa"/>
            <w:tcBorders>
              <w:top w:val="nil"/>
              <w:left w:val="nil"/>
              <w:bottom w:val="nil"/>
              <w:right w:val="nil"/>
            </w:tcBorders>
            <w:shd w:val="clear" w:color="auto" w:fill="auto"/>
            <w:noWrap/>
            <w:vAlign w:val="center"/>
            <w:hideMark/>
          </w:tcPr>
          <w:p w14:paraId="3DD3DDF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116,5</w:t>
            </w:r>
          </w:p>
        </w:tc>
        <w:tc>
          <w:tcPr>
            <w:tcW w:w="755" w:type="dxa"/>
            <w:tcBorders>
              <w:top w:val="nil"/>
              <w:left w:val="nil"/>
              <w:bottom w:val="nil"/>
              <w:right w:val="nil"/>
            </w:tcBorders>
            <w:shd w:val="clear" w:color="auto" w:fill="auto"/>
            <w:noWrap/>
            <w:vAlign w:val="center"/>
            <w:hideMark/>
          </w:tcPr>
          <w:p w14:paraId="03F75F5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116,5</w:t>
            </w:r>
          </w:p>
        </w:tc>
        <w:tc>
          <w:tcPr>
            <w:tcW w:w="743" w:type="dxa"/>
            <w:tcBorders>
              <w:top w:val="nil"/>
              <w:left w:val="nil"/>
              <w:bottom w:val="nil"/>
              <w:right w:val="nil"/>
            </w:tcBorders>
            <w:shd w:val="clear" w:color="auto" w:fill="auto"/>
            <w:noWrap/>
            <w:vAlign w:val="center"/>
            <w:hideMark/>
          </w:tcPr>
          <w:p w14:paraId="44125EA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116,5</w:t>
            </w:r>
          </w:p>
        </w:tc>
        <w:tc>
          <w:tcPr>
            <w:tcW w:w="804" w:type="dxa"/>
            <w:tcBorders>
              <w:top w:val="nil"/>
              <w:left w:val="nil"/>
              <w:bottom w:val="nil"/>
              <w:right w:val="nil"/>
            </w:tcBorders>
            <w:shd w:val="clear" w:color="auto" w:fill="auto"/>
            <w:noWrap/>
            <w:vAlign w:val="center"/>
            <w:hideMark/>
          </w:tcPr>
          <w:p w14:paraId="0FC728A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116,5</w:t>
            </w:r>
          </w:p>
        </w:tc>
        <w:tc>
          <w:tcPr>
            <w:tcW w:w="760" w:type="dxa"/>
            <w:tcBorders>
              <w:top w:val="nil"/>
              <w:left w:val="nil"/>
              <w:bottom w:val="nil"/>
              <w:right w:val="nil"/>
            </w:tcBorders>
            <w:shd w:val="clear" w:color="auto" w:fill="auto"/>
            <w:vAlign w:val="center"/>
            <w:hideMark/>
          </w:tcPr>
          <w:p w14:paraId="666E862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391D3B9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3183FD4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1,8%</w:t>
            </w:r>
          </w:p>
        </w:tc>
      </w:tr>
      <w:tr w:rsidR="00310604" w:rsidRPr="00310604" w14:paraId="6E27A07A" w14:textId="77777777" w:rsidTr="00310604">
        <w:trPr>
          <w:trHeight w:val="300"/>
        </w:trPr>
        <w:tc>
          <w:tcPr>
            <w:tcW w:w="3060" w:type="dxa"/>
            <w:tcBorders>
              <w:top w:val="nil"/>
              <w:left w:val="nil"/>
              <w:bottom w:val="nil"/>
              <w:right w:val="nil"/>
            </w:tcBorders>
            <w:shd w:val="clear" w:color="auto" w:fill="auto"/>
            <w:vAlign w:val="bottom"/>
            <w:hideMark/>
          </w:tcPr>
          <w:p w14:paraId="5D876918"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Enseignement secondaire</w:t>
            </w:r>
          </w:p>
        </w:tc>
        <w:tc>
          <w:tcPr>
            <w:tcW w:w="620" w:type="dxa"/>
            <w:tcBorders>
              <w:top w:val="nil"/>
              <w:left w:val="nil"/>
              <w:bottom w:val="nil"/>
              <w:right w:val="nil"/>
            </w:tcBorders>
            <w:shd w:val="clear" w:color="auto" w:fill="auto"/>
            <w:noWrap/>
            <w:vAlign w:val="center"/>
            <w:hideMark/>
          </w:tcPr>
          <w:p w14:paraId="2ED7A100"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55</w:t>
            </w:r>
          </w:p>
        </w:tc>
        <w:tc>
          <w:tcPr>
            <w:tcW w:w="804" w:type="dxa"/>
            <w:tcBorders>
              <w:top w:val="nil"/>
              <w:left w:val="nil"/>
              <w:bottom w:val="nil"/>
              <w:right w:val="nil"/>
            </w:tcBorders>
            <w:shd w:val="clear" w:color="auto" w:fill="auto"/>
            <w:noWrap/>
            <w:vAlign w:val="center"/>
            <w:hideMark/>
          </w:tcPr>
          <w:p w14:paraId="21484A5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111,0</w:t>
            </w:r>
          </w:p>
        </w:tc>
        <w:tc>
          <w:tcPr>
            <w:tcW w:w="694" w:type="dxa"/>
            <w:tcBorders>
              <w:top w:val="nil"/>
              <w:left w:val="nil"/>
              <w:bottom w:val="nil"/>
              <w:right w:val="nil"/>
            </w:tcBorders>
            <w:shd w:val="clear" w:color="auto" w:fill="auto"/>
            <w:noWrap/>
            <w:vAlign w:val="center"/>
            <w:hideMark/>
          </w:tcPr>
          <w:p w14:paraId="6D583D5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111,8</w:t>
            </w:r>
          </w:p>
        </w:tc>
        <w:tc>
          <w:tcPr>
            <w:tcW w:w="755" w:type="dxa"/>
            <w:tcBorders>
              <w:top w:val="nil"/>
              <w:left w:val="nil"/>
              <w:bottom w:val="nil"/>
              <w:right w:val="nil"/>
            </w:tcBorders>
            <w:shd w:val="clear" w:color="auto" w:fill="auto"/>
            <w:noWrap/>
            <w:vAlign w:val="center"/>
            <w:hideMark/>
          </w:tcPr>
          <w:p w14:paraId="6D3762F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111,8</w:t>
            </w:r>
          </w:p>
        </w:tc>
        <w:tc>
          <w:tcPr>
            <w:tcW w:w="743" w:type="dxa"/>
            <w:tcBorders>
              <w:top w:val="nil"/>
              <w:left w:val="nil"/>
              <w:bottom w:val="nil"/>
              <w:right w:val="nil"/>
            </w:tcBorders>
            <w:shd w:val="clear" w:color="auto" w:fill="auto"/>
            <w:noWrap/>
            <w:vAlign w:val="center"/>
            <w:hideMark/>
          </w:tcPr>
          <w:p w14:paraId="00DB941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111,8</w:t>
            </w:r>
          </w:p>
        </w:tc>
        <w:tc>
          <w:tcPr>
            <w:tcW w:w="804" w:type="dxa"/>
            <w:tcBorders>
              <w:top w:val="nil"/>
              <w:left w:val="nil"/>
              <w:bottom w:val="nil"/>
              <w:right w:val="nil"/>
            </w:tcBorders>
            <w:shd w:val="clear" w:color="auto" w:fill="auto"/>
            <w:noWrap/>
            <w:vAlign w:val="center"/>
            <w:hideMark/>
          </w:tcPr>
          <w:p w14:paraId="02CCF66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111,8</w:t>
            </w:r>
          </w:p>
        </w:tc>
        <w:tc>
          <w:tcPr>
            <w:tcW w:w="760" w:type="dxa"/>
            <w:tcBorders>
              <w:top w:val="nil"/>
              <w:left w:val="nil"/>
              <w:bottom w:val="nil"/>
              <w:right w:val="nil"/>
            </w:tcBorders>
            <w:shd w:val="clear" w:color="auto" w:fill="auto"/>
            <w:vAlign w:val="center"/>
            <w:hideMark/>
          </w:tcPr>
          <w:p w14:paraId="0C164C5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4E7AEF3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5D38FBF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0,8%</w:t>
            </w:r>
          </w:p>
        </w:tc>
      </w:tr>
      <w:tr w:rsidR="00310604" w:rsidRPr="00310604" w14:paraId="446133E4" w14:textId="77777777" w:rsidTr="00310604">
        <w:trPr>
          <w:trHeight w:val="255"/>
        </w:trPr>
        <w:tc>
          <w:tcPr>
            <w:tcW w:w="3060" w:type="dxa"/>
            <w:tcBorders>
              <w:top w:val="nil"/>
              <w:left w:val="nil"/>
              <w:bottom w:val="nil"/>
              <w:right w:val="nil"/>
            </w:tcBorders>
            <w:shd w:val="clear" w:color="auto" w:fill="auto"/>
            <w:vAlign w:val="bottom"/>
            <w:hideMark/>
          </w:tcPr>
          <w:p w14:paraId="01444F6D"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Enseignement supérieur</w:t>
            </w:r>
          </w:p>
        </w:tc>
        <w:tc>
          <w:tcPr>
            <w:tcW w:w="620" w:type="dxa"/>
            <w:tcBorders>
              <w:top w:val="nil"/>
              <w:left w:val="nil"/>
              <w:bottom w:val="nil"/>
              <w:right w:val="nil"/>
            </w:tcBorders>
            <w:shd w:val="clear" w:color="auto" w:fill="auto"/>
            <w:noWrap/>
            <w:vAlign w:val="center"/>
            <w:hideMark/>
          </w:tcPr>
          <w:p w14:paraId="34A7B9AD"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2</w:t>
            </w:r>
          </w:p>
        </w:tc>
        <w:tc>
          <w:tcPr>
            <w:tcW w:w="804" w:type="dxa"/>
            <w:tcBorders>
              <w:top w:val="nil"/>
              <w:left w:val="nil"/>
              <w:bottom w:val="nil"/>
              <w:right w:val="nil"/>
            </w:tcBorders>
            <w:shd w:val="clear" w:color="auto" w:fill="auto"/>
            <w:noWrap/>
            <w:vAlign w:val="center"/>
            <w:hideMark/>
          </w:tcPr>
          <w:p w14:paraId="218AFAB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117,1</w:t>
            </w:r>
          </w:p>
        </w:tc>
        <w:tc>
          <w:tcPr>
            <w:tcW w:w="694" w:type="dxa"/>
            <w:tcBorders>
              <w:top w:val="nil"/>
              <w:left w:val="nil"/>
              <w:bottom w:val="nil"/>
              <w:right w:val="nil"/>
            </w:tcBorders>
            <w:shd w:val="clear" w:color="auto" w:fill="auto"/>
            <w:noWrap/>
            <w:vAlign w:val="center"/>
            <w:hideMark/>
          </w:tcPr>
          <w:p w14:paraId="6BC10DC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119,2</w:t>
            </w:r>
          </w:p>
        </w:tc>
        <w:tc>
          <w:tcPr>
            <w:tcW w:w="755" w:type="dxa"/>
            <w:tcBorders>
              <w:top w:val="nil"/>
              <w:left w:val="nil"/>
              <w:bottom w:val="nil"/>
              <w:right w:val="nil"/>
            </w:tcBorders>
            <w:shd w:val="clear" w:color="auto" w:fill="auto"/>
            <w:noWrap/>
            <w:vAlign w:val="center"/>
            <w:hideMark/>
          </w:tcPr>
          <w:p w14:paraId="683AF5A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119,2</w:t>
            </w:r>
          </w:p>
        </w:tc>
        <w:tc>
          <w:tcPr>
            <w:tcW w:w="743" w:type="dxa"/>
            <w:tcBorders>
              <w:top w:val="nil"/>
              <w:left w:val="nil"/>
              <w:bottom w:val="nil"/>
              <w:right w:val="nil"/>
            </w:tcBorders>
            <w:shd w:val="clear" w:color="auto" w:fill="auto"/>
            <w:noWrap/>
            <w:vAlign w:val="center"/>
            <w:hideMark/>
          </w:tcPr>
          <w:p w14:paraId="38EE11A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119,2</w:t>
            </w:r>
          </w:p>
        </w:tc>
        <w:tc>
          <w:tcPr>
            <w:tcW w:w="804" w:type="dxa"/>
            <w:tcBorders>
              <w:top w:val="nil"/>
              <w:left w:val="nil"/>
              <w:bottom w:val="nil"/>
              <w:right w:val="nil"/>
            </w:tcBorders>
            <w:shd w:val="clear" w:color="auto" w:fill="auto"/>
            <w:noWrap/>
            <w:vAlign w:val="center"/>
            <w:hideMark/>
          </w:tcPr>
          <w:p w14:paraId="202830A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119,2</w:t>
            </w:r>
          </w:p>
        </w:tc>
        <w:tc>
          <w:tcPr>
            <w:tcW w:w="760" w:type="dxa"/>
            <w:tcBorders>
              <w:top w:val="nil"/>
              <w:left w:val="nil"/>
              <w:bottom w:val="nil"/>
              <w:right w:val="nil"/>
            </w:tcBorders>
            <w:shd w:val="clear" w:color="auto" w:fill="auto"/>
            <w:vAlign w:val="center"/>
            <w:hideMark/>
          </w:tcPr>
          <w:p w14:paraId="40DF293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4C3E20A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0677FE3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1,7%</w:t>
            </w:r>
          </w:p>
        </w:tc>
      </w:tr>
      <w:tr w:rsidR="00310604" w:rsidRPr="00310604" w14:paraId="15650938" w14:textId="77777777" w:rsidTr="00310604">
        <w:trPr>
          <w:trHeight w:val="510"/>
        </w:trPr>
        <w:tc>
          <w:tcPr>
            <w:tcW w:w="3060" w:type="dxa"/>
            <w:tcBorders>
              <w:top w:val="nil"/>
              <w:left w:val="nil"/>
              <w:bottom w:val="nil"/>
              <w:right w:val="nil"/>
            </w:tcBorders>
            <w:shd w:val="clear" w:color="auto" w:fill="auto"/>
            <w:vAlign w:val="bottom"/>
            <w:hideMark/>
          </w:tcPr>
          <w:p w14:paraId="6010817A"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Enseignement post-secondaire non supérieur et Enseignement non défini par niveau</w:t>
            </w:r>
          </w:p>
        </w:tc>
        <w:tc>
          <w:tcPr>
            <w:tcW w:w="620" w:type="dxa"/>
            <w:tcBorders>
              <w:top w:val="nil"/>
              <w:left w:val="nil"/>
              <w:bottom w:val="nil"/>
              <w:right w:val="nil"/>
            </w:tcBorders>
            <w:shd w:val="clear" w:color="auto" w:fill="auto"/>
            <w:noWrap/>
            <w:vAlign w:val="center"/>
            <w:hideMark/>
          </w:tcPr>
          <w:p w14:paraId="74440261"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64</w:t>
            </w:r>
          </w:p>
        </w:tc>
        <w:tc>
          <w:tcPr>
            <w:tcW w:w="804" w:type="dxa"/>
            <w:tcBorders>
              <w:top w:val="nil"/>
              <w:left w:val="nil"/>
              <w:bottom w:val="nil"/>
              <w:right w:val="nil"/>
            </w:tcBorders>
            <w:shd w:val="clear" w:color="auto" w:fill="auto"/>
            <w:noWrap/>
            <w:vAlign w:val="center"/>
            <w:hideMark/>
          </w:tcPr>
          <w:p w14:paraId="701C340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107,8</w:t>
            </w:r>
          </w:p>
        </w:tc>
        <w:tc>
          <w:tcPr>
            <w:tcW w:w="694" w:type="dxa"/>
            <w:tcBorders>
              <w:top w:val="nil"/>
              <w:left w:val="nil"/>
              <w:bottom w:val="nil"/>
              <w:right w:val="nil"/>
            </w:tcBorders>
            <w:shd w:val="clear" w:color="auto" w:fill="auto"/>
            <w:noWrap/>
            <w:vAlign w:val="center"/>
            <w:hideMark/>
          </w:tcPr>
          <w:p w14:paraId="0503F27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114,2</w:t>
            </w:r>
          </w:p>
        </w:tc>
        <w:tc>
          <w:tcPr>
            <w:tcW w:w="755" w:type="dxa"/>
            <w:tcBorders>
              <w:top w:val="nil"/>
              <w:left w:val="nil"/>
              <w:bottom w:val="nil"/>
              <w:right w:val="nil"/>
            </w:tcBorders>
            <w:shd w:val="clear" w:color="auto" w:fill="auto"/>
            <w:noWrap/>
            <w:vAlign w:val="center"/>
            <w:hideMark/>
          </w:tcPr>
          <w:p w14:paraId="0378981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114,2</w:t>
            </w:r>
          </w:p>
        </w:tc>
        <w:tc>
          <w:tcPr>
            <w:tcW w:w="743" w:type="dxa"/>
            <w:tcBorders>
              <w:top w:val="nil"/>
              <w:left w:val="nil"/>
              <w:bottom w:val="nil"/>
              <w:right w:val="nil"/>
            </w:tcBorders>
            <w:shd w:val="clear" w:color="auto" w:fill="auto"/>
            <w:noWrap/>
            <w:vAlign w:val="center"/>
            <w:hideMark/>
          </w:tcPr>
          <w:p w14:paraId="446E94C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114,2</w:t>
            </w:r>
          </w:p>
        </w:tc>
        <w:tc>
          <w:tcPr>
            <w:tcW w:w="804" w:type="dxa"/>
            <w:tcBorders>
              <w:top w:val="nil"/>
              <w:left w:val="nil"/>
              <w:bottom w:val="nil"/>
              <w:right w:val="nil"/>
            </w:tcBorders>
            <w:shd w:val="clear" w:color="auto" w:fill="auto"/>
            <w:noWrap/>
            <w:vAlign w:val="center"/>
            <w:hideMark/>
          </w:tcPr>
          <w:p w14:paraId="614F410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114,2</w:t>
            </w:r>
          </w:p>
        </w:tc>
        <w:tc>
          <w:tcPr>
            <w:tcW w:w="760" w:type="dxa"/>
            <w:tcBorders>
              <w:top w:val="nil"/>
              <w:left w:val="nil"/>
              <w:bottom w:val="nil"/>
              <w:right w:val="nil"/>
            </w:tcBorders>
            <w:shd w:val="clear" w:color="auto" w:fill="auto"/>
            <w:vAlign w:val="center"/>
            <w:hideMark/>
          </w:tcPr>
          <w:p w14:paraId="387EB17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6F6AE8B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736F719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5,9%</w:t>
            </w:r>
          </w:p>
        </w:tc>
      </w:tr>
      <w:tr w:rsidR="00310604" w:rsidRPr="006071D4" w14:paraId="5FC28F67" w14:textId="77777777" w:rsidTr="00310604">
        <w:trPr>
          <w:trHeight w:val="255"/>
        </w:trPr>
        <w:tc>
          <w:tcPr>
            <w:tcW w:w="3060" w:type="dxa"/>
            <w:tcBorders>
              <w:top w:val="nil"/>
              <w:left w:val="nil"/>
              <w:bottom w:val="nil"/>
              <w:right w:val="nil"/>
            </w:tcBorders>
            <w:shd w:val="clear" w:color="000000" w:fill="D9E1F2"/>
            <w:vAlign w:val="bottom"/>
            <w:hideMark/>
          </w:tcPr>
          <w:p w14:paraId="601F63B6"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Restaurants et Hôtels</w:t>
            </w:r>
          </w:p>
        </w:tc>
        <w:tc>
          <w:tcPr>
            <w:tcW w:w="620" w:type="dxa"/>
            <w:tcBorders>
              <w:top w:val="nil"/>
              <w:left w:val="nil"/>
              <w:bottom w:val="nil"/>
              <w:right w:val="nil"/>
            </w:tcBorders>
            <w:shd w:val="clear" w:color="000000" w:fill="D9E1F2"/>
            <w:noWrap/>
            <w:vAlign w:val="center"/>
            <w:hideMark/>
          </w:tcPr>
          <w:p w14:paraId="2F412A10"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376</w:t>
            </w:r>
          </w:p>
        </w:tc>
        <w:tc>
          <w:tcPr>
            <w:tcW w:w="804" w:type="dxa"/>
            <w:tcBorders>
              <w:top w:val="nil"/>
              <w:left w:val="nil"/>
              <w:bottom w:val="nil"/>
              <w:right w:val="nil"/>
            </w:tcBorders>
            <w:shd w:val="clear" w:color="000000" w:fill="D9E1F2"/>
            <w:noWrap/>
            <w:vAlign w:val="center"/>
            <w:hideMark/>
          </w:tcPr>
          <w:p w14:paraId="71F785B2"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110,8</w:t>
            </w:r>
          </w:p>
        </w:tc>
        <w:tc>
          <w:tcPr>
            <w:tcW w:w="694" w:type="dxa"/>
            <w:tcBorders>
              <w:top w:val="nil"/>
              <w:left w:val="nil"/>
              <w:bottom w:val="nil"/>
              <w:right w:val="nil"/>
            </w:tcBorders>
            <w:shd w:val="clear" w:color="000000" w:fill="D9E1F2"/>
            <w:noWrap/>
            <w:vAlign w:val="center"/>
            <w:hideMark/>
          </w:tcPr>
          <w:p w14:paraId="3FD0EE5B"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117,6</w:t>
            </w:r>
          </w:p>
        </w:tc>
        <w:tc>
          <w:tcPr>
            <w:tcW w:w="755" w:type="dxa"/>
            <w:tcBorders>
              <w:top w:val="nil"/>
              <w:left w:val="nil"/>
              <w:bottom w:val="nil"/>
              <w:right w:val="nil"/>
            </w:tcBorders>
            <w:shd w:val="clear" w:color="000000" w:fill="D9E1F2"/>
            <w:noWrap/>
            <w:vAlign w:val="center"/>
            <w:hideMark/>
          </w:tcPr>
          <w:p w14:paraId="4D54FA17"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119,8</w:t>
            </w:r>
          </w:p>
        </w:tc>
        <w:tc>
          <w:tcPr>
            <w:tcW w:w="743" w:type="dxa"/>
            <w:tcBorders>
              <w:top w:val="nil"/>
              <w:left w:val="nil"/>
              <w:bottom w:val="nil"/>
              <w:right w:val="nil"/>
            </w:tcBorders>
            <w:shd w:val="clear" w:color="000000" w:fill="D9E1F2"/>
            <w:noWrap/>
            <w:vAlign w:val="center"/>
            <w:hideMark/>
          </w:tcPr>
          <w:p w14:paraId="500B26D0"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120,2</w:t>
            </w:r>
          </w:p>
        </w:tc>
        <w:tc>
          <w:tcPr>
            <w:tcW w:w="804" w:type="dxa"/>
            <w:tcBorders>
              <w:top w:val="nil"/>
              <w:left w:val="nil"/>
              <w:bottom w:val="nil"/>
              <w:right w:val="nil"/>
            </w:tcBorders>
            <w:shd w:val="clear" w:color="000000" w:fill="D9E1F2"/>
            <w:noWrap/>
            <w:vAlign w:val="center"/>
            <w:hideMark/>
          </w:tcPr>
          <w:p w14:paraId="56DCC6F6"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121,3</w:t>
            </w:r>
          </w:p>
        </w:tc>
        <w:tc>
          <w:tcPr>
            <w:tcW w:w="760" w:type="dxa"/>
            <w:tcBorders>
              <w:top w:val="nil"/>
              <w:left w:val="nil"/>
              <w:bottom w:val="nil"/>
              <w:right w:val="nil"/>
            </w:tcBorders>
            <w:shd w:val="clear" w:color="000000" w:fill="D9E1F2"/>
            <w:vAlign w:val="center"/>
            <w:hideMark/>
          </w:tcPr>
          <w:p w14:paraId="6EC9BD8E"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w:t>
            </w:r>
          </w:p>
        </w:tc>
        <w:tc>
          <w:tcPr>
            <w:tcW w:w="760" w:type="dxa"/>
            <w:tcBorders>
              <w:top w:val="nil"/>
              <w:left w:val="nil"/>
              <w:bottom w:val="nil"/>
              <w:right w:val="nil"/>
            </w:tcBorders>
            <w:shd w:val="clear" w:color="000000" w:fill="D9E1F2"/>
            <w:vAlign w:val="center"/>
            <w:hideMark/>
          </w:tcPr>
          <w:p w14:paraId="4C79E9E5"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3,1%</w:t>
            </w:r>
          </w:p>
        </w:tc>
        <w:tc>
          <w:tcPr>
            <w:tcW w:w="760" w:type="dxa"/>
            <w:tcBorders>
              <w:top w:val="nil"/>
              <w:left w:val="nil"/>
              <w:bottom w:val="nil"/>
              <w:right w:val="nil"/>
            </w:tcBorders>
            <w:shd w:val="clear" w:color="000000" w:fill="D9E1F2"/>
            <w:vAlign w:val="center"/>
            <w:hideMark/>
          </w:tcPr>
          <w:p w14:paraId="7C0ED306"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9,5%</w:t>
            </w:r>
          </w:p>
        </w:tc>
      </w:tr>
      <w:tr w:rsidR="00310604" w:rsidRPr="00310604" w14:paraId="159CE665" w14:textId="77777777" w:rsidTr="00310604">
        <w:trPr>
          <w:trHeight w:val="255"/>
        </w:trPr>
        <w:tc>
          <w:tcPr>
            <w:tcW w:w="3060" w:type="dxa"/>
            <w:tcBorders>
              <w:top w:val="nil"/>
              <w:left w:val="nil"/>
              <w:bottom w:val="nil"/>
              <w:right w:val="nil"/>
            </w:tcBorders>
            <w:shd w:val="clear" w:color="auto" w:fill="auto"/>
            <w:vAlign w:val="bottom"/>
            <w:hideMark/>
          </w:tcPr>
          <w:p w14:paraId="460456EE"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Services de restauration</w:t>
            </w:r>
          </w:p>
        </w:tc>
        <w:tc>
          <w:tcPr>
            <w:tcW w:w="620" w:type="dxa"/>
            <w:tcBorders>
              <w:top w:val="nil"/>
              <w:left w:val="nil"/>
              <w:bottom w:val="nil"/>
              <w:right w:val="nil"/>
            </w:tcBorders>
            <w:shd w:val="clear" w:color="auto" w:fill="auto"/>
            <w:noWrap/>
            <w:vAlign w:val="center"/>
            <w:hideMark/>
          </w:tcPr>
          <w:p w14:paraId="2F87D39C"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369</w:t>
            </w:r>
          </w:p>
        </w:tc>
        <w:tc>
          <w:tcPr>
            <w:tcW w:w="804" w:type="dxa"/>
            <w:tcBorders>
              <w:top w:val="nil"/>
              <w:left w:val="nil"/>
              <w:bottom w:val="nil"/>
              <w:right w:val="nil"/>
            </w:tcBorders>
            <w:shd w:val="clear" w:color="auto" w:fill="auto"/>
            <w:noWrap/>
            <w:vAlign w:val="center"/>
            <w:hideMark/>
          </w:tcPr>
          <w:p w14:paraId="08CDD7C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110,9</w:t>
            </w:r>
          </w:p>
        </w:tc>
        <w:tc>
          <w:tcPr>
            <w:tcW w:w="694" w:type="dxa"/>
            <w:tcBorders>
              <w:top w:val="nil"/>
              <w:left w:val="nil"/>
              <w:bottom w:val="nil"/>
              <w:right w:val="nil"/>
            </w:tcBorders>
            <w:shd w:val="clear" w:color="auto" w:fill="auto"/>
            <w:noWrap/>
            <w:vAlign w:val="center"/>
            <w:hideMark/>
          </w:tcPr>
          <w:p w14:paraId="5BDB811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117,8</w:t>
            </w:r>
          </w:p>
        </w:tc>
        <w:tc>
          <w:tcPr>
            <w:tcW w:w="755" w:type="dxa"/>
            <w:tcBorders>
              <w:top w:val="nil"/>
              <w:left w:val="nil"/>
              <w:bottom w:val="nil"/>
              <w:right w:val="nil"/>
            </w:tcBorders>
            <w:shd w:val="clear" w:color="auto" w:fill="auto"/>
            <w:noWrap/>
            <w:vAlign w:val="center"/>
            <w:hideMark/>
          </w:tcPr>
          <w:p w14:paraId="0EF38DF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120,0</w:t>
            </w:r>
          </w:p>
        </w:tc>
        <w:tc>
          <w:tcPr>
            <w:tcW w:w="743" w:type="dxa"/>
            <w:tcBorders>
              <w:top w:val="nil"/>
              <w:left w:val="nil"/>
              <w:bottom w:val="nil"/>
              <w:right w:val="nil"/>
            </w:tcBorders>
            <w:shd w:val="clear" w:color="auto" w:fill="auto"/>
            <w:noWrap/>
            <w:vAlign w:val="center"/>
            <w:hideMark/>
          </w:tcPr>
          <w:p w14:paraId="309940C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120,3</w:t>
            </w:r>
          </w:p>
        </w:tc>
        <w:tc>
          <w:tcPr>
            <w:tcW w:w="804" w:type="dxa"/>
            <w:tcBorders>
              <w:top w:val="nil"/>
              <w:left w:val="nil"/>
              <w:bottom w:val="nil"/>
              <w:right w:val="nil"/>
            </w:tcBorders>
            <w:shd w:val="clear" w:color="auto" w:fill="auto"/>
            <w:noWrap/>
            <w:vAlign w:val="center"/>
            <w:hideMark/>
          </w:tcPr>
          <w:p w14:paraId="0257C1A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121,5</w:t>
            </w:r>
          </w:p>
        </w:tc>
        <w:tc>
          <w:tcPr>
            <w:tcW w:w="760" w:type="dxa"/>
            <w:tcBorders>
              <w:top w:val="nil"/>
              <w:left w:val="nil"/>
              <w:bottom w:val="nil"/>
              <w:right w:val="nil"/>
            </w:tcBorders>
            <w:shd w:val="clear" w:color="auto" w:fill="auto"/>
            <w:vAlign w:val="center"/>
            <w:hideMark/>
          </w:tcPr>
          <w:p w14:paraId="7BADF57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w:t>
            </w:r>
          </w:p>
        </w:tc>
        <w:tc>
          <w:tcPr>
            <w:tcW w:w="760" w:type="dxa"/>
            <w:tcBorders>
              <w:top w:val="nil"/>
              <w:left w:val="nil"/>
              <w:bottom w:val="nil"/>
              <w:right w:val="nil"/>
            </w:tcBorders>
            <w:shd w:val="clear" w:color="auto" w:fill="auto"/>
            <w:vAlign w:val="center"/>
            <w:hideMark/>
          </w:tcPr>
          <w:p w14:paraId="5BADE9F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3,2%</w:t>
            </w:r>
          </w:p>
        </w:tc>
        <w:tc>
          <w:tcPr>
            <w:tcW w:w="760" w:type="dxa"/>
            <w:tcBorders>
              <w:top w:val="nil"/>
              <w:left w:val="nil"/>
              <w:bottom w:val="nil"/>
              <w:right w:val="nil"/>
            </w:tcBorders>
            <w:shd w:val="clear" w:color="auto" w:fill="auto"/>
            <w:vAlign w:val="center"/>
            <w:hideMark/>
          </w:tcPr>
          <w:p w14:paraId="39F5612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9,6%</w:t>
            </w:r>
          </w:p>
        </w:tc>
      </w:tr>
      <w:tr w:rsidR="00310604" w:rsidRPr="00310604" w14:paraId="79691D4E" w14:textId="77777777" w:rsidTr="00310604">
        <w:trPr>
          <w:trHeight w:val="255"/>
        </w:trPr>
        <w:tc>
          <w:tcPr>
            <w:tcW w:w="3060" w:type="dxa"/>
            <w:tcBorders>
              <w:top w:val="nil"/>
              <w:left w:val="nil"/>
              <w:bottom w:val="nil"/>
              <w:right w:val="nil"/>
            </w:tcBorders>
            <w:shd w:val="clear" w:color="auto" w:fill="auto"/>
            <w:vAlign w:val="bottom"/>
            <w:hideMark/>
          </w:tcPr>
          <w:p w14:paraId="3F3F6045"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Services d'hébergement</w:t>
            </w:r>
          </w:p>
        </w:tc>
        <w:tc>
          <w:tcPr>
            <w:tcW w:w="620" w:type="dxa"/>
            <w:tcBorders>
              <w:top w:val="nil"/>
              <w:left w:val="nil"/>
              <w:bottom w:val="nil"/>
              <w:right w:val="nil"/>
            </w:tcBorders>
            <w:shd w:val="clear" w:color="auto" w:fill="auto"/>
            <w:noWrap/>
            <w:vAlign w:val="center"/>
            <w:hideMark/>
          </w:tcPr>
          <w:p w14:paraId="7D5D1E04"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7</w:t>
            </w:r>
          </w:p>
        </w:tc>
        <w:tc>
          <w:tcPr>
            <w:tcW w:w="804" w:type="dxa"/>
            <w:tcBorders>
              <w:top w:val="nil"/>
              <w:left w:val="nil"/>
              <w:bottom w:val="nil"/>
              <w:right w:val="nil"/>
            </w:tcBorders>
            <w:shd w:val="clear" w:color="auto" w:fill="auto"/>
            <w:noWrap/>
            <w:vAlign w:val="center"/>
            <w:hideMark/>
          </w:tcPr>
          <w:p w14:paraId="78556F5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106,3</w:t>
            </w:r>
          </w:p>
        </w:tc>
        <w:tc>
          <w:tcPr>
            <w:tcW w:w="694" w:type="dxa"/>
            <w:tcBorders>
              <w:top w:val="nil"/>
              <w:left w:val="nil"/>
              <w:bottom w:val="nil"/>
              <w:right w:val="nil"/>
            </w:tcBorders>
            <w:shd w:val="clear" w:color="auto" w:fill="auto"/>
            <w:noWrap/>
            <w:vAlign w:val="center"/>
            <w:hideMark/>
          </w:tcPr>
          <w:p w14:paraId="009C7DF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110,4</w:t>
            </w:r>
          </w:p>
        </w:tc>
        <w:tc>
          <w:tcPr>
            <w:tcW w:w="755" w:type="dxa"/>
            <w:tcBorders>
              <w:top w:val="nil"/>
              <w:left w:val="nil"/>
              <w:bottom w:val="nil"/>
              <w:right w:val="nil"/>
            </w:tcBorders>
            <w:shd w:val="clear" w:color="auto" w:fill="auto"/>
            <w:noWrap/>
            <w:vAlign w:val="center"/>
            <w:hideMark/>
          </w:tcPr>
          <w:p w14:paraId="0E99839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110,7</w:t>
            </w:r>
          </w:p>
        </w:tc>
        <w:tc>
          <w:tcPr>
            <w:tcW w:w="743" w:type="dxa"/>
            <w:tcBorders>
              <w:top w:val="nil"/>
              <w:left w:val="nil"/>
              <w:bottom w:val="nil"/>
              <w:right w:val="nil"/>
            </w:tcBorders>
            <w:shd w:val="clear" w:color="auto" w:fill="auto"/>
            <w:noWrap/>
            <w:vAlign w:val="center"/>
            <w:hideMark/>
          </w:tcPr>
          <w:p w14:paraId="3258F77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111,0</w:t>
            </w:r>
          </w:p>
        </w:tc>
        <w:tc>
          <w:tcPr>
            <w:tcW w:w="804" w:type="dxa"/>
            <w:tcBorders>
              <w:top w:val="nil"/>
              <w:left w:val="nil"/>
              <w:bottom w:val="nil"/>
              <w:right w:val="nil"/>
            </w:tcBorders>
            <w:shd w:val="clear" w:color="auto" w:fill="auto"/>
            <w:noWrap/>
            <w:vAlign w:val="center"/>
            <w:hideMark/>
          </w:tcPr>
          <w:p w14:paraId="1A197E0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110,6</w:t>
            </w:r>
          </w:p>
        </w:tc>
        <w:tc>
          <w:tcPr>
            <w:tcW w:w="760" w:type="dxa"/>
            <w:tcBorders>
              <w:top w:val="nil"/>
              <w:left w:val="nil"/>
              <w:bottom w:val="nil"/>
              <w:right w:val="nil"/>
            </w:tcBorders>
            <w:shd w:val="clear" w:color="auto" w:fill="auto"/>
            <w:vAlign w:val="center"/>
            <w:hideMark/>
          </w:tcPr>
          <w:p w14:paraId="5F03EDA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-0,4%</w:t>
            </w:r>
          </w:p>
        </w:tc>
        <w:tc>
          <w:tcPr>
            <w:tcW w:w="760" w:type="dxa"/>
            <w:tcBorders>
              <w:top w:val="nil"/>
              <w:left w:val="nil"/>
              <w:bottom w:val="nil"/>
              <w:right w:val="nil"/>
            </w:tcBorders>
            <w:shd w:val="clear" w:color="auto" w:fill="auto"/>
            <w:vAlign w:val="center"/>
            <w:hideMark/>
          </w:tcPr>
          <w:p w14:paraId="34C0F67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0,2%</w:t>
            </w:r>
          </w:p>
        </w:tc>
        <w:tc>
          <w:tcPr>
            <w:tcW w:w="760" w:type="dxa"/>
            <w:tcBorders>
              <w:top w:val="nil"/>
              <w:left w:val="nil"/>
              <w:bottom w:val="nil"/>
              <w:right w:val="nil"/>
            </w:tcBorders>
            <w:shd w:val="clear" w:color="auto" w:fill="auto"/>
            <w:vAlign w:val="center"/>
            <w:hideMark/>
          </w:tcPr>
          <w:p w14:paraId="69BC572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4,1%</w:t>
            </w:r>
          </w:p>
        </w:tc>
      </w:tr>
      <w:tr w:rsidR="00310604" w:rsidRPr="006071D4" w14:paraId="161BB898" w14:textId="77777777" w:rsidTr="00310604">
        <w:trPr>
          <w:trHeight w:val="255"/>
        </w:trPr>
        <w:tc>
          <w:tcPr>
            <w:tcW w:w="3060" w:type="dxa"/>
            <w:tcBorders>
              <w:top w:val="nil"/>
              <w:left w:val="nil"/>
              <w:bottom w:val="nil"/>
              <w:right w:val="nil"/>
            </w:tcBorders>
            <w:shd w:val="clear" w:color="000000" w:fill="D9E1F2"/>
            <w:vAlign w:val="bottom"/>
            <w:hideMark/>
          </w:tcPr>
          <w:p w14:paraId="50962FDF" w14:textId="77777777" w:rsidR="00310604" w:rsidRPr="00310604" w:rsidRDefault="00310604" w:rsidP="00310604">
            <w:pPr>
              <w:spacing w:after="0" w:line="240" w:lineRule="auto"/>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Biens et services divers</w:t>
            </w:r>
          </w:p>
        </w:tc>
        <w:tc>
          <w:tcPr>
            <w:tcW w:w="620" w:type="dxa"/>
            <w:tcBorders>
              <w:top w:val="nil"/>
              <w:left w:val="nil"/>
              <w:bottom w:val="nil"/>
              <w:right w:val="nil"/>
            </w:tcBorders>
            <w:shd w:val="clear" w:color="000000" w:fill="D9E1F2"/>
            <w:noWrap/>
            <w:vAlign w:val="center"/>
            <w:hideMark/>
          </w:tcPr>
          <w:p w14:paraId="2CB765A4" w14:textId="77777777" w:rsidR="00310604" w:rsidRPr="00310604" w:rsidRDefault="00310604" w:rsidP="00310604">
            <w:pPr>
              <w:spacing w:after="0" w:line="240" w:lineRule="auto"/>
              <w:jc w:val="right"/>
              <w:rPr>
                <w:rFonts w:ascii="Arial" w:eastAsia="Times New Roman" w:hAnsi="Arial" w:cs="Arial"/>
                <w:b/>
                <w:bCs/>
                <w:color w:val="000000"/>
                <w:sz w:val="16"/>
                <w:szCs w:val="16"/>
                <w:lang w:val="fr-SN" w:eastAsia="fr-SN"/>
              </w:rPr>
            </w:pPr>
            <w:r w:rsidRPr="00310604">
              <w:rPr>
                <w:rFonts w:ascii="Arial" w:eastAsia="Times New Roman" w:hAnsi="Arial" w:cs="Arial"/>
                <w:b/>
                <w:bCs/>
                <w:color w:val="000000"/>
                <w:sz w:val="16"/>
                <w:szCs w:val="16"/>
                <w:lang w:val="fr-SN" w:eastAsia="fr-SN"/>
              </w:rPr>
              <w:t>383</w:t>
            </w:r>
          </w:p>
        </w:tc>
        <w:tc>
          <w:tcPr>
            <w:tcW w:w="804" w:type="dxa"/>
            <w:tcBorders>
              <w:top w:val="nil"/>
              <w:left w:val="nil"/>
              <w:bottom w:val="nil"/>
              <w:right w:val="nil"/>
            </w:tcBorders>
            <w:shd w:val="clear" w:color="000000" w:fill="D9E1F2"/>
            <w:noWrap/>
            <w:vAlign w:val="center"/>
            <w:hideMark/>
          </w:tcPr>
          <w:p w14:paraId="12C30013"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106,0</w:t>
            </w:r>
          </w:p>
        </w:tc>
        <w:tc>
          <w:tcPr>
            <w:tcW w:w="694" w:type="dxa"/>
            <w:tcBorders>
              <w:top w:val="nil"/>
              <w:left w:val="nil"/>
              <w:bottom w:val="nil"/>
              <w:right w:val="nil"/>
            </w:tcBorders>
            <w:shd w:val="clear" w:color="000000" w:fill="D9E1F2"/>
            <w:noWrap/>
            <w:vAlign w:val="center"/>
            <w:hideMark/>
          </w:tcPr>
          <w:p w14:paraId="5DE694EB"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110,4</w:t>
            </w:r>
          </w:p>
        </w:tc>
        <w:tc>
          <w:tcPr>
            <w:tcW w:w="755" w:type="dxa"/>
            <w:tcBorders>
              <w:top w:val="nil"/>
              <w:left w:val="nil"/>
              <w:bottom w:val="nil"/>
              <w:right w:val="nil"/>
            </w:tcBorders>
            <w:shd w:val="clear" w:color="000000" w:fill="D9E1F2"/>
            <w:noWrap/>
            <w:vAlign w:val="center"/>
            <w:hideMark/>
          </w:tcPr>
          <w:p w14:paraId="71EBE82A"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111,7</w:t>
            </w:r>
          </w:p>
        </w:tc>
        <w:tc>
          <w:tcPr>
            <w:tcW w:w="743" w:type="dxa"/>
            <w:tcBorders>
              <w:top w:val="nil"/>
              <w:left w:val="nil"/>
              <w:bottom w:val="nil"/>
              <w:right w:val="nil"/>
            </w:tcBorders>
            <w:shd w:val="clear" w:color="000000" w:fill="D9E1F2"/>
            <w:noWrap/>
            <w:vAlign w:val="center"/>
            <w:hideMark/>
          </w:tcPr>
          <w:p w14:paraId="02368993"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112,4</w:t>
            </w:r>
          </w:p>
        </w:tc>
        <w:tc>
          <w:tcPr>
            <w:tcW w:w="804" w:type="dxa"/>
            <w:tcBorders>
              <w:top w:val="nil"/>
              <w:left w:val="nil"/>
              <w:bottom w:val="nil"/>
              <w:right w:val="nil"/>
            </w:tcBorders>
            <w:shd w:val="clear" w:color="000000" w:fill="D9E1F2"/>
            <w:noWrap/>
            <w:vAlign w:val="center"/>
            <w:hideMark/>
          </w:tcPr>
          <w:p w14:paraId="014878B0"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112,9</w:t>
            </w:r>
          </w:p>
        </w:tc>
        <w:tc>
          <w:tcPr>
            <w:tcW w:w="760" w:type="dxa"/>
            <w:tcBorders>
              <w:top w:val="nil"/>
              <w:left w:val="nil"/>
              <w:bottom w:val="nil"/>
              <w:right w:val="nil"/>
            </w:tcBorders>
            <w:shd w:val="clear" w:color="000000" w:fill="D9E1F2"/>
            <w:vAlign w:val="center"/>
            <w:hideMark/>
          </w:tcPr>
          <w:p w14:paraId="544AB8D4"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0,4%</w:t>
            </w:r>
          </w:p>
        </w:tc>
        <w:tc>
          <w:tcPr>
            <w:tcW w:w="760" w:type="dxa"/>
            <w:tcBorders>
              <w:top w:val="nil"/>
              <w:left w:val="nil"/>
              <w:bottom w:val="nil"/>
              <w:right w:val="nil"/>
            </w:tcBorders>
            <w:shd w:val="clear" w:color="000000" w:fill="D9E1F2"/>
            <w:vAlign w:val="center"/>
            <w:hideMark/>
          </w:tcPr>
          <w:p w14:paraId="51A17307"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2,3%</w:t>
            </w:r>
          </w:p>
        </w:tc>
        <w:tc>
          <w:tcPr>
            <w:tcW w:w="760" w:type="dxa"/>
            <w:tcBorders>
              <w:top w:val="nil"/>
              <w:left w:val="nil"/>
              <w:bottom w:val="nil"/>
              <w:right w:val="nil"/>
            </w:tcBorders>
            <w:shd w:val="clear" w:color="000000" w:fill="D9E1F2"/>
            <w:vAlign w:val="center"/>
            <w:hideMark/>
          </w:tcPr>
          <w:p w14:paraId="39C6AE5B" w14:textId="77777777" w:rsidR="00310604" w:rsidRPr="00310604" w:rsidRDefault="00310604" w:rsidP="00310604">
            <w:pPr>
              <w:spacing w:after="0" w:line="240" w:lineRule="auto"/>
              <w:jc w:val="center"/>
              <w:rPr>
                <w:rFonts w:ascii="Arial" w:eastAsia="Times New Roman" w:hAnsi="Arial" w:cs="Arial"/>
                <w:b/>
                <w:bCs/>
                <w:sz w:val="16"/>
                <w:szCs w:val="16"/>
                <w:lang w:val="fr-SN" w:eastAsia="fr-SN"/>
              </w:rPr>
            </w:pPr>
            <w:r w:rsidRPr="00310604">
              <w:rPr>
                <w:rFonts w:ascii="Arial" w:eastAsia="Times New Roman" w:hAnsi="Arial" w:cs="Arial"/>
                <w:b/>
                <w:bCs/>
                <w:sz w:val="16"/>
                <w:szCs w:val="16"/>
                <w:lang w:val="fr-SN" w:eastAsia="fr-SN"/>
              </w:rPr>
              <w:t>6,4%</w:t>
            </w:r>
          </w:p>
        </w:tc>
      </w:tr>
      <w:tr w:rsidR="00310604" w:rsidRPr="00310604" w14:paraId="1E4D4473" w14:textId="77777777" w:rsidTr="00310604">
        <w:trPr>
          <w:trHeight w:val="300"/>
        </w:trPr>
        <w:tc>
          <w:tcPr>
            <w:tcW w:w="3060" w:type="dxa"/>
            <w:tcBorders>
              <w:top w:val="nil"/>
              <w:left w:val="nil"/>
              <w:bottom w:val="nil"/>
              <w:right w:val="nil"/>
            </w:tcBorders>
            <w:shd w:val="clear" w:color="auto" w:fill="auto"/>
            <w:vAlign w:val="bottom"/>
            <w:hideMark/>
          </w:tcPr>
          <w:p w14:paraId="40856966"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Soins corporels</w:t>
            </w:r>
          </w:p>
        </w:tc>
        <w:tc>
          <w:tcPr>
            <w:tcW w:w="620" w:type="dxa"/>
            <w:tcBorders>
              <w:top w:val="nil"/>
              <w:left w:val="nil"/>
              <w:bottom w:val="nil"/>
              <w:right w:val="nil"/>
            </w:tcBorders>
            <w:shd w:val="clear" w:color="auto" w:fill="auto"/>
            <w:noWrap/>
            <w:vAlign w:val="center"/>
            <w:hideMark/>
          </w:tcPr>
          <w:p w14:paraId="59294126"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241</w:t>
            </w:r>
          </w:p>
        </w:tc>
        <w:tc>
          <w:tcPr>
            <w:tcW w:w="804" w:type="dxa"/>
            <w:tcBorders>
              <w:top w:val="nil"/>
              <w:left w:val="nil"/>
              <w:bottom w:val="nil"/>
              <w:right w:val="nil"/>
            </w:tcBorders>
            <w:shd w:val="clear" w:color="auto" w:fill="auto"/>
            <w:noWrap/>
            <w:vAlign w:val="center"/>
            <w:hideMark/>
          </w:tcPr>
          <w:p w14:paraId="1EB5398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103,2</w:t>
            </w:r>
          </w:p>
        </w:tc>
        <w:tc>
          <w:tcPr>
            <w:tcW w:w="694" w:type="dxa"/>
            <w:tcBorders>
              <w:top w:val="nil"/>
              <w:left w:val="nil"/>
              <w:bottom w:val="nil"/>
              <w:right w:val="nil"/>
            </w:tcBorders>
            <w:shd w:val="clear" w:color="auto" w:fill="auto"/>
            <w:noWrap/>
            <w:vAlign w:val="center"/>
            <w:hideMark/>
          </w:tcPr>
          <w:p w14:paraId="296BD68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107,4</w:t>
            </w:r>
          </w:p>
        </w:tc>
        <w:tc>
          <w:tcPr>
            <w:tcW w:w="755" w:type="dxa"/>
            <w:tcBorders>
              <w:top w:val="nil"/>
              <w:left w:val="nil"/>
              <w:bottom w:val="nil"/>
              <w:right w:val="nil"/>
            </w:tcBorders>
            <w:shd w:val="clear" w:color="auto" w:fill="auto"/>
            <w:noWrap/>
            <w:vAlign w:val="center"/>
            <w:hideMark/>
          </w:tcPr>
          <w:p w14:paraId="291158D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109,1</w:t>
            </w:r>
          </w:p>
        </w:tc>
        <w:tc>
          <w:tcPr>
            <w:tcW w:w="743" w:type="dxa"/>
            <w:tcBorders>
              <w:top w:val="nil"/>
              <w:left w:val="nil"/>
              <w:bottom w:val="nil"/>
              <w:right w:val="nil"/>
            </w:tcBorders>
            <w:shd w:val="clear" w:color="auto" w:fill="auto"/>
            <w:noWrap/>
            <w:vAlign w:val="center"/>
            <w:hideMark/>
          </w:tcPr>
          <w:p w14:paraId="19896C7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109,8</w:t>
            </w:r>
          </w:p>
        </w:tc>
        <w:tc>
          <w:tcPr>
            <w:tcW w:w="804" w:type="dxa"/>
            <w:tcBorders>
              <w:top w:val="nil"/>
              <w:left w:val="nil"/>
              <w:bottom w:val="nil"/>
              <w:right w:val="nil"/>
            </w:tcBorders>
            <w:shd w:val="clear" w:color="auto" w:fill="auto"/>
            <w:noWrap/>
            <w:vAlign w:val="center"/>
            <w:hideMark/>
          </w:tcPr>
          <w:p w14:paraId="48122A6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110,3</w:t>
            </w:r>
          </w:p>
        </w:tc>
        <w:tc>
          <w:tcPr>
            <w:tcW w:w="760" w:type="dxa"/>
            <w:tcBorders>
              <w:top w:val="nil"/>
              <w:left w:val="nil"/>
              <w:bottom w:val="nil"/>
              <w:right w:val="nil"/>
            </w:tcBorders>
            <w:shd w:val="clear" w:color="auto" w:fill="auto"/>
            <w:vAlign w:val="center"/>
            <w:hideMark/>
          </w:tcPr>
          <w:p w14:paraId="7BF28FB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0,4%</w:t>
            </w:r>
          </w:p>
        </w:tc>
        <w:tc>
          <w:tcPr>
            <w:tcW w:w="760" w:type="dxa"/>
            <w:tcBorders>
              <w:top w:val="nil"/>
              <w:left w:val="nil"/>
              <w:bottom w:val="nil"/>
              <w:right w:val="nil"/>
            </w:tcBorders>
            <w:shd w:val="clear" w:color="auto" w:fill="auto"/>
            <w:vAlign w:val="center"/>
            <w:hideMark/>
          </w:tcPr>
          <w:p w14:paraId="237FF31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2,7%</w:t>
            </w:r>
          </w:p>
        </w:tc>
        <w:tc>
          <w:tcPr>
            <w:tcW w:w="760" w:type="dxa"/>
            <w:tcBorders>
              <w:top w:val="nil"/>
              <w:left w:val="nil"/>
              <w:bottom w:val="nil"/>
              <w:right w:val="nil"/>
            </w:tcBorders>
            <w:shd w:val="clear" w:color="auto" w:fill="auto"/>
            <w:vAlign w:val="center"/>
            <w:hideMark/>
          </w:tcPr>
          <w:p w14:paraId="7E9E69C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6,9%</w:t>
            </w:r>
          </w:p>
        </w:tc>
      </w:tr>
      <w:tr w:rsidR="00310604" w:rsidRPr="00310604" w14:paraId="1E236D7B" w14:textId="77777777" w:rsidTr="00310604">
        <w:trPr>
          <w:trHeight w:val="255"/>
        </w:trPr>
        <w:tc>
          <w:tcPr>
            <w:tcW w:w="3060" w:type="dxa"/>
            <w:tcBorders>
              <w:top w:val="nil"/>
              <w:left w:val="nil"/>
              <w:bottom w:val="nil"/>
              <w:right w:val="nil"/>
            </w:tcBorders>
            <w:shd w:val="clear" w:color="auto" w:fill="auto"/>
            <w:vAlign w:val="bottom"/>
            <w:hideMark/>
          </w:tcPr>
          <w:p w14:paraId="1547B025"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 xml:space="preserve">Effets personnels </w:t>
            </w:r>
            <w:proofErr w:type="spellStart"/>
            <w:r w:rsidRPr="00310604">
              <w:rPr>
                <w:rFonts w:ascii="Arial" w:eastAsia="Times New Roman" w:hAnsi="Arial" w:cs="Arial"/>
                <w:sz w:val="16"/>
                <w:szCs w:val="16"/>
                <w:lang w:val="fr-SN" w:eastAsia="fr-SN"/>
              </w:rPr>
              <w:t>n.c.a</w:t>
            </w:r>
            <w:proofErr w:type="spellEnd"/>
          </w:p>
        </w:tc>
        <w:tc>
          <w:tcPr>
            <w:tcW w:w="620" w:type="dxa"/>
            <w:tcBorders>
              <w:top w:val="nil"/>
              <w:left w:val="nil"/>
              <w:bottom w:val="nil"/>
              <w:right w:val="nil"/>
            </w:tcBorders>
            <w:shd w:val="clear" w:color="auto" w:fill="auto"/>
            <w:noWrap/>
            <w:vAlign w:val="center"/>
            <w:hideMark/>
          </w:tcPr>
          <w:p w14:paraId="7A3D300A"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73</w:t>
            </w:r>
          </w:p>
        </w:tc>
        <w:tc>
          <w:tcPr>
            <w:tcW w:w="804" w:type="dxa"/>
            <w:tcBorders>
              <w:top w:val="nil"/>
              <w:left w:val="nil"/>
              <w:bottom w:val="nil"/>
              <w:right w:val="nil"/>
            </w:tcBorders>
            <w:shd w:val="clear" w:color="auto" w:fill="auto"/>
            <w:noWrap/>
            <w:vAlign w:val="center"/>
            <w:hideMark/>
          </w:tcPr>
          <w:p w14:paraId="1868DD1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119,0</w:t>
            </w:r>
          </w:p>
        </w:tc>
        <w:tc>
          <w:tcPr>
            <w:tcW w:w="694" w:type="dxa"/>
            <w:tcBorders>
              <w:top w:val="nil"/>
              <w:left w:val="nil"/>
              <w:bottom w:val="nil"/>
              <w:right w:val="nil"/>
            </w:tcBorders>
            <w:shd w:val="clear" w:color="auto" w:fill="auto"/>
            <w:noWrap/>
            <w:vAlign w:val="center"/>
            <w:hideMark/>
          </w:tcPr>
          <w:p w14:paraId="09F716D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126,6</w:t>
            </w:r>
          </w:p>
        </w:tc>
        <w:tc>
          <w:tcPr>
            <w:tcW w:w="755" w:type="dxa"/>
            <w:tcBorders>
              <w:top w:val="nil"/>
              <w:left w:val="nil"/>
              <w:bottom w:val="nil"/>
              <w:right w:val="nil"/>
            </w:tcBorders>
            <w:shd w:val="clear" w:color="auto" w:fill="auto"/>
            <w:noWrap/>
            <w:vAlign w:val="center"/>
            <w:hideMark/>
          </w:tcPr>
          <w:p w14:paraId="6733511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127,8</w:t>
            </w:r>
          </w:p>
        </w:tc>
        <w:tc>
          <w:tcPr>
            <w:tcW w:w="743" w:type="dxa"/>
            <w:tcBorders>
              <w:top w:val="nil"/>
              <w:left w:val="nil"/>
              <w:bottom w:val="nil"/>
              <w:right w:val="nil"/>
            </w:tcBorders>
            <w:shd w:val="clear" w:color="auto" w:fill="auto"/>
            <w:noWrap/>
            <w:vAlign w:val="center"/>
            <w:hideMark/>
          </w:tcPr>
          <w:p w14:paraId="36BB31F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128,7</w:t>
            </w:r>
          </w:p>
        </w:tc>
        <w:tc>
          <w:tcPr>
            <w:tcW w:w="804" w:type="dxa"/>
            <w:tcBorders>
              <w:top w:val="nil"/>
              <w:left w:val="nil"/>
              <w:bottom w:val="nil"/>
              <w:right w:val="nil"/>
            </w:tcBorders>
            <w:shd w:val="clear" w:color="auto" w:fill="auto"/>
            <w:noWrap/>
            <w:vAlign w:val="center"/>
            <w:hideMark/>
          </w:tcPr>
          <w:p w14:paraId="4679345D"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129,1</w:t>
            </w:r>
          </w:p>
        </w:tc>
        <w:tc>
          <w:tcPr>
            <w:tcW w:w="760" w:type="dxa"/>
            <w:tcBorders>
              <w:top w:val="nil"/>
              <w:left w:val="nil"/>
              <w:bottom w:val="nil"/>
              <w:right w:val="nil"/>
            </w:tcBorders>
            <w:shd w:val="clear" w:color="auto" w:fill="auto"/>
            <w:vAlign w:val="center"/>
            <w:hideMark/>
          </w:tcPr>
          <w:p w14:paraId="32DAA6E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0,3%</w:t>
            </w:r>
          </w:p>
        </w:tc>
        <w:tc>
          <w:tcPr>
            <w:tcW w:w="760" w:type="dxa"/>
            <w:tcBorders>
              <w:top w:val="nil"/>
              <w:left w:val="nil"/>
              <w:bottom w:val="nil"/>
              <w:right w:val="nil"/>
            </w:tcBorders>
            <w:shd w:val="clear" w:color="auto" w:fill="auto"/>
            <w:vAlign w:val="center"/>
            <w:hideMark/>
          </w:tcPr>
          <w:p w14:paraId="0940F071"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2,0%</w:t>
            </w:r>
          </w:p>
        </w:tc>
        <w:tc>
          <w:tcPr>
            <w:tcW w:w="760" w:type="dxa"/>
            <w:tcBorders>
              <w:top w:val="nil"/>
              <w:left w:val="nil"/>
              <w:bottom w:val="nil"/>
              <w:right w:val="nil"/>
            </w:tcBorders>
            <w:shd w:val="clear" w:color="auto" w:fill="auto"/>
            <w:vAlign w:val="center"/>
            <w:hideMark/>
          </w:tcPr>
          <w:p w14:paraId="1B54C55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8,5%</w:t>
            </w:r>
          </w:p>
        </w:tc>
      </w:tr>
      <w:tr w:rsidR="00310604" w:rsidRPr="00310604" w14:paraId="484B071A" w14:textId="77777777" w:rsidTr="00310604">
        <w:trPr>
          <w:trHeight w:val="255"/>
        </w:trPr>
        <w:tc>
          <w:tcPr>
            <w:tcW w:w="3060" w:type="dxa"/>
            <w:tcBorders>
              <w:top w:val="nil"/>
              <w:left w:val="nil"/>
              <w:bottom w:val="nil"/>
              <w:right w:val="nil"/>
            </w:tcBorders>
            <w:shd w:val="clear" w:color="auto" w:fill="auto"/>
            <w:vAlign w:val="bottom"/>
            <w:hideMark/>
          </w:tcPr>
          <w:p w14:paraId="502BB71D"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Protection sociale et assurance</w:t>
            </w:r>
          </w:p>
        </w:tc>
        <w:tc>
          <w:tcPr>
            <w:tcW w:w="620" w:type="dxa"/>
            <w:tcBorders>
              <w:top w:val="nil"/>
              <w:left w:val="nil"/>
              <w:bottom w:val="nil"/>
              <w:right w:val="nil"/>
            </w:tcBorders>
            <w:shd w:val="clear" w:color="auto" w:fill="auto"/>
            <w:noWrap/>
            <w:vAlign w:val="center"/>
            <w:hideMark/>
          </w:tcPr>
          <w:p w14:paraId="381CAC8D"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19</w:t>
            </w:r>
          </w:p>
        </w:tc>
        <w:tc>
          <w:tcPr>
            <w:tcW w:w="804" w:type="dxa"/>
            <w:tcBorders>
              <w:top w:val="nil"/>
              <w:left w:val="nil"/>
              <w:bottom w:val="nil"/>
              <w:right w:val="nil"/>
            </w:tcBorders>
            <w:shd w:val="clear" w:color="auto" w:fill="auto"/>
            <w:noWrap/>
            <w:vAlign w:val="center"/>
            <w:hideMark/>
          </w:tcPr>
          <w:p w14:paraId="3F146EF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96,9</w:t>
            </w:r>
          </w:p>
        </w:tc>
        <w:tc>
          <w:tcPr>
            <w:tcW w:w="694" w:type="dxa"/>
            <w:tcBorders>
              <w:top w:val="nil"/>
              <w:left w:val="nil"/>
              <w:bottom w:val="nil"/>
              <w:right w:val="nil"/>
            </w:tcBorders>
            <w:shd w:val="clear" w:color="auto" w:fill="auto"/>
            <w:noWrap/>
            <w:vAlign w:val="center"/>
            <w:hideMark/>
          </w:tcPr>
          <w:p w14:paraId="0DF2007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98,2</w:t>
            </w:r>
          </w:p>
        </w:tc>
        <w:tc>
          <w:tcPr>
            <w:tcW w:w="755" w:type="dxa"/>
            <w:tcBorders>
              <w:top w:val="nil"/>
              <w:left w:val="nil"/>
              <w:bottom w:val="nil"/>
              <w:right w:val="nil"/>
            </w:tcBorders>
            <w:shd w:val="clear" w:color="auto" w:fill="auto"/>
            <w:noWrap/>
            <w:vAlign w:val="center"/>
            <w:hideMark/>
          </w:tcPr>
          <w:p w14:paraId="18082C3F"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98,2</w:t>
            </w:r>
          </w:p>
        </w:tc>
        <w:tc>
          <w:tcPr>
            <w:tcW w:w="743" w:type="dxa"/>
            <w:tcBorders>
              <w:top w:val="nil"/>
              <w:left w:val="nil"/>
              <w:bottom w:val="nil"/>
              <w:right w:val="nil"/>
            </w:tcBorders>
            <w:shd w:val="clear" w:color="auto" w:fill="auto"/>
            <w:noWrap/>
            <w:vAlign w:val="center"/>
            <w:hideMark/>
          </w:tcPr>
          <w:p w14:paraId="0C96390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98,2</w:t>
            </w:r>
          </w:p>
        </w:tc>
        <w:tc>
          <w:tcPr>
            <w:tcW w:w="804" w:type="dxa"/>
            <w:tcBorders>
              <w:top w:val="nil"/>
              <w:left w:val="nil"/>
              <w:bottom w:val="nil"/>
              <w:right w:val="nil"/>
            </w:tcBorders>
            <w:shd w:val="clear" w:color="auto" w:fill="auto"/>
            <w:noWrap/>
            <w:vAlign w:val="center"/>
            <w:hideMark/>
          </w:tcPr>
          <w:p w14:paraId="7A1616E8"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99,3</w:t>
            </w:r>
          </w:p>
        </w:tc>
        <w:tc>
          <w:tcPr>
            <w:tcW w:w="760" w:type="dxa"/>
            <w:tcBorders>
              <w:top w:val="nil"/>
              <w:left w:val="nil"/>
              <w:bottom w:val="nil"/>
              <w:right w:val="nil"/>
            </w:tcBorders>
            <w:shd w:val="clear" w:color="auto" w:fill="auto"/>
            <w:vAlign w:val="center"/>
            <w:hideMark/>
          </w:tcPr>
          <w:p w14:paraId="3C79B4EC"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w:t>
            </w:r>
          </w:p>
        </w:tc>
        <w:tc>
          <w:tcPr>
            <w:tcW w:w="760" w:type="dxa"/>
            <w:tcBorders>
              <w:top w:val="nil"/>
              <w:left w:val="nil"/>
              <w:bottom w:val="nil"/>
              <w:right w:val="nil"/>
            </w:tcBorders>
            <w:shd w:val="clear" w:color="auto" w:fill="auto"/>
            <w:vAlign w:val="center"/>
            <w:hideMark/>
          </w:tcPr>
          <w:p w14:paraId="241E9847"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w:t>
            </w:r>
          </w:p>
        </w:tc>
        <w:tc>
          <w:tcPr>
            <w:tcW w:w="760" w:type="dxa"/>
            <w:tcBorders>
              <w:top w:val="nil"/>
              <w:left w:val="nil"/>
              <w:bottom w:val="nil"/>
              <w:right w:val="nil"/>
            </w:tcBorders>
            <w:shd w:val="clear" w:color="auto" w:fill="auto"/>
            <w:vAlign w:val="center"/>
            <w:hideMark/>
          </w:tcPr>
          <w:p w14:paraId="44C4ADC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2,4%</w:t>
            </w:r>
          </w:p>
        </w:tc>
      </w:tr>
      <w:tr w:rsidR="00310604" w:rsidRPr="00310604" w14:paraId="273208DB" w14:textId="77777777" w:rsidTr="00310604">
        <w:trPr>
          <w:trHeight w:val="255"/>
        </w:trPr>
        <w:tc>
          <w:tcPr>
            <w:tcW w:w="3060" w:type="dxa"/>
            <w:tcBorders>
              <w:top w:val="nil"/>
              <w:left w:val="nil"/>
              <w:bottom w:val="nil"/>
              <w:right w:val="nil"/>
            </w:tcBorders>
            <w:shd w:val="clear" w:color="auto" w:fill="auto"/>
            <w:vAlign w:val="bottom"/>
            <w:hideMark/>
          </w:tcPr>
          <w:p w14:paraId="015C548E"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Services financiers</w:t>
            </w:r>
          </w:p>
        </w:tc>
        <w:tc>
          <w:tcPr>
            <w:tcW w:w="620" w:type="dxa"/>
            <w:tcBorders>
              <w:top w:val="nil"/>
              <w:left w:val="nil"/>
              <w:bottom w:val="nil"/>
              <w:right w:val="nil"/>
            </w:tcBorders>
            <w:shd w:val="clear" w:color="auto" w:fill="auto"/>
            <w:noWrap/>
            <w:vAlign w:val="center"/>
            <w:hideMark/>
          </w:tcPr>
          <w:p w14:paraId="4E247279"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9</w:t>
            </w:r>
          </w:p>
        </w:tc>
        <w:tc>
          <w:tcPr>
            <w:tcW w:w="804" w:type="dxa"/>
            <w:tcBorders>
              <w:top w:val="nil"/>
              <w:left w:val="nil"/>
              <w:bottom w:val="nil"/>
              <w:right w:val="nil"/>
            </w:tcBorders>
            <w:shd w:val="clear" w:color="auto" w:fill="auto"/>
            <w:noWrap/>
            <w:vAlign w:val="center"/>
            <w:hideMark/>
          </w:tcPr>
          <w:p w14:paraId="6748703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103,4</w:t>
            </w:r>
          </w:p>
        </w:tc>
        <w:tc>
          <w:tcPr>
            <w:tcW w:w="694" w:type="dxa"/>
            <w:tcBorders>
              <w:top w:val="nil"/>
              <w:left w:val="nil"/>
              <w:bottom w:val="nil"/>
              <w:right w:val="nil"/>
            </w:tcBorders>
            <w:shd w:val="clear" w:color="auto" w:fill="auto"/>
            <w:noWrap/>
            <w:vAlign w:val="center"/>
            <w:hideMark/>
          </w:tcPr>
          <w:p w14:paraId="6105AE4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103,5</w:t>
            </w:r>
          </w:p>
        </w:tc>
        <w:tc>
          <w:tcPr>
            <w:tcW w:w="755" w:type="dxa"/>
            <w:tcBorders>
              <w:top w:val="nil"/>
              <w:left w:val="nil"/>
              <w:bottom w:val="nil"/>
              <w:right w:val="nil"/>
            </w:tcBorders>
            <w:shd w:val="clear" w:color="auto" w:fill="auto"/>
            <w:noWrap/>
            <w:vAlign w:val="center"/>
            <w:hideMark/>
          </w:tcPr>
          <w:p w14:paraId="31FB611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104,6</w:t>
            </w:r>
          </w:p>
        </w:tc>
        <w:tc>
          <w:tcPr>
            <w:tcW w:w="743" w:type="dxa"/>
            <w:tcBorders>
              <w:top w:val="nil"/>
              <w:left w:val="nil"/>
              <w:bottom w:val="nil"/>
              <w:right w:val="nil"/>
            </w:tcBorders>
            <w:shd w:val="clear" w:color="auto" w:fill="auto"/>
            <w:noWrap/>
            <w:vAlign w:val="center"/>
            <w:hideMark/>
          </w:tcPr>
          <w:p w14:paraId="13C76E0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104,6</w:t>
            </w:r>
          </w:p>
        </w:tc>
        <w:tc>
          <w:tcPr>
            <w:tcW w:w="804" w:type="dxa"/>
            <w:tcBorders>
              <w:top w:val="nil"/>
              <w:left w:val="nil"/>
              <w:bottom w:val="nil"/>
              <w:right w:val="nil"/>
            </w:tcBorders>
            <w:shd w:val="clear" w:color="auto" w:fill="auto"/>
            <w:noWrap/>
            <w:vAlign w:val="center"/>
            <w:hideMark/>
          </w:tcPr>
          <w:p w14:paraId="64D55D8E"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104,6</w:t>
            </w:r>
          </w:p>
        </w:tc>
        <w:tc>
          <w:tcPr>
            <w:tcW w:w="760" w:type="dxa"/>
            <w:tcBorders>
              <w:top w:val="nil"/>
              <w:left w:val="nil"/>
              <w:bottom w:val="nil"/>
              <w:right w:val="nil"/>
            </w:tcBorders>
            <w:shd w:val="clear" w:color="auto" w:fill="auto"/>
            <w:vAlign w:val="center"/>
            <w:hideMark/>
          </w:tcPr>
          <w:p w14:paraId="68730E5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0,0%</w:t>
            </w:r>
          </w:p>
        </w:tc>
        <w:tc>
          <w:tcPr>
            <w:tcW w:w="760" w:type="dxa"/>
            <w:tcBorders>
              <w:top w:val="nil"/>
              <w:left w:val="nil"/>
              <w:bottom w:val="nil"/>
              <w:right w:val="nil"/>
            </w:tcBorders>
            <w:shd w:val="clear" w:color="auto" w:fill="auto"/>
            <w:vAlign w:val="center"/>
            <w:hideMark/>
          </w:tcPr>
          <w:p w14:paraId="20F90B5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w:t>
            </w:r>
          </w:p>
        </w:tc>
        <w:tc>
          <w:tcPr>
            <w:tcW w:w="760" w:type="dxa"/>
            <w:tcBorders>
              <w:top w:val="nil"/>
              <w:left w:val="nil"/>
              <w:bottom w:val="nil"/>
              <w:right w:val="nil"/>
            </w:tcBorders>
            <w:shd w:val="clear" w:color="auto" w:fill="auto"/>
            <w:vAlign w:val="center"/>
            <w:hideMark/>
          </w:tcPr>
          <w:p w14:paraId="0D34371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1,1%</w:t>
            </w:r>
          </w:p>
        </w:tc>
      </w:tr>
      <w:tr w:rsidR="00310604" w:rsidRPr="00310604" w14:paraId="6E0CF16C" w14:textId="77777777" w:rsidTr="00D55B8F">
        <w:trPr>
          <w:trHeight w:val="60"/>
        </w:trPr>
        <w:tc>
          <w:tcPr>
            <w:tcW w:w="3060" w:type="dxa"/>
            <w:tcBorders>
              <w:top w:val="nil"/>
              <w:left w:val="nil"/>
              <w:bottom w:val="double" w:sz="6" w:space="0" w:color="auto"/>
              <w:right w:val="nil"/>
            </w:tcBorders>
            <w:shd w:val="clear" w:color="auto" w:fill="auto"/>
            <w:vAlign w:val="bottom"/>
            <w:hideMark/>
          </w:tcPr>
          <w:p w14:paraId="458A866F" w14:textId="77777777" w:rsidR="00310604" w:rsidRPr="00310604" w:rsidRDefault="00310604" w:rsidP="00310604">
            <w:pPr>
              <w:spacing w:after="0" w:line="240" w:lineRule="auto"/>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 xml:space="preserve">Autres services </w:t>
            </w:r>
            <w:proofErr w:type="spellStart"/>
            <w:r w:rsidRPr="00310604">
              <w:rPr>
                <w:rFonts w:ascii="Arial" w:eastAsia="Times New Roman" w:hAnsi="Arial" w:cs="Arial"/>
                <w:sz w:val="16"/>
                <w:szCs w:val="16"/>
                <w:lang w:val="fr-SN" w:eastAsia="fr-SN"/>
              </w:rPr>
              <w:t>n.c.a</w:t>
            </w:r>
            <w:proofErr w:type="spellEnd"/>
          </w:p>
        </w:tc>
        <w:tc>
          <w:tcPr>
            <w:tcW w:w="620" w:type="dxa"/>
            <w:tcBorders>
              <w:top w:val="nil"/>
              <w:left w:val="nil"/>
              <w:bottom w:val="double" w:sz="6" w:space="0" w:color="auto"/>
              <w:right w:val="nil"/>
            </w:tcBorders>
            <w:shd w:val="clear" w:color="auto" w:fill="auto"/>
            <w:noWrap/>
            <w:vAlign w:val="center"/>
            <w:hideMark/>
          </w:tcPr>
          <w:p w14:paraId="6E543819" w14:textId="77777777" w:rsidR="00310604" w:rsidRPr="00310604" w:rsidRDefault="00310604" w:rsidP="00310604">
            <w:pPr>
              <w:spacing w:after="0" w:line="240" w:lineRule="auto"/>
              <w:jc w:val="right"/>
              <w:rPr>
                <w:rFonts w:ascii="Arial" w:eastAsia="Times New Roman" w:hAnsi="Arial" w:cs="Arial"/>
                <w:color w:val="000000"/>
                <w:sz w:val="16"/>
                <w:szCs w:val="16"/>
                <w:lang w:val="fr-SN" w:eastAsia="fr-SN"/>
              </w:rPr>
            </w:pPr>
            <w:r w:rsidRPr="00310604">
              <w:rPr>
                <w:rFonts w:ascii="Arial" w:eastAsia="Times New Roman" w:hAnsi="Arial" w:cs="Arial"/>
                <w:color w:val="000000"/>
                <w:sz w:val="16"/>
                <w:szCs w:val="16"/>
                <w:lang w:val="fr-SN" w:eastAsia="fr-SN"/>
              </w:rPr>
              <w:t>41</w:t>
            </w:r>
          </w:p>
        </w:tc>
        <w:tc>
          <w:tcPr>
            <w:tcW w:w="804" w:type="dxa"/>
            <w:tcBorders>
              <w:top w:val="nil"/>
              <w:left w:val="nil"/>
              <w:bottom w:val="double" w:sz="6" w:space="0" w:color="auto"/>
              <w:right w:val="nil"/>
            </w:tcBorders>
            <w:shd w:val="clear" w:color="auto" w:fill="auto"/>
            <w:noWrap/>
            <w:vAlign w:val="center"/>
            <w:hideMark/>
          </w:tcPr>
          <w:p w14:paraId="2FF906E0"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104,2</w:t>
            </w:r>
          </w:p>
        </w:tc>
        <w:tc>
          <w:tcPr>
            <w:tcW w:w="694" w:type="dxa"/>
            <w:tcBorders>
              <w:top w:val="nil"/>
              <w:left w:val="nil"/>
              <w:bottom w:val="double" w:sz="6" w:space="0" w:color="auto"/>
              <w:right w:val="nil"/>
            </w:tcBorders>
            <w:shd w:val="clear" w:color="auto" w:fill="auto"/>
            <w:noWrap/>
            <w:vAlign w:val="center"/>
            <w:hideMark/>
          </w:tcPr>
          <w:p w14:paraId="7F899983"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105,8</w:t>
            </w:r>
          </w:p>
        </w:tc>
        <w:tc>
          <w:tcPr>
            <w:tcW w:w="755" w:type="dxa"/>
            <w:tcBorders>
              <w:top w:val="nil"/>
              <w:left w:val="nil"/>
              <w:bottom w:val="double" w:sz="6" w:space="0" w:color="auto"/>
              <w:right w:val="nil"/>
            </w:tcBorders>
            <w:shd w:val="clear" w:color="auto" w:fill="auto"/>
            <w:noWrap/>
            <w:vAlign w:val="center"/>
            <w:hideMark/>
          </w:tcPr>
          <w:p w14:paraId="5CD32422"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106,2</w:t>
            </w:r>
          </w:p>
        </w:tc>
        <w:tc>
          <w:tcPr>
            <w:tcW w:w="743" w:type="dxa"/>
            <w:tcBorders>
              <w:top w:val="nil"/>
              <w:left w:val="nil"/>
              <w:bottom w:val="double" w:sz="6" w:space="0" w:color="auto"/>
              <w:right w:val="nil"/>
            </w:tcBorders>
            <w:shd w:val="clear" w:color="auto" w:fill="auto"/>
            <w:noWrap/>
            <w:vAlign w:val="center"/>
            <w:hideMark/>
          </w:tcPr>
          <w:p w14:paraId="2B1E1BC6"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106,6</w:t>
            </w:r>
          </w:p>
        </w:tc>
        <w:tc>
          <w:tcPr>
            <w:tcW w:w="804" w:type="dxa"/>
            <w:tcBorders>
              <w:top w:val="nil"/>
              <w:left w:val="nil"/>
              <w:bottom w:val="double" w:sz="6" w:space="0" w:color="auto"/>
              <w:right w:val="nil"/>
            </w:tcBorders>
            <w:shd w:val="clear" w:color="auto" w:fill="auto"/>
            <w:noWrap/>
            <w:vAlign w:val="center"/>
            <w:hideMark/>
          </w:tcPr>
          <w:p w14:paraId="3D1C323A"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107,0</w:t>
            </w:r>
          </w:p>
        </w:tc>
        <w:tc>
          <w:tcPr>
            <w:tcW w:w="760" w:type="dxa"/>
            <w:tcBorders>
              <w:top w:val="nil"/>
              <w:left w:val="nil"/>
              <w:bottom w:val="double" w:sz="6" w:space="0" w:color="auto"/>
              <w:right w:val="nil"/>
            </w:tcBorders>
            <w:shd w:val="clear" w:color="auto" w:fill="auto"/>
            <w:vAlign w:val="center"/>
            <w:hideMark/>
          </w:tcPr>
          <w:p w14:paraId="7DBFB6DB"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0,4%</w:t>
            </w:r>
          </w:p>
        </w:tc>
        <w:tc>
          <w:tcPr>
            <w:tcW w:w="760" w:type="dxa"/>
            <w:tcBorders>
              <w:top w:val="nil"/>
              <w:left w:val="nil"/>
              <w:bottom w:val="double" w:sz="6" w:space="0" w:color="auto"/>
              <w:right w:val="nil"/>
            </w:tcBorders>
            <w:shd w:val="clear" w:color="auto" w:fill="auto"/>
            <w:vAlign w:val="center"/>
            <w:hideMark/>
          </w:tcPr>
          <w:p w14:paraId="3ED6DCF4"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1,2%</w:t>
            </w:r>
          </w:p>
        </w:tc>
        <w:tc>
          <w:tcPr>
            <w:tcW w:w="760" w:type="dxa"/>
            <w:tcBorders>
              <w:top w:val="nil"/>
              <w:left w:val="nil"/>
              <w:bottom w:val="double" w:sz="6" w:space="0" w:color="auto"/>
              <w:right w:val="nil"/>
            </w:tcBorders>
            <w:shd w:val="clear" w:color="auto" w:fill="auto"/>
            <w:vAlign w:val="center"/>
            <w:hideMark/>
          </w:tcPr>
          <w:p w14:paraId="53E75DF9" w14:textId="77777777" w:rsidR="00310604" w:rsidRPr="00310604" w:rsidRDefault="00310604" w:rsidP="00310604">
            <w:pPr>
              <w:spacing w:after="0" w:line="240" w:lineRule="auto"/>
              <w:jc w:val="center"/>
              <w:rPr>
                <w:rFonts w:ascii="Arial" w:eastAsia="Times New Roman" w:hAnsi="Arial" w:cs="Arial"/>
                <w:sz w:val="16"/>
                <w:szCs w:val="16"/>
                <w:lang w:val="fr-SN" w:eastAsia="fr-SN"/>
              </w:rPr>
            </w:pPr>
            <w:r w:rsidRPr="00310604">
              <w:rPr>
                <w:rFonts w:ascii="Arial" w:eastAsia="Times New Roman" w:hAnsi="Arial" w:cs="Arial"/>
                <w:sz w:val="16"/>
                <w:szCs w:val="16"/>
                <w:lang w:val="fr-SN" w:eastAsia="fr-SN"/>
              </w:rPr>
              <w:t>2,7%</w:t>
            </w:r>
          </w:p>
        </w:tc>
      </w:tr>
    </w:tbl>
    <w:p w14:paraId="2C0DD582" w14:textId="255B3DB7" w:rsidR="002D4D24" w:rsidRDefault="0069474E" w:rsidP="00DD2DB5">
      <w:pPr>
        <w:rPr>
          <w:rFonts w:ascii="Arial" w:hAnsi="Arial" w:cs="Arial"/>
          <w:b/>
          <w:bCs/>
          <w:sz w:val="16"/>
          <w:szCs w:val="16"/>
        </w:rPr>
      </w:pPr>
      <w:r w:rsidRPr="00CC04FD">
        <w:rPr>
          <w:rFonts w:ascii="Arial" w:hAnsi="Arial" w:cs="Arial"/>
          <w:b/>
          <w:bCs/>
          <w:sz w:val="16"/>
          <w:szCs w:val="16"/>
        </w:rPr>
        <w:t>Source : ANSD</w:t>
      </w:r>
      <w:r w:rsidR="00DD2DB5">
        <w:rPr>
          <w:rFonts w:ascii="Arial" w:hAnsi="Arial" w:cs="Arial"/>
          <w:b/>
          <w:bCs/>
          <w:sz w:val="16"/>
          <w:szCs w:val="16"/>
        </w:rPr>
        <w:t>/DSECN/DSC/BP</w:t>
      </w:r>
    </w:p>
    <w:p w14:paraId="29C4A821" w14:textId="77777777" w:rsidR="007535D7" w:rsidRPr="007535D7" w:rsidRDefault="007535D7" w:rsidP="007535D7">
      <w:pPr>
        <w:widowControl w:val="0"/>
        <w:pBdr>
          <w:top w:val="double" w:sz="4" w:space="0" w:color="auto"/>
          <w:left w:val="double" w:sz="4" w:space="0" w:color="auto"/>
          <w:bottom w:val="double" w:sz="4" w:space="0" w:color="auto"/>
          <w:right w:val="double" w:sz="4" w:space="31" w:color="auto"/>
        </w:pBdr>
        <w:shd w:val="pct5" w:color="auto" w:fill="FFFFFF"/>
        <w:overflowPunct w:val="0"/>
        <w:autoSpaceDE w:val="0"/>
        <w:autoSpaceDN w:val="0"/>
        <w:adjustRightInd w:val="0"/>
        <w:spacing w:after="0" w:line="240" w:lineRule="auto"/>
        <w:ind w:right="567"/>
        <w:jc w:val="both"/>
        <w:textAlignment w:val="baseline"/>
        <w:rPr>
          <w:rFonts w:ascii="Arial" w:eastAsia="Times New Roman" w:hAnsi="Arial" w:cs="Arial"/>
          <w:sz w:val="18"/>
          <w:szCs w:val="20"/>
          <w:lang w:eastAsia="fr-FR"/>
        </w:rPr>
      </w:pPr>
      <w:r w:rsidRPr="007535D7">
        <w:rPr>
          <w:rFonts w:ascii="Arial" w:eastAsia="Times New Roman" w:hAnsi="Arial" w:cs="Arial"/>
          <w:sz w:val="18"/>
          <w:szCs w:val="18"/>
          <w:lang w:eastAsia="fr-FR"/>
        </w:rPr>
        <w:t xml:space="preserve">Agence Nationale de la Statistique et de la Démographie, Rocade </w:t>
      </w:r>
      <w:proofErr w:type="spellStart"/>
      <w:r w:rsidRPr="007535D7">
        <w:rPr>
          <w:rFonts w:ascii="Arial" w:eastAsia="Times New Roman" w:hAnsi="Arial" w:cs="Arial"/>
          <w:sz w:val="18"/>
          <w:szCs w:val="18"/>
          <w:lang w:eastAsia="fr-FR"/>
        </w:rPr>
        <w:t>Fann</w:t>
      </w:r>
      <w:proofErr w:type="spellEnd"/>
      <w:r w:rsidRPr="007535D7">
        <w:rPr>
          <w:rFonts w:ascii="Arial" w:eastAsia="Times New Roman" w:hAnsi="Arial" w:cs="Arial"/>
          <w:sz w:val="18"/>
          <w:szCs w:val="18"/>
          <w:lang w:eastAsia="fr-FR"/>
        </w:rPr>
        <w:t xml:space="preserve"> </w:t>
      </w:r>
      <w:proofErr w:type="spellStart"/>
      <w:r w:rsidRPr="007535D7">
        <w:rPr>
          <w:rFonts w:ascii="Arial" w:eastAsia="Times New Roman" w:hAnsi="Arial" w:cs="Arial"/>
          <w:sz w:val="18"/>
          <w:szCs w:val="18"/>
          <w:lang w:eastAsia="fr-FR"/>
        </w:rPr>
        <w:t>Bel-air</w:t>
      </w:r>
      <w:proofErr w:type="spellEnd"/>
      <w:r w:rsidRPr="007535D7">
        <w:rPr>
          <w:rFonts w:ascii="Arial" w:eastAsia="Times New Roman" w:hAnsi="Arial" w:cs="Arial"/>
          <w:sz w:val="18"/>
          <w:szCs w:val="18"/>
          <w:lang w:eastAsia="fr-FR"/>
        </w:rPr>
        <w:t xml:space="preserve"> Cerf-volant, Colobane. BP 116 Dakar RP - SENEGAL </w:t>
      </w:r>
      <w:r w:rsidRPr="007535D7">
        <w:rPr>
          <w:rFonts w:ascii="Arial" w:eastAsia="Times New Roman" w:hAnsi="Arial" w:cs="Arial"/>
          <w:sz w:val="18"/>
          <w:szCs w:val="20"/>
          <w:lang w:eastAsia="fr-FR"/>
        </w:rPr>
        <w:t xml:space="preserve">Tél. : (+221) 33 869 21 39   Fax : (+221) 33 824 36 15 </w:t>
      </w:r>
    </w:p>
    <w:p w14:paraId="7872D3E6" w14:textId="77777777" w:rsidR="007535D7" w:rsidRPr="007535D7" w:rsidRDefault="007535D7" w:rsidP="007535D7">
      <w:pPr>
        <w:widowControl w:val="0"/>
        <w:pBdr>
          <w:top w:val="double" w:sz="4" w:space="0" w:color="auto"/>
          <w:left w:val="double" w:sz="4" w:space="0" w:color="auto"/>
          <w:bottom w:val="double" w:sz="4" w:space="0" w:color="auto"/>
          <w:right w:val="double" w:sz="4" w:space="31" w:color="auto"/>
        </w:pBdr>
        <w:shd w:val="pct5" w:color="auto" w:fill="FFFFFF"/>
        <w:overflowPunct w:val="0"/>
        <w:autoSpaceDE w:val="0"/>
        <w:autoSpaceDN w:val="0"/>
        <w:adjustRightInd w:val="0"/>
        <w:spacing w:after="0" w:line="240" w:lineRule="auto"/>
        <w:ind w:right="567"/>
        <w:jc w:val="both"/>
        <w:textAlignment w:val="baseline"/>
        <w:rPr>
          <w:rFonts w:ascii="Arial" w:eastAsia="Times New Roman" w:hAnsi="Arial" w:cs="Arial"/>
          <w:sz w:val="18"/>
          <w:szCs w:val="18"/>
          <w:lang w:eastAsia="fr-FR"/>
        </w:rPr>
      </w:pPr>
      <w:r w:rsidRPr="007535D7">
        <w:rPr>
          <w:rFonts w:ascii="Arial" w:eastAsia="Times New Roman" w:hAnsi="Arial" w:cs="Arial"/>
          <w:b/>
          <w:bCs/>
          <w:sz w:val="18"/>
          <w:szCs w:val="20"/>
          <w:lang w:eastAsia="fr-FR"/>
        </w:rPr>
        <w:t>Directeur Général</w:t>
      </w:r>
      <w:r w:rsidRPr="007535D7">
        <w:rPr>
          <w:rFonts w:ascii="Arial" w:eastAsia="Times New Roman" w:hAnsi="Arial" w:cs="Arial"/>
          <w:sz w:val="18"/>
          <w:szCs w:val="20"/>
          <w:lang w:eastAsia="fr-FR"/>
        </w:rPr>
        <w:t xml:space="preserve"> : </w:t>
      </w:r>
      <w:r w:rsidR="006570BC" w:rsidRPr="006570BC">
        <w:rPr>
          <w:rFonts w:ascii="Arial" w:eastAsia="Times New Roman" w:hAnsi="Arial" w:cs="Arial"/>
          <w:sz w:val="18"/>
          <w:szCs w:val="18"/>
          <w:lang w:eastAsia="fr-FR"/>
        </w:rPr>
        <w:t xml:space="preserve">Aboubacar </w:t>
      </w:r>
      <w:proofErr w:type="spellStart"/>
      <w:r w:rsidR="006570BC" w:rsidRPr="006570BC">
        <w:rPr>
          <w:rFonts w:ascii="Arial" w:eastAsia="Times New Roman" w:hAnsi="Arial" w:cs="Arial"/>
          <w:sz w:val="18"/>
          <w:szCs w:val="18"/>
          <w:lang w:eastAsia="fr-FR"/>
        </w:rPr>
        <w:t>Sedikh</w:t>
      </w:r>
      <w:proofErr w:type="spellEnd"/>
      <w:r w:rsidR="006570BC" w:rsidRPr="006570BC">
        <w:rPr>
          <w:rFonts w:ascii="Arial" w:eastAsia="Times New Roman" w:hAnsi="Arial" w:cs="Arial"/>
          <w:sz w:val="18"/>
          <w:szCs w:val="18"/>
          <w:lang w:eastAsia="fr-FR"/>
        </w:rPr>
        <w:t xml:space="preserve"> BEYE</w:t>
      </w:r>
    </w:p>
    <w:p w14:paraId="68381D8E" w14:textId="77777777" w:rsidR="007535D7" w:rsidRPr="007535D7" w:rsidRDefault="007535D7" w:rsidP="007535D7">
      <w:pPr>
        <w:widowControl w:val="0"/>
        <w:pBdr>
          <w:top w:val="double" w:sz="4" w:space="0" w:color="auto"/>
          <w:left w:val="double" w:sz="4" w:space="0" w:color="auto"/>
          <w:bottom w:val="double" w:sz="4" w:space="0" w:color="auto"/>
          <w:right w:val="double" w:sz="4" w:space="31" w:color="auto"/>
        </w:pBdr>
        <w:shd w:val="pct5" w:color="auto" w:fill="FFFFFF"/>
        <w:overflowPunct w:val="0"/>
        <w:autoSpaceDE w:val="0"/>
        <w:autoSpaceDN w:val="0"/>
        <w:adjustRightInd w:val="0"/>
        <w:spacing w:after="0" w:line="240" w:lineRule="auto"/>
        <w:ind w:right="567"/>
        <w:jc w:val="both"/>
        <w:textAlignment w:val="baseline"/>
        <w:rPr>
          <w:rFonts w:ascii="Arial" w:eastAsia="Times New Roman" w:hAnsi="Arial" w:cs="Arial"/>
          <w:sz w:val="18"/>
          <w:szCs w:val="18"/>
          <w:lang w:eastAsia="fr-FR"/>
        </w:rPr>
      </w:pPr>
      <w:r w:rsidRPr="007535D7">
        <w:rPr>
          <w:rFonts w:ascii="Arial" w:eastAsia="Times New Roman" w:hAnsi="Arial" w:cs="Arial"/>
          <w:b/>
          <w:bCs/>
          <w:sz w:val="18"/>
          <w:szCs w:val="20"/>
          <w:lang w:eastAsia="fr-FR"/>
        </w:rPr>
        <w:t>Directeur Général Adjoint :</w:t>
      </w:r>
      <w:r w:rsidRPr="007535D7">
        <w:rPr>
          <w:rFonts w:ascii="Arial" w:eastAsia="Times New Roman" w:hAnsi="Arial" w:cs="Arial"/>
          <w:sz w:val="18"/>
          <w:szCs w:val="20"/>
          <w:lang w:eastAsia="fr-FR"/>
        </w:rPr>
        <w:t xml:space="preserve"> </w:t>
      </w:r>
      <w:r w:rsidRPr="007535D7">
        <w:rPr>
          <w:rFonts w:ascii="Arial" w:eastAsia="Times New Roman" w:hAnsi="Arial" w:cs="Arial"/>
          <w:sz w:val="18"/>
          <w:szCs w:val="18"/>
          <w:lang w:eastAsia="fr-FR"/>
        </w:rPr>
        <w:t>Abdou DIOUF</w:t>
      </w:r>
    </w:p>
    <w:p w14:paraId="4BD2CC4B" w14:textId="77777777" w:rsidR="007535D7" w:rsidRPr="007535D7" w:rsidRDefault="007535D7" w:rsidP="007535D7">
      <w:pPr>
        <w:widowControl w:val="0"/>
        <w:pBdr>
          <w:top w:val="double" w:sz="4" w:space="0" w:color="auto"/>
          <w:left w:val="double" w:sz="4" w:space="0" w:color="auto"/>
          <w:bottom w:val="double" w:sz="4" w:space="0" w:color="auto"/>
          <w:right w:val="double" w:sz="4" w:space="31" w:color="auto"/>
        </w:pBdr>
        <w:shd w:val="pct5" w:color="auto" w:fill="FFFFFF"/>
        <w:overflowPunct w:val="0"/>
        <w:autoSpaceDE w:val="0"/>
        <w:autoSpaceDN w:val="0"/>
        <w:adjustRightInd w:val="0"/>
        <w:spacing w:after="0" w:line="240" w:lineRule="auto"/>
        <w:ind w:right="567"/>
        <w:jc w:val="both"/>
        <w:textAlignment w:val="baseline"/>
        <w:rPr>
          <w:rFonts w:ascii="Arial" w:eastAsia="Times New Roman" w:hAnsi="Arial" w:cs="Arial"/>
          <w:sz w:val="18"/>
          <w:szCs w:val="20"/>
          <w:lang w:eastAsia="fr-FR"/>
        </w:rPr>
      </w:pPr>
      <w:r w:rsidRPr="007535D7">
        <w:rPr>
          <w:rFonts w:ascii="Arial" w:eastAsia="Times New Roman" w:hAnsi="Arial" w:cs="Arial"/>
          <w:b/>
          <w:bCs/>
          <w:sz w:val="18"/>
          <w:szCs w:val="20"/>
          <w:lang w:eastAsia="fr-FR"/>
        </w:rPr>
        <w:t>Directeur des Statistiques Economiques et de la Comptabilité Nationale :</w:t>
      </w:r>
      <w:r w:rsidRPr="007535D7">
        <w:rPr>
          <w:rFonts w:ascii="Arial" w:eastAsia="Times New Roman" w:hAnsi="Arial" w:cs="Arial"/>
          <w:bCs/>
          <w:sz w:val="18"/>
          <w:szCs w:val="20"/>
          <w:lang w:eastAsia="fr-FR"/>
        </w:rPr>
        <w:t xml:space="preserve"> Mamadou Ngalgou KANE</w:t>
      </w:r>
    </w:p>
    <w:p w14:paraId="70F42ED0" w14:textId="77777777" w:rsidR="007535D7" w:rsidRPr="007535D7" w:rsidRDefault="007535D7" w:rsidP="007535D7">
      <w:pPr>
        <w:widowControl w:val="0"/>
        <w:pBdr>
          <w:top w:val="double" w:sz="4" w:space="0" w:color="auto"/>
          <w:left w:val="double" w:sz="4" w:space="0" w:color="auto"/>
          <w:bottom w:val="double" w:sz="4" w:space="0" w:color="auto"/>
          <w:right w:val="double" w:sz="4" w:space="31" w:color="auto"/>
        </w:pBdr>
        <w:shd w:val="pct5" w:color="auto" w:fill="FFFFFF"/>
        <w:overflowPunct w:val="0"/>
        <w:autoSpaceDE w:val="0"/>
        <w:autoSpaceDN w:val="0"/>
        <w:adjustRightInd w:val="0"/>
        <w:spacing w:after="0" w:line="240" w:lineRule="auto"/>
        <w:ind w:right="567"/>
        <w:jc w:val="both"/>
        <w:textAlignment w:val="baseline"/>
        <w:rPr>
          <w:rFonts w:ascii="Arial" w:eastAsia="Times New Roman" w:hAnsi="Arial" w:cs="Arial"/>
          <w:sz w:val="18"/>
          <w:szCs w:val="20"/>
          <w:lang w:eastAsia="fr-FR"/>
        </w:rPr>
      </w:pPr>
      <w:r w:rsidRPr="007535D7">
        <w:rPr>
          <w:rFonts w:ascii="Arial" w:eastAsia="Times New Roman" w:hAnsi="Arial" w:cs="Arial"/>
          <w:b/>
          <w:bCs/>
          <w:sz w:val="18"/>
          <w:szCs w:val="20"/>
          <w:lang w:eastAsia="fr-FR"/>
        </w:rPr>
        <w:t>Chef de la Division des Statistiques Conjoncturelles</w:t>
      </w:r>
      <w:r w:rsidR="00E346A1">
        <w:rPr>
          <w:rFonts w:ascii="Arial" w:eastAsia="Times New Roman" w:hAnsi="Arial" w:cs="Arial"/>
          <w:b/>
          <w:bCs/>
          <w:sz w:val="18"/>
          <w:szCs w:val="20"/>
          <w:lang w:eastAsia="fr-FR"/>
        </w:rPr>
        <w:t xml:space="preserve"> </w:t>
      </w:r>
      <w:r w:rsidRPr="007535D7">
        <w:rPr>
          <w:rFonts w:ascii="Arial" w:eastAsia="Times New Roman" w:hAnsi="Arial" w:cs="Arial"/>
          <w:b/>
          <w:bCs/>
          <w:sz w:val="18"/>
          <w:szCs w:val="20"/>
          <w:lang w:eastAsia="fr-FR"/>
        </w:rPr>
        <w:t xml:space="preserve">: </w:t>
      </w:r>
      <w:r w:rsidRPr="007535D7">
        <w:rPr>
          <w:rFonts w:ascii="Arial" w:eastAsia="Times New Roman" w:hAnsi="Arial" w:cs="Arial"/>
          <w:bCs/>
          <w:sz w:val="18"/>
          <w:szCs w:val="20"/>
          <w:lang w:eastAsia="fr-FR"/>
        </w:rPr>
        <w:t>Amath DIAGO</w:t>
      </w:r>
    </w:p>
    <w:p w14:paraId="62B4CC09" w14:textId="77777777" w:rsidR="007535D7" w:rsidRPr="007535D7" w:rsidRDefault="007535D7" w:rsidP="007535D7">
      <w:pPr>
        <w:widowControl w:val="0"/>
        <w:pBdr>
          <w:top w:val="double" w:sz="4" w:space="0" w:color="auto"/>
          <w:left w:val="double" w:sz="4" w:space="0" w:color="auto"/>
          <w:bottom w:val="double" w:sz="4" w:space="0" w:color="auto"/>
          <w:right w:val="double" w:sz="4" w:space="31" w:color="auto"/>
        </w:pBdr>
        <w:shd w:val="pct5" w:color="auto" w:fill="FFFFFF"/>
        <w:overflowPunct w:val="0"/>
        <w:autoSpaceDE w:val="0"/>
        <w:autoSpaceDN w:val="0"/>
        <w:adjustRightInd w:val="0"/>
        <w:spacing w:after="0" w:line="240" w:lineRule="auto"/>
        <w:ind w:right="567"/>
        <w:jc w:val="both"/>
        <w:textAlignment w:val="baseline"/>
        <w:rPr>
          <w:rFonts w:ascii="Arial" w:eastAsia="Times New Roman" w:hAnsi="Arial" w:cs="Arial"/>
          <w:sz w:val="18"/>
          <w:szCs w:val="20"/>
          <w:lang w:eastAsia="fr-FR"/>
        </w:rPr>
      </w:pPr>
      <w:r w:rsidRPr="007535D7">
        <w:rPr>
          <w:rFonts w:ascii="Arial" w:eastAsia="Times New Roman" w:hAnsi="Arial" w:cs="Arial"/>
          <w:b/>
          <w:bCs/>
          <w:sz w:val="18"/>
          <w:szCs w:val="20"/>
          <w:lang w:eastAsia="fr-FR"/>
        </w:rPr>
        <w:t>Chef</w:t>
      </w:r>
      <w:r w:rsidRPr="007535D7">
        <w:rPr>
          <w:rFonts w:ascii="Arial" w:eastAsia="Times New Roman" w:hAnsi="Arial" w:cs="Arial"/>
          <w:b/>
          <w:sz w:val="18"/>
          <w:szCs w:val="20"/>
          <w:lang w:eastAsia="fr-FR"/>
        </w:rPr>
        <w:t xml:space="preserve"> du Bureau des Prix :</w:t>
      </w:r>
      <w:r w:rsidRPr="007535D7">
        <w:rPr>
          <w:rFonts w:ascii="Arial" w:eastAsia="Times New Roman" w:hAnsi="Arial" w:cs="Arial"/>
          <w:sz w:val="18"/>
          <w:szCs w:val="20"/>
          <w:lang w:eastAsia="fr-FR"/>
        </w:rPr>
        <w:t xml:space="preserve"> El Hadji Malick CISSE</w:t>
      </w:r>
    </w:p>
    <w:p w14:paraId="4D045374" w14:textId="77777777" w:rsidR="007535D7" w:rsidRPr="007535D7" w:rsidRDefault="007535D7" w:rsidP="007535D7">
      <w:pPr>
        <w:widowControl w:val="0"/>
        <w:pBdr>
          <w:top w:val="double" w:sz="4" w:space="0" w:color="auto"/>
          <w:left w:val="double" w:sz="4" w:space="0" w:color="auto"/>
          <w:bottom w:val="double" w:sz="4" w:space="0" w:color="auto"/>
          <w:right w:val="double" w:sz="4" w:space="31" w:color="auto"/>
        </w:pBdr>
        <w:shd w:val="pct5" w:color="auto" w:fill="FFFFFF"/>
        <w:overflowPunct w:val="0"/>
        <w:autoSpaceDE w:val="0"/>
        <w:autoSpaceDN w:val="0"/>
        <w:adjustRightInd w:val="0"/>
        <w:spacing w:after="0" w:line="240" w:lineRule="auto"/>
        <w:ind w:right="567"/>
        <w:jc w:val="both"/>
        <w:textAlignment w:val="baseline"/>
        <w:rPr>
          <w:rFonts w:ascii="Arial" w:eastAsia="Times New Roman" w:hAnsi="Arial" w:cs="Arial"/>
          <w:sz w:val="18"/>
          <w:szCs w:val="20"/>
          <w:lang w:eastAsia="fr-FR"/>
        </w:rPr>
      </w:pPr>
      <w:r w:rsidRPr="007535D7">
        <w:rPr>
          <w:rFonts w:ascii="Arial" w:eastAsia="Times New Roman" w:hAnsi="Arial" w:cs="Arial"/>
          <w:b/>
          <w:sz w:val="18"/>
          <w:szCs w:val="20"/>
          <w:lang w:eastAsia="fr-FR"/>
        </w:rPr>
        <w:t>Comité de rédaction :</w:t>
      </w:r>
      <w:r w:rsidRPr="007535D7">
        <w:rPr>
          <w:rFonts w:ascii="Arial" w:eastAsia="Times New Roman" w:hAnsi="Arial" w:cs="Arial"/>
          <w:sz w:val="18"/>
          <w:szCs w:val="20"/>
          <w:lang w:eastAsia="fr-FR"/>
        </w:rPr>
        <w:t xml:space="preserve"> El Hadji Malick CISSE, </w:t>
      </w:r>
      <w:r>
        <w:rPr>
          <w:rFonts w:ascii="Arial" w:eastAsia="Times New Roman" w:hAnsi="Arial" w:cs="Arial"/>
          <w:sz w:val="18"/>
          <w:szCs w:val="20"/>
          <w:lang w:eastAsia="fr-FR"/>
        </w:rPr>
        <w:t xml:space="preserve">Ibrahima THIAM, </w:t>
      </w:r>
      <w:r w:rsidRPr="007535D7">
        <w:rPr>
          <w:rFonts w:ascii="Arial" w:eastAsia="Times New Roman" w:hAnsi="Arial" w:cs="Arial"/>
          <w:sz w:val="18"/>
          <w:szCs w:val="20"/>
          <w:lang w:eastAsia="fr-FR"/>
        </w:rPr>
        <w:t>Ndèye Mareme DIOP, Modou Dame DIOP</w:t>
      </w:r>
      <w:r w:rsidR="00E346A1">
        <w:rPr>
          <w:rFonts w:ascii="Arial" w:eastAsia="Times New Roman" w:hAnsi="Arial" w:cs="Arial"/>
          <w:sz w:val="18"/>
          <w:szCs w:val="20"/>
          <w:lang w:eastAsia="fr-FR"/>
        </w:rPr>
        <w:t>, Abdou Salam NIANG</w:t>
      </w:r>
    </w:p>
    <w:p w14:paraId="3A026F58" w14:textId="77777777" w:rsidR="007535D7" w:rsidRPr="006B0E7F" w:rsidRDefault="007535D7" w:rsidP="007535D7">
      <w:pPr>
        <w:widowControl w:val="0"/>
        <w:pBdr>
          <w:top w:val="double" w:sz="4" w:space="0" w:color="auto"/>
          <w:left w:val="double" w:sz="4" w:space="0" w:color="auto"/>
          <w:bottom w:val="double" w:sz="4" w:space="0" w:color="auto"/>
          <w:right w:val="double" w:sz="4" w:space="31" w:color="auto"/>
        </w:pBdr>
        <w:shd w:val="pct5" w:color="auto" w:fill="FFFFFF"/>
        <w:overflowPunct w:val="0"/>
        <w:autoSpaceDE w:val="0"/>
        <w:autoSpaceDN w:val="0"/>
        <w:adjustRightInd w:val="0"/>
        <w:spacing w:after="0" w:line="240" w:lineRule="auto"/>
        <w:ind w:right="567"/>
        <w:jc w:val="both"/>
        <w:textAlignment w:val="baseline"/>
        <w:rPr>
          <w:rFonts w:ascii="Arial" w:eastAsia="Times New Roman" w:hAnsi="Arial" w:cs="Arial"/>
          <w:sz w:val="18"/>
          <w:szCs w:val="20"/>
          <w:lang w:eastAsia="fr-FR"/>
        </w:rPr>
      </w:pPr>
      <w:r w:rsidRPr="006B0E7F">
        <w:rPr>
          <w:rFonts w:ascii="Arial" w:eastAsia="Times New Roman" w:hAnsi="Arial" w:cs="Arial"/>
          <w:b/>
          <w:sz w:val="18"/>
          <w:szCs w:val="20"/>
          <w:lang w:eastAsia="fr-FR"/>
        </w:rPr>
        <w:t>Collaborateurs :</w:t>
      </w:r>
      <w:r w:rsidRPr="006B0E7F">
        <w:rPr>
          <w:rFonts w:ascii="Arial" w:eastAsia="Times New Roman" w:hAnsi="Arial" w:cs="Arial"/>
          <w:sz w:val="18"/>
          <w:szCs w:val="20"/>
          <w:lang w:eastAsia="fr-FR"/>
        </w:rPr>
        <w:t xml:space="preserve"> Khoudia WADE, Serigne THIAM, Saliou MBENGUE, </w:t>
      </w:r>
      <w:proofErr w:type="spellStart"/>
      <w:r w:rsidR="00E346A1">
        <w:rPr>
          <w:rFonts w:ascii="Arial" w:eastAsia="Times New Roman" w:hAnsi="Arial" w:cs="Arial"/>
          <w:sz w:val="18"/>
          <w:szCs w:val="20"/>
          <w:lang w:eastAsia="fr-FR"/>
        </w:rPr>
        <w:t>Ndiassé</w:t>
      </w:r>
      <w:proofErr w:type="spellEnd"/>
      <w:r w:rsidR="00E346A1">
        <w:rPr>
          <w:rFonts w:ascii="Arial" w:eastAsia="Times New Roman" w:hAnsi="Arial" w:cs="Arial"/>
          <w:sz w:val="18"/>
          <w:szCs w:val="20"/>
          <w:lang w:eastAsia="fr-FR"/>
        </w:rPr>
        <w:t xml:space="preserve"> WADE</w:t>
      </w:r>
      <w:r w:rsidRPr="006B0E7F">
        <w:rPr>
          <w:rFonts w:ascii="Arial" w:eastAsia="Times New Roman" w:hAnsi="Arial" w:cs="Arial"/>
          <w:sz w:val="18"/>
          <w:szCs w:val="20"/>
          <w:lang w:eastAsia="fr-FR"/>
        </w:rPr>
        <w:t xml:space="preserve">, </w:t>
      </w:r>
      <w:r w:rsidRPr="006B0E7F">
        <w:rPr>
          <w:rFonts w:ascii="Arial" w:eastAsia="Times New Roman" w:hAnsi="Arial" w:cs="Arial"/>
          <w:sz w:val="18"/>
          <w:szCs w:val="18"/>
          <w:lang w:eastAsia="fr-FR"/>
        </w:rPr>
        <w:t>Alioune TAMBOURA</w:t>
      </w:r>
    </w:p>
    <w:p w14:paraId="0A765385" w14:textId="59948298" w:rsidR="007535D7" w:rsidRPr="007535D7" w:rsidRDefault="007535D7" w:rsidP="007535D7">
      <w:pPr>
        <w:widowControl w:val="0"/>
        <w:pBdr>
          <w:top w:val="double" w:sz="4" w:space="0" w:color="auto"/>
          <w:left w:val="double" w:sz="4" w:space="0" w:color="auto"/>
          <w:bottom w:val="double" w:sz="4" w:space="0" w:color="auto"/>
          <w:right w:val="double" w:sz="4" w:space="31" w:color="auto"/>
        </w:pBdr>
        <w:shd w:val="pct5" w:color="auto" w:fill="FFFFFF"/>
        <w:overflowPunct w:val="0"/>
        <w:autoSpaceDE w:val="0"/>
        <w:autoSpaceDN w:val="0"/>
        <w:adjustRightInd w:val="0"/>
        <w:spacing w:after="0" w:line="240" w:lineRule="auto"/>
        <w:ind w:right="567"/>
        <w:jc w:val="both"/>
        <w:textAlignment w:val="baseline"/>
        <w:rPr>
          <w:rFonts w:ascii="Arial" w:eastAsia="Times New Roman" w:hAnsi="Arial" w:cs="Arial"/>
          <w:sz w:val="18"/>
          <w:szCs w:val="20"/>
          <w:lang w:eastAsia="fr-FR"/>
        </w:rPr>
      </w:pPr>
      <w:r w:rsidRPr="007535D7">
        <w:rPr>
          <w:rFonts w:ascii="Arial" w:eastAsia="Times New Roman" w:hAnsi="Arial" w:cs="Arial"/>
          <w:b/>
          <w:bCs/>
          <w:sz w:val="18"/>
          <w:szCs w:val="20"/>
          <w:lang w:eastAsia="fr-FR"/>
        </w:rPr>
        <w:t>Distribution</w:t>
      </w:r>
      <w:r w:rsidRPr="007535D7">
        <w:rPr>
          <w:rFonts w:ascii="Arial" w:eastAsia="Times New Roman" w:hAnsi="Arial" w:cs="Arial"/>
          <w:b/>
          <w:sz w:val="18"/>
          <w:szCs w:val="20"/>
          <w:lang w:eastAsia="fr-FR"/>
        </w:rPr>
        <w:t xml:space="preserve"> :</w:t>
      </w:r>
      <w:r w:rsidR="006F7CA0">
        <w:rPr>
          <w:rFonts w:ascii="Arial" w:eastAsia="Times New Roman" w:hAnsi="Arial" w:cs="Arial"/>
          <w:sz w:val="18"/>
          <w:szCs w:val="20"/>
          <w:lang w:eastAsia="fr-FR"/>
        </w:rPr>
        <w:t xml:space="preserve"> Division de la Diffusion</w:t>
      </w:r>
      <w:r w:rsidRPr="007535D7">
        <w:rPr>
          <w:rFonts w:ascii="Arial" w:eastAsia="Times New Roman" w:hAnsi="Arial" w:cs="Arial"/>
          <w:sz w:val="18"/>
          <w:szCs w:val="20"/>
          <w:lang w:eastAsia="fr-FR"/>
        </w:rPr>
        <w:t>: El Hadji Malick GUEYE, Alain François DIATTA</w:t>
      </w:r>
    </w:p>
    <w:p w14:paraId="786ED2E8" w14:textId="77777777" w:rsidR="007535D7" w:rsidRDefault="007535D7" w:rsidP="0069474E">
      <w:pPr>
        <w:rPr>
          <w:rFonts w:ascii="Arial" w:hAnsi="Arial" w:cs="Arial"/>
          <w:b/>
          <w:bCs/>
          <w:sz w:val="16"/>
          <w:szCs w:val="16"/>
        </w:rPr>
      </w:pPr>
    </w:p>
    <w:sectPr w:rsidR="007535D7" w:rsidSect="000F645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1C055" w14:textId="77777777" w:rsidR="007D29A2" w:rsidRDefault="007D29A2" w:rsidP="00093CD3">
      <w:pPr>
        <w:spacing w:after="0" w:line="240" w:lineRule="auto"/>
      </w:pPr>
      <w:r>
        <w:separator/>
      </w:r>
    </w:p>
  </w:endnote>
  <w:endnote w:type="continuationSeparator" w:id="0">
    <w:p w14:paraId="48619015" w14:textId="77777777" w:rsidR="007D29A2" w:rsidRDefault="007D29A2" w:rsidP="0009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4033D" w14:textId="717933BB" w:rsidR="00144D73" w:rsidRPr="00871CA5" w:rsidRDefault="00144D73" w:rsidP="00D438DA">
    <w:pPr>
      <w:pStyle w:val="Pieddepage"/>
      <w:tabs>
        <w:tab w:val="clear" w:pos="4536"/>
        <w:tab w:val="clear" w:pos="9072"/>
        <w:tab w:val="center" w:pos="0"/>
        <w:tab w:val="right" w:leader="underscore" w:pos="10773"/>
      </w:tabs>
      <w:ind w:right="1"/>
      <w:rPr>
        <w:rFonts w:ascii="Arial" w:hAnsi="Arial" w:cs="Arial"/>
        <w:sz w:val="20"/>
        <w:szCs w:val="20"/>
      </w:rPr>
    </w:pPr>
    <w:r w:rsidRPr="00871CA5">
      <w:rPr>
        <w:rFonts w:ascii="Arial" w:hAnsi="Arial" w:cs="Arial"/>
        <w:sz w:val="20"/>
        <w:szCs w:val="20"/>
      </w:rPr>
      <w:t xml:space="preserve">© ANSD/DSECN/DSC/BP/IHPC </w:t>
    </w:r>
    <w:r>
      <w:rPr>
        <w:rFonts w:ascii="Arial" w:hAnsi="Arial" w:cs="Arial"/>
        <w:sz w:val="20"/>
        <w:szCs w:val="20"/>
      </w:rPr>
      <w:t>février 2023</w:t>
    </w:r>
    <w:r w:rsidRPr="00871CA5">
      <w:rPr>
        <w:rFonts w:ascii="Arial" w:hAnsi="Arial" w:cs="Arial"/>
        <w:sz w:val="20"/>
        <w:szCs w:val="20"/>
      </w:rPr>
      <w:t xml:space="preserve">                                                                      </w:t>
    </w:r>
    <w:r w:rsidRPr="00871CA5">
      <w:rPr>
        <w:rStyle w:val="Numrodepage"/>
        <w:rFonts w:ascii="Arial" w:hAnsi="Arial" w:cs="Arial"/>
        <w:sz w:val="20"/>
        <w:szCs w:val="20"/>
      </w:rPr>
      <w:fldChar w:fldCharType="begin"/>
    </w:r>
    <w:r w:rsidRPr="00871CA5">
      <w:rPr>
        <w:rStyle w:val="Numrodepage"/>
        <w:rFonts w:ascii="Arial" w:hAnsi="Arial" w:cs="Arial"/>
        <w:sz w:val="20"/>
        <w:szCs w:val="20"/>
      </w:rPr>
      <w:instrText xml:space="preserve"> PAGE </w:instrText>
    </w:r>
    <w:r w:rsidRPr="00871CA5">
      <w:rPr>
        <w:rStyle w:val="Numrodepage"/>
        <w:rFonts w:ascii="Arial" w:hAnsi="Arial" w:cs="Arial"/>
        <w:sz w:val="20"/>
        <w:szCs w:val="20"/>
      </w:rPr>
      <w:fldChar w:fldCharType="separate"/>
    </w:r>
    <w:r w:rsidR="006F7CA0">
      <w:rPr>
        <w:rStyle w:val="Numrodepage"/>
        <w:rFonts w:ascii="Arial" w:hAnsi="Arial" w:cs="Arial"/>
        <w:noProof/>
        <w:sz w:val="20"/>
        <w:szCs w:val="20"/>
      </w:rPr>
      <w:t>6</w:t>
    </w:r>
    <w:r w:rsidRPr="00871CA5">
      <w:rPr>
        <w:rStyle w:val="Numrodepage"/>
        <w:rFonts w:ascii="Arial" w:hAnsi="Arial" w:cs="Arial"/>
        <w:sz w:val="20"/>
        <w:szCs w:val="20"/>
      </w:rPr>
      <w:fldChar w:fldCharType="end"/>
    </w:r>
    <w:r w:rsidRPr="00871CA5">
      <w:rPr>
        <w:rStyle w:val="Numrodepage"/>
        <w:rFonts w:ascii="Arial" w:hAnsi="Arial" w:cs="Arial"/>
        <w:sz w:val="20"/>
        <w:szCs w:val="20"/>
      </w:rPr>
      <w:t>/</w:t>
    </w:r>
    <w:r w:rsidRPr="00871CA5">
      <w:rPr>
        <w:rStyle w:val="Numrodepage"/>
        <w:rFonts w:ascii="Arial" w:hAnsi="Arial" w:cs="Arial"/>
        <w:sz w:val="20"/>
        <w:szCs w:val="20"/>
      </w:rPr>
      <w:fldChar w:fldCharType="begin"/>
    </w:r>
    <w:r w:rsidRPr="00871CA5">
      <w:rPr>
        <w:rStyle w:val="Numrodepage"/>
        <w:rFonts w:ascii="Arial" w:hAnsi="Arial" w:cs="Arial"/>
        <w:sz w:val="20"/>
        <w:szCs w:val="20"/>
      </w:rPr>
      <w:instrText xml:space="preserve"> NUMPAGES </w:instrText>
    </w:r>
    <w:r w:rsidRPr="00871CA5">
      <w:rPr>
        <w:rStyle w:val="Numrodepage"/>
        <w:rFonts w:ascii="Arial" w:hAnsi="Arial" w:cs="Arial"/>
        <w:sz w:val="20"/>
        <w:szCs w:val="20"/>
      </w:rPr>
      <w:fldChar w:fldCharType="separate"/>
    </w:r>
    <w:r w:rsidR="006F7CA0">
      <w:rPr>
        <w:rStyle w:val="Numrodepage"/>
        <w:rFonts w:ascii="Arial" w:hAnsi="Arial" w:cs="Arial"/>
        <w:noProof/>
        <w:sz w:val="20"/>
        <w:szCs w:val="20"/>
      </w:rPr>
      <w:t>6</w:t>
    </w:r>
    <w:r w:rsidRPr="00871CA5">
      <w:rPr>
        <w:rStyle w:val="Numrodepage"/>
        <w:rFonts w:ascii="Arial" w:hAnsi="Arial" w:cs="Arial"/>
        <w:sz w:val="20"/>
        <w:szCs w:val="20"/>
      </w:rPr>
      <w:fldChar w:fldCharType="end"/>
    </w:r>
    <w:r w:rsidRPr="00871CA5">
      <w:rPr>
        <w:rFonts w:ascii="Arial" w:hAnsi="Arial" w:cs="Arial"/>
        <w:sz w:val="20"/>
        <w:szCs w:val="20"/>
      </w:rPr>
      <w:t xml:space="preserve">                                                                            </w:t>
    </w:r>
  </w:p>
  <w:p w14:paraId="605D2422" w14:textId="77777777" w:rsidR="00144D73" w:rsidRPr="00D438DA" w:rsidRDefault="00144D73" w:rsidP="00D438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F3479" w14:textId="77777777" w:rsidR="007D29A2" w:rsidRDefault="007D29A2" w:rsidP="00093CD3">
      <w:pPr>
        <w:spacing w:after="0" w:line="240" w:lineRule="auto"/>
      </w:pPr>
      <w:r>
        <w:separator/>
      </w:r>
    </w:p>
  </w:footnote>
  <w:footnote w:type="continuationSeparator" w:id="0">
    <w:p w14:paraId="6FE2E328" w14:textId="77777777" w:rsidR="007D29A2" w:rsidRDefault="007D29A2" w:rsidP="00093CD3">
      <w:pPr>
        <w:spacing w:after="0" w:line="240" w:lineRule="auto"/>
      </w:pPr>
      <w:r>
        <w:continuationSeparator/>
      </w:r>
    </w:p>
  </w:footnote>
  <w:footnote w:id="1">
    <w:p w14:paraId="599DEDA2" w14:textId="77777777" w:rsidR="00144D73" w:rsidRDefault="00144D73" w:rsidP="007D7597">
      <w:pPr>
        <w:pStyle w:val="Notedebasdepage"/>
      </w:pPr>
      <w:r>
        <w:rPr>
          <w:rStyle w:val="Appelnotedebasdep"/>
        </w:rPr>
        <w:footnoteRef/>
      </w:r>
      <w:r>
        <w:t xml:space="preserve"> Nomenclature de c</w:t>
      </w:r>
      <w:r w:rsidRPr="00912B8E">
        <w:t xml:space="preserve">lassification (Classification of </w:t>
      </w:r>
      <w:proofErr w:type="spellStart"/>
      <w:r w:rsidRPr="00912B8E">
        <w:t>Individual</w:t>
      </w:r>
      <w:proofErr w:type="spellEnd"/>
      <w:r>
        <w:t xml:space="preserve"> c</w:t>
      </w:r>
      <w:r w:rsidRPr="00912B8E">
        <w:t xml:space="preserve">onsomption by </w:t>
      </w:r>
      <w:proofErr w:type="spellStart"/>
      <w:r w:rsidRPr="00912B8E">
        <w:t>Purpose</w:t>
      </w:r>
      <w:proofErr w:type="spellEnd"/>
      <w:r w:rsidRPr="00912B8E">
        <w:t>), qui est structurée de façon emboîtée en fonctions, groupes</w:t>
      </w:r>
      <w:r>
        <w:t>,</w:t>
      </w:r>
      <w:r w:rsidRPr="00912B8E">
        <w:t xml:space="preserve"> sous-groupes</w:t>
      </w:r>
      <w:r>
        <w:t xml:space="preserve"> et postes.</w:t>
      </w:r>
    </w:p>
  </w:footnote>
  <w:footnote w:id="2">
    <w:p w14:paraId="30FF212F" w14:textId="77777777" w:rsidR="00144D73" w:rsidRPr="004855D9" w:rsidRDefault="00144D73" w:rsidP="004B5C75">
      <w:pPr>
        <w:pStyle w:val="Notedebasdepage"/>
        <w:spacing w:line="276" w:lineRule="auto"/>
        <w:rPr>
          <w:rFonts w:ascii="Arial" w:hAnsi="Arial" w:cs="Arial"/>
          <w:sz w:val="18"/>
        </w:rPr>
      </w:pPr>
      <w:r w:rsidRPr="004855D9">
        <w:rPr>
          <w:rStyle w:val="Appelnotedebasdep"/>
          <w:rFonts w:ascii="Arial" w:hAnsi="Arial" w:cs="Arial"/>
          <w:sz w:val="18"/>
        </w:rPr>
        <w:footnoteRef/>
      </w:r>
      <w:r w:rsidRPr="004855D9">
        <w:rPr>
          <w:rFonts w:ascii="Arial" w:hAnsi="Arial" w:cs="Arial"/>
          <w:sz w:val="18"/>
        </w:rPr>
        <w:t xml:space="preserve"> </w:t>
      </w:r>
      <w:r w:rsidRPr="009239D6">
        <w:rPr>
          <w:rFonts w:ascii="Arial" w:hAnsi="Arial" w:cs="Arial"/>
          <w:sz w:val="16"/>
          <w:szCs w:val="16"/>
        </w:rPr>
        <w:t xml:space="preserve">Classification permettant de suivre le niveau de l’inflation qui serait obtenu en dehors des phénomènes perturbateurs que sont les produits saisonniers et les produits énergétiques : Indice </w:t>
      </w:r>
      <w:r w:rsidRPr="009239D6">
        <w:rPr>
          <w:rFonts w:ascii="Arial" w:hAnsi="Arial" w:cs="Arial"/>
          <w:bCs/>
          <w:sz w:val="16"/>
          <w:szCs w:val="16"/>
        </w:rPr>
        <w:t>hors énergie et produits frais</w:t>
      </w:r>
      <w:r w:rsidRPr="009239D6">
        <w:rPr>
          <w:rFonts w:ascii="Arial" w:hAnsi="Arial" w:cs="Arial"/>
          <w:sz w:val="16"/>
          <w:szCs w:val="16"/>
        </w:rPr>
        <w:t>.</w:t>
      </w:r>
    </w:p>
  </w:footnote>
  <w:footnote w:id="3">
    <w:p w14:paraId="41C4C1ED" w14:textId="77777777" w:rsidR="00144D73" w:rsidRDefault="00144D73" w:rsidP="003106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233C14"/>
    <w:multiLevelType w:val="hybridMultilevel"/>
    <w:tmpl w:val="21D2E2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850"/>
    <w:rsid w:val="000001CA"/>
    <w:rsid w:val="00002750"/>
    <w:rsid w:val="00004646"/>
    <w:rsid w:val="00010927"/>
    <w:rsid w:val="00010B9A"/>
    <w:rsid w:val="00011A58"/>
    <w:rsid w:val="00012E71"/>
    <w:rsid w:val="00014128"/>
    <w:rsid w:val="000148DB"/>
    <w:rsid w:val="00020635"/>
    <w:rsid w:val="000221C3"/>
    <w:rsid w:val="0002223A"/>
    <w:rsid w:val="00032820"/>
    <w:rsid w:val="00034FCC"/>
    <w:rsid w:val="00037441"/>
    <w:rsid w:val="00040785"/>
    <w:rsid w:val="00043B04"/>
    <w:rsid w:val="000449D7"/>
    <w:rsid w:val="00051DE3"/>
    <w:rsid w:val="000571AC"/>
    <w:rsid w:val="00061D24"/>
    <w:rsid w:val="00061FF6"/>
    <w:rsid w:val="00076490"/>
    <w:rsid w:val="00077069"/>
    <w:rsid w:val="00082849"/>
    <w:rsid w:val="00085CFF"/>
    <w:rsid w:val="00087BB2"/>
    <w:rsid w:val="00093CD3"/>
    <w:rsid w:val="000979F2"/>
    <w:rsid w:val="000A49A9"/>
    <w:rsid w:val="000A75BC"/>
    <w:rsid w:val="000B38BD"/>
    <w:rsid w:val="000B3FFB"/>
    <w:rsid w:val="000B54DB"/>
    <w:rsid w:val="000B56AA"/>
    <w:rsid w:val="000B5E0F"/>
    <w:rsid w:val="000B7B91"/>
    <w:rsid w:val="000C0DF2"/>
    <w:rsid w:val="000C166D"/>
    <w:rsid w:val="000C1EAF"/>
    <w:rsid w:val="000C3278"/>
    <w:rsid w:val="000D155F"/>
    <w:rsid w:val="000D23B6"/>
    <w:rsid w:val="000E2518"/>
    <w:rsid w:val="000E465F"/>
    <w:rsid w:val="000E5CB1"/>
    <w:rsid w:val="000F287B"/>
    <w:rsid w:val="000F6456"/>
    <w:rsid w:val="000F6E5D"/>
    <w:rsid w:val="00101AAA"/>
    <w:rsid w:val="00107332"/>
    <w:rsid w:val="0011436B"/>
    <w:rsid w:val="001165A1"/>
    <w:rsid w:val="00116947"/>
    <w:rsid w:val="00125678"/>
    <w:rsid w:val="00132411"/>
    <w:rsid w:val="00132F6B"/>
    <w:rsid w:val="001403F7"/>
    <w:rsid w:val="00144D73"/>
    <w:rsid w:val="00151923"/>
    <w:rsid w:val="00160245"/>
    <w:rsid w:val="0017019C"/>
    <w:rsid w:val="00177907"/>
    <w:rsid w:val="00181BAD"/>
    <w:rsid w:val="001850B4"/>
    <w:rsid w:val="00195F14"/>
    <w:rsid w:val="00196120"/>
    <w:rsid w:val="001A1011"/>
    <w:rsid w:val="001A1A7A"/>
    <w:rsid w:val="001A1C8A"/>
    <w:rsid w:val="001A2AA3"/>
    <w:rsid w:val="001A2C84"/>
    <w:rsid w:val="001A4CAA"/>
    <w:rsid w:val="001B2A7F"/>
    <w:rsid w:val="001B41EC"/>
    <w:rsid w:val="001B55D8"/>
    <w:rsid w:val="001B58D0"/>
    <w:rsid w:val="001B7028"/>
    <w:rsid w:val="001C28B9"/>
    <w:rsid w:val="001C36EA"/>
    <w:rsid w:val="001C7A6D"/>
    <w:rsid w:val="001D72FF"/>
    <w:rsid w:val="001D7CD1"/>
    <w:rsid w:val="001E0102"/>
    <w:rsid w:val="001E5499"/>
    <w:rsid w:val="001F499A"/>
    <w:rsid w:val="002021DE"/>
    <w:rsid w:val="00213CAF"/>
    <w:rsid w:val="00216193"/>
    <w:rsid w:val="00216A33"/>
    <w:rsid w:val="00217882"/>
    <w:rsid w:val="00225380"/>
    <w:rsid w:val="00226974"/>
    <w:rsid w:val="00226EBB"/>
    <w:rsid w:val="00232850"/>
    <w:rsid w:val="00234FD7"/>
    <w:rsid w:val="00241C21"/>
    <w:rsid w:val="00245EA3"/>
    <w:rsid w:val="00245F0E"/>
    <w:rsid w:val="002473A8"/>
    <w:rsid w:val="002519C2"/>
    <w:rsid w:val="00254FFA"/>
    <w:rsid w:val="00255F75"/>
    <w:rsid w:val="002566A1"/>
    <w:rsid w:val="00256989"/>
    <w:rsid w:val="00261E03"/>
    <w:rsid w:val="002630C2"/>
    <w:rsid w:val="00264833"/>
    <w:rsid w:val="00264928"/>
    <w:rsid w:val="00271FA3"/>
    <w:rsid w:val="002737B7"/>
    <w:rsid w:val="00274756"/>
    <w:rsid w:val="002813FE"/>
    <w:rsid w:val="00284CE5"/>
    <w:rsid w:val="0028552D"/>
    <w:rsid w:val="00285E15"/>
    <w:rsid w:val="00287A7B"/>
    <w:rsid w:val="002911ED"/>
    <w:rsid w:val="00294EA2"/>
    <w:rsid w:val="00295CD6"/>
    <w:rsid w:val="002A07BE"/>
    <w:rsid w:val="002A53F4"/>
    <w:rsid w:val="002B1949"/>
    <w:rsid w:val="002B689C"/>
    <w:rsid w:val="002C23C6"/>
    <w:rsid w:val="002C308B"/>
    <w:rsid w:val="002C482A"/>
    <w:rsid w:val="002D4D24"/>
    <w:rsid w:val="002E0A45"/>
    <w:rsid w:val="002E4FD5"/>
    <w:rsid w:val="002E6D65"/>
    <w:rsid w:val="002E7AAB"/>
    <w:rsid w:val="002F31DC"/>
    <w:rsid w:val="002F4D72"/>
    <w:rsid w:val="002F7D00"/>
    <w:rsid w:val="00300C3B"/>
    <w:rsid w:val="00307934"/>
    <w:rsid w:val="0031032B"/>
    <w:rsid w:val="00310604"/>
    <w:rsid w:val="003151E5"/>
    <w:rsid w:val="00315C77"/>
    <w:rsid w:val="00316B8B"/>
    <w:rsid w:val="003267B8"/>
    <w:rsid w:val="003328F6"/>
    <w:rsid w:val="0033703D"/>
    <w:rsid w:val="00337BA3"/>
    <w:rsid w:val="00341C76"/>
    <w:rsid w:val="003453C8"/>
    <w:rsid w:val="00357FA9"/>
    <w:rsid w:val="00363959"/>
    <w:rsid w:val="00365CC4"/>
    <w:rsid w:val="003763D4"/>
    <w:rsid w:val="00377BA6"/>
    <w:rsid w:val="0038056F"/>
    <w:rsid w:val="00380C86"/>
    <w:rsid w:val="00381496"/>
    <w:rsid w:val="0038445E"/>
    <w:rsid w:val="00386494"/>
    <w:rsid w:val="00390EBB"/>
    <w:rsid w:val="0039467C"/>
    <w:rsid w:val="003966DF"/>
    <w:rsid w:val="003A1A3C"/>
    <w:rsid w:val="003A3B3E"/>
    <w:rsid w:val="003B02AB"/>
    <w:rsid w:val="003B0B31"/>
    <w:rsid w:val="003C32F7"/>
    <w:rsid w:val="003C3CAC"/>
    <w:rsid w:val="003C4785"/>
    <w:rsid w:val="003C62B3"/>
    <w:rsid w:val="003C7072"/>
    <w:rsid w:val="003D10F8"/>
    <w:rsid w:val="003D3C07"/>
    <w:rsid w:val="003D465A"/>
    <w:rsid w:val="003D576F"/>
    <w:rsid w:val="003D5A0F"/>
    <w:rsid w:val="003D72DC"/>
    <w:rsid w:val="003E024F"/>
    <w:rsid w:val="003E0825"/>
    <w:rsid w:val="003F1002"/>
    <w:rsid w:val="003F62EF"/>
    <w:rsid w:val="003F6500"/>
    <w:rsid w:val="003F66A6"/>
    <w:rsid w:val="004023EF"/>
    <w:rsid w:val="00406ECD"/>
    <w:rsid w:val="004155E3"/>
    <w:rsid w:val="00432E04"/>
    <w:rsid w:val="004334BA"/>
    <w:rsid w:val="00435452"/>
    <w:rsid w:val="004407A5"/>
    <w:rsid w:val="0044255C"/>
    <w:rsid w:val="004433BF"/>
    <w:rsid w:val="00443E59"/>
    <w:rsid w:val="004457A3"/>
    <w:rsid w:val="00451D41"/>
    <w:rsid w:val="00456718"/>
    <w:rsid w:val="00457845"/>
    <w:rsid w:val="0046091B"/>
    <w:rsid w:val="004725B3"/>
    <w:rsid w:val="00472A16"/>
    <w:rsid w:val="00472D02"/>
    <w:rsid w:val="00475D2E"/>
    <w:rsid w:val="004820AE"/>
    <w:rsid w:val="00482293"/>
    <w:rsid w:val="004854FD"/>
    <w:rsid w:val="00490306"/>
    <w:rsid w:val="004944AD"/>
    <w:rsid w:val="00496370"/>
    <w:rsid w:val="00496BAC"/>
    <w:rsid w:val="00496E5D"/>
    <w:rsid w:val="00497B04"/>
    <w:rsid w:val="004A3EDF"/>
    <w:rsid w:val="004B3FCC"/>
    <w:rsid w:val="004B5C75"/>
    <w:rsid w:val="004C1EB3"/>
    <w:rsid w:val="004C1F93"/>
    <w:rsid w:val="004C4071"/>
    <w:rsid w:val="004C67FD"/>
    <w:rsid w:val="004D22CC"/>
    <w:rsid w:val="00500F18"/>
    <w:rsid w:val="00506209"/>
    <w:rsid w:val="00512476"/>
    <w:rsid w:val="005129C7"/>
    <w:rsid w:val="0052606F"/>
    <w:rsid w:val="00532ACF"/>
    <w:rsid w:val="0055438F"/>
    <w:rsid w:val="0055470E"/>
    <w:rsid w:val="005825D7"/>
    <w:rsid w:val="005926A5"/>
    <w:rsid w:val="005943F7"/>
    <w:rsid w:val="00597987"/>
    <w:rsid w:val="005A20D4"/>
    <w:rsid w:val="005A27A2"/>
    <w:rsid w:val="005A486D"/>
    <w:rsid w:val="005B2AF7"/>
    <w:rsid w:val="005D2F2F"/>
    <w:rsid w:val="005E3EA3"/>
    <w:rsid w:val="005E6D56"/>
    <w:rsid w:val="005F5F73"/>
    <w:rsid w:val="0060130E"/>
    <w:rsid w:val="006048E7"/>
    <w:rsid w:val="006071D4"/>
    <w:rsid w:val="00611EA6"/>
    <w:rsid w:val="00620017"/>
    <w:rsid w:val="00620FF0"/>
    <w:rsid w:val="00623235"/>
    <w:rsid w:val="00624AAB"/>
    <w:rsid w:val="00631B6F"/>
    <w:rsid w:val="006329C2"/>
    <w:rsid w:val="0063318D"/>
    <w:rsid w:val="00636E3D"/>
    <w:rsid w:val="00640127"/>
    <w:rsid w:val="006404DB"/>
    <w:rsid w:val="00645FF1"/>
    <w:rsid w:val="006461A2"/>
    <w:rsid w:val="006521CE"/>
    <w:rsid w:val="0065511F"/>
    <w:rsid w:val="006560ED"/>
    <w:rsid w:val="00656AC7"/>
    <w:rsid w:val="006570BC"/>
    <w:rsid w:val="00657CF6"/>
    <w:rsid w:val="00661D75"/>
    <w:rsid w:val="00664F8F"/>
    <w:rsid w:val="006746A1"/>
    <w:rsid w:val="0068063F"/>
    <w:rsid w:val="00682FD9"/>
    <w:rsid w:val="00687D7D"/>
    <w:rsid w:val="006912BD"/>
    <w:rsid w:val="006924E8"/>
    <w:rsid w:val="00692AF6"/>
    <w:rsid w:val="0069474E"/>
    <w:rsid w:val="006967FE"/>
    <w:rsid w:val="00696CA0"/>
    <w:rsid w:val="006A1451"/>
    <w:rsid w:val="006A3860"/>
    <w:rsid w:val="006A40E3"/>
    <w:rsid w:val="006A4535"/>
    <w:rsid w:val="006A4C04"/>
    <w:rsid w:val="006A655B"/>
    <w:rsid w:val="006B0C9F"/>
    <w:rsid w:val="006B0E7F"/>
    <w:rsid w:val="006B2009"/>
    <w:rsid w:val="006B3180"/>
    <w:rsid w:val="006B5CB1"/>
    <w:rsid w:val="006D0C63"/>
    <w:rsid w:val="006D402D"/>
    <w:rsid w:val="006D7E15"/>
    <w:rsid w:val="006E1A31"/>
    <w:rsid w:val="006E252E"/>
    <w:rsid w:val="006E7F81"/>
    <w:rsid w:val="006F2B44"/>
    <w:rsid w:val="006F2C79"/>
    <w:rsid w:val="006F54A3"/>
    <w:rsid w:val="006F59BC"/>
    <w:rsid w:val="006F653F"/>
    <w:rsid w:val="006F7CA0"/>
    <w:rsid w:val="007025E1"/>
    <w:rsid w:val="0070268F"/>
    <w:rsid w:val="00702CE9"/>
    <w:rsid w:val="00703D60"/>
    <w:rsid w:val="0070516C"/>
    <w:rsid w:val="007058B1"/>
    <w:rsid w:val="007118B6"/>
    <w:rsid w:val="00711972"/>
    <w:rsid w:val="00714105"/>
    <w:rsid w:val="00720BFC"/>
    <w:rsid w:val="00724FEC"/>
    <w:rsid w:val="007327D3"/>
    <w:rsid w:val="00733955"/>
    <w:rsid w:val="00734993"/>
    <w:rsid w:val="00736187"/>
    <w:rsid w:val="00736603"/>
    <w:rsid w:val="0074175D"/>
    <w:rsid w:val="007535D7"/>
    <w:rsid w:val="0075671C"/>
    <w:rsid w:val="0075700C"/>
    <w:rsid w:val="00757644"/>
    <w:rsid w:val="00761AA6"/>
    <w:rsid w:val="00762227"/>
    <w:rsid w:val="00764F5B"/>
    <w:rsid w:val="007713BF"/>
    <w:rsid w:val="0077258C"/>
    <w:rsid w:val="00785B56"/>
    <w:rsid w:val="00786EEB"/>
    <w:rsid w:val="00796A05"/>
    <w:rsid w:val="007A2483"/>
    <w:rsid w:val="007A5B21"/>
    <w:rsid w:val="007A78C3"/>
    <w:rsid w:val="007B50B9"/>
    <w:rsid w:val="007C2C41"/>
    <w:rsid w:val="007C5769"/>
    <w:rsid w:val="007C6E93"/>
    <w:rsid w:val="007D29A2"/>
    <w:rsid w:val="007D7597"/>
    <w:rsid w:val="007E01D9"/>
    <w:rsid w:val="007E1E9E"/>
    <w:rsid w:val="007E2C65"/>
    <w:rsid w:val="007E39A3"/>
    <w:rsid w:val="007E52EB"/>
    <w:rsid w:val="007E7AFA"/>
    <w:rsid w:val="007E7C02"/>
    <w:rsid w:val="007F0EB6"/>
    <w:rsid w:val="007F27E2"/>
    <w:rsid w:val="007F3E9B"/>
    <w:rsid w:val="007F40C3"/>
    <w:rsid w:val="007F4365"/>
    <w:rsid w:val="007F6E73"/>
    <w:rsid w:val="00804D05"/>
    <w:rsid w:val="00806444"/>
    <w:rsid w:val="008127A6"/>
    <w:rsid w:val="00814ED5"/>
    <w:rsid w:val="00816AA0"/>
    <w:rsid w:val="0082214A"/>
    <w:rsid w:val="00822363"/>
    <w:rsid w:val="00825D10"/>
    <w:rsid w:val="00831C52"/>
    <w:rsid w:val="008335E5"/>
    <w:rsid w:val="00842444"/>
    <w:rsid w:val="0084668A"/>
    <w:rsid w:val="0085054D"/>
    <w:rsid w:val="008538C2"/>
    <w:rsid w:val="0085430F"/>
    <w:rsid w:val="00856385"/>
    <w:rsid w:val="00857A5F"/>
    <w:rsid w:val="00871CA5"/>
    <w:rsid w:val="008722E4"/>
    <w:rsid w:val="00873861"/>
    <w:rsid w:val="00875520"/>
    <w:rsid w:val="00885C12"/>
    <w:rsid w:val="0089135A"/>
    <w:rsid w:val="00892D7B"/>
    <w:rsid w:val="008931FD"/>
    <w:rsid w:val="008A18FD"/>
    <w:rsid w:val="008A350E"/>
    <w:rsid w:val="008A3930"/>
    <w:rsid w:val="008A42C3"/>
    <w:rsid w:val="008A4467"/>
    <w:rsid w:val="008B0434"/>
    <w:rsid w:val="008B698A"/>
    <w:rsid w:val="008C016E"/>
    <w:rsid w:val="008C1AF4"/>
    <w:rsid w:val="008D0289"/>
    <w:rsid w:val="008D30F6"/>
    <w:rsid w:val="008D67B4"/>
    <w:rsid w:val="008D7463"/>
    <w:rsid w:val="008F4C8F"/>
    <w:rsid w:val="008F5321"/>
    <w:rsid w:val="00911A77"/>
    <w:rsid w:val="0091400F"/>
    <w:rsid w:val="0091480D"/>
    <w:rsid w:val="00915CC4"/>
    <w:rsid w:val="00916DCB"/>
    <w:rsid w:val="009233A7"/>
    <w:rsid w:val="00930993"/>
    <w:rsid w:val="00930F4C"/>
    <w:rsid w:val="00933B39"/>
    <w:rsid w:val="00933E91"/>
    <w:rsid w:val="0094608E"/>
    <w:rsid w:val="009464A0"/>
    <w:rsid w:val="009506AC"/>
    <w:rsid w:val="00951947"/>
    <w:rsid w:val="00952E74"/>
    <w:rsid w:val="00955F6C"/>
    <w:rsid w:val="00956E36"/>
    <w:rsid w:val="00957A8F"/>
    <w:rsid w:val="009625A4"/>
    <w:rsid w:val="00963141"/>
    <w:rsid w:val="009631A9"/>
    <w:rsid w:val="009737A0"/>
    <w:rsid w:val="009876D2"/>
    <w:rsid w:val="009B3383"/>
    <w:rsid w:val="009C367D"/>
    <w:rsid w:val="009D565C"/>
    <w:rsid w:val="009D7A61"/>
    <w:rsid w:val="009E6C4C"/>
    <w:rsid w:val="00A03611"/>
    <w:rsid w:val="00A13A6F"/>
    <w:rsid w:val="00A24B2B"/>
    <w:rsid w:val="00A26704"/>
    <w:rsid w:val="00A271CF"/>
    <w:rsid w:val="00A31DFC"/>
    <w:rsid w:val="00A3416A"/>
    <w:rsid w:val="00A35E9D"/>
    <w:rsid w:val="00A40B73"/>
    <w:rsid w:val="00A42E55"/>
    <w:rsid w:val="00A4526A"/>
    <w:rsid w:val="00A5119D"/>
    <w:rsid w:val="00A52D3A"/>
    <w:rsid w:val="00A53685"/>
    <w:rsid w:val="00A56A03"/>
    <w:rsid w:val="00A572EE"/>
    <w:rsid w:val="00A62836"/>
    <w:rsid w:val="00A71726"/>
    <w:rsid w:val="00A71A53"/>
    <w:rsid w:val="00A71A70"/>
    <w:rsid w:val="00A767DF"/>
    <w:rsid w:val="00A83022"/>
    <w:rsid w:val="00A83058"/>
    <w:rsid w:val="00A839D9"/>
    <w:rsid w:val="00A8483F"/>
    <w:rsid w:val="00A854C9"/>
    <w:rsid w:val="00A86800"/>
    <w:rsid w:val="00A87988"/>
    <w:rsid w:val="00A928E6"/>
    <w:rsid w:val="00A92D75"/>
    <w:rsid w:val="00AA1C01"/>
    <w:rsid w:val="00AA543C"/>
    <w:rsid w:val="00AA6849"/>
    <w:rsid w:val="00AA6CD9"/>
    <w:rsid w:val="00AA77C2"/>
    <w:rsid w:val="00AB2214"/>
    <w:rsid w:val="00AC7F28"/>
    <w:rsid w:val="00AD1F86"/>
    <w:rsid w:val="00AD29F0"/>
    <w:rsid w:val="00AD342F"/>
    <w:rsid w:val="00AE12AF"/>
    <w:rsid w:val="00AE343E"/>
    <w:rsid w:val="00AF6387"/>
    <w:rsid w:val="00B00277"/>
    <w:rsid w:val="00B0162A"/>
    <w:rsid w:val="00B17F01"/>
    <w:rsid w:val="00B21C59"/>
    <w:rsid w:val="00B21C8E"/>
    <w:rsid w:val="00B22178"/>
    <w:rsid w:val="00B233FC"/>
    <w:rsid w:val="00B35076"/>
    <w:rsid w:val="00B539F1"/>
    <w:rsid w:val="00B6756C"/>
    <w:rsid w:val="00B727C3"/>
    <w:rsid w:val="00B740EC"/>
    <w:rsid w:val="00B82927"/>
    <w:rsid w:val="00B85146"/>
    <w:rsid w:val="00B85B56"/>
    <w:rsid w:val="00B92849"/>
    <w:rsid w:val="00B96DBA"/>
    <w:rsid w:val="00B972CC"/>
    <w:rsid w:val="00B974BB"/>
    <w:rsid w:val="00BA6668"/>
    <w:rsid w:val="00BA6917"/>
    <w:rsid w:val="00BA7F4E"/>
    <w:rsid w:val="00BB0F73"/>
    <w:rsid w:val="00BB199A"/>
    <w:rsid w:val="00BB22C2"/>
    <w:rsid w:val="00BC30A6"/>
    <w:rsid w:val="00BC39EC"/>
    <w:rsid w:val="00BC43F0"/>
    <w:rsid w:val="00BC6F65"/>
    <w:rsid w:val="00BC7129"/>
    <w:rsid w:val="00BD178F"/>
    <w:rsid w:val="00BD758C"/>
    <w:rsid w:val="00BE2870"/>
    <w:rsid w:val="00BE4045"/>
    <w:rsid w:val="00BE40BC"/>
    <w:rsid w:val="00BE5CFC"/>
    <w:rsid w:val="00BF1598"/>
    <w:rsid w:val="00BF6129"/>
    <w:rsid w:val="00C03734"/>
    <w:rsid w:val="00C045C7"/>
    <w:rsid w:val="00C05676"/>
    <w:rsid w:val="00C056FB"/>
    <w:rsid w:val="00C0644F"/>
    <w:rsid w:val="00C109EF"/>
    <w:rsid w:val="00C11429"/>
    <w:rsid w:val="00C201C0"/>
    <w:rsid w:val="00C265C6"/>
    <w:rsid w:val="00C27306"/>
    <w:rsid w:val="00C347E2"/>
    <w:rsid w:val="00C37279"/>
    <w:rsid w:val="00C40D14"/>
    <w:rsid w:val="00C41184"/>
    <w:rsid w:val="00C45720"/>
    <w:rsid w:val="00C51067"/>
    <w:rsid w:val="00C56873"/>
    <w:rsid w:val="00C67BBE"/>
    <w:rsid w:val="00C70552"/>
    <w:rsid w:val="00C70E68"/>
    <w:rsid w:val="00C8036E"/>
    <w:rsid w:val="00C84B2D"/>
    <w:rsid w:val="00C86505"/>
    <w:rsid w:val="00C9047D"/>
    <w:rsid w:val="00C90A5B"/>
    <w:rsid w:val="00C9105D"/>
    <w:rsid w:val="00CA5BC8"/>
    <w:rsid w:val="00CA61A2"/>
    <w:rsid w:val="00CA622A"/>
    <w:rsid w:val="00CB0FCE"/>
    <w:rsid w:val="00CB5853"/>
    <w:rsid w:val="00CC1092"/>
    <w:rsid w:val="00CC2E86"/>
    <w:rsid w:val="00CD21A8"/>
    <w:rsid w:val="00CD2A76"/>
    <w:rsid w:val="00CD44F9"/>
    <w:rsid w:val="00CD4606"/>
    <w:rsid w:val="00CD6DEB"/>
    <w:rsid w:val="00CD7DD8"/>
    <w:rsid w:val="00CE1701"/>
    <w:rsid w:val="00CE1E7A"/>
    <w:rsid w:val="00CE2A80"/>
    <w:rsid w:val="00CE3E5F"/>
    <w:rsid w:val="00CE5432"/>
    <w:rsid w:val="00CE6341"/>
    <w:rsid w:val="00CE6AEC"/>
    <w:rsid w:val="00CF4C24"/>
    <w:rsid w:val="00D02140"/>
    <w:rsid w:val="00D16EE0"/>
    <w:rsid w:val="00D175E6"/>
    <w:rsid w:val="00D17DDC"/>
    <w:rsid w:val="00D2592F"/>
    <w:rsid w:val="00D314B8"/>
    <w:rsid w:val="00D372EF"/>
    <w:rsid w:val="00D4057A"/>
    <w:rsid w:val="00D41DBC"/>
    <w:rsid w:val="00D438DA"/>
    <w:rsid w:val="00D45EDF"/>
    <w:rsid w:val="00D51D76"/>
    <w:rsid w:val="00D54355"/>
    <w:rsid w:val="00D55B8F"/>
    <w:rsid w:val="00D56831"/>
    <w:rsid w:val="00D67654"/>
    <w:rsid w:val="00D67F5C"/>
    <w:rsid w:val="00D73380"/>
    <w:rsid w:val="00D73EB9"/>
    <w:rsid w:val="00D87AE5"/>
    <w:rsid w:val="00D93E7E"/>
    <w:rsid w:val="00D96C97"/>
    <w:rsid w:val="00D96D8E"/>
    <w:rsid w:val="00D97007"/>
    <w:rsid w:val="00DA2594"/>
    <w:rsid w:val="00DA5D17"/>
    <w:rsid w:val="00DB2824"/>
    <w:rsid w:val="00DC05D2"/>
    <w:rsid w:val="00DD0B8D"/>
    <w:rsid w:val="00DD2DB5"/>
    <w:rsid w:val="00DE1243"/>
    <w:rsid w:val="00DE5A77"/>
    <w:rsid w:val="00DE6BBD"/>
    <w:rsid w:val="00DF0B5D"/>
    <w:rsid w:val="00DF1A66"/>
    <w:rsid w:val="00DF276E"/>
    <w:rsid w:val="00DF2BA6"/>
    <w:rsid w:val="00DF679C"/>
    <w:rsid w:val="00DF7BAA"/>
    <w:rsid w:val="00E004D9"/>
    <w:rsid w:val="00E04924"/>
    <w:rsid w:val="00E07EC8"/>
    <w:rsid w:val="00E12564"/>
    <w:rsid w:val="00E13030"/>
    <w:rsid w:val="00E163EF"/>
    <w:rsid w:val="00E20B4F"/>
    <w:rsid w:val="00E21C84"/>
    <w:rsid w:val="00E2672D"/>
    <w:rsid w:val="00E346A1"/>
    <w:rsid w:val="00E35240"/>
    <w:rsid w:val="00E35CCA"/>
    <w:rsid w:val="00E42B6A"/>
    <w:rsid w:val="00E42BE9"/>
    <w:rsid w:val="00E44133"/>
    <w:rsid w:val="00E47415"/>
    <w:rsid w:val="00E57894"/>
    <w:rsid w:val="00E6337D"/>
    <w:rsid w:val="00E641B1"/>
    <w:rsid w:val="00E72692"/>
    <w:rsid w:val="00E729A9"/>
    <w:rsid w:val="00E7528F"/>
    <w:rsid w:val="00E76A98"/>
    <w:rsid w:val="00E81B9A"/>
    <w:rsid w:val="00E90347"/>
    <w:rsid w:val="00E94146"/>
    <w:rsid w:val="00EA121B"/>
    <w:rsid w:val="00EA1699"/>
    <w:rsid w:val="00EA36CA"/>
    <w:rsid w:val="00EA51EA"/>
    <w:rsid w:val="00EB3FDA"/>
    <w:rsid w:val="00EB5AD2"/>
    <w:rsid w:val="00EB60CF"/>
    <w:rsid w:val="00EB6FB6"/>
    <w:rsid w:val="00EC4264"/>
    <w:rsid w:val="00EC783C"/>
    <w:rsid w:val="00ED1E6A"/>
    <w:rsid w:val="00ED22F6"/>
    <w:rsid w:val="00ED5151"/>
    <w:rsid w:val="00ED5CFF"/>
    <w:rsid w:val="00ED65B8"/>
    <w:rsid w:val="00EE217D"/>
    <w:rsid w:val="00EE26B7"/>
    <w:rsid w:val="00EE3A50"/>
    <w:rsid w:val="00EE4C05"/>
    <w:rsid w:val="00EF5C56"/>
    <w:rsid w:val="00F02711"/>
    <w:rsid w:val="00F02CBF"/>
    <w:rsid w:val="00F039A7"/>
    <w:rsid w:val="00F0578B"/>
    <w:rsid w:val="00F12115"/>
    <w:rsid w:val="00F129FC"/>
    <w:rsid w:val="00F12A2B"/>
    <w:rsid w:val="00F207AC"/>
    <w:rsid w:val="00F21B71"/>
    <w:rsid w:val="00F22443"/>
    <w:rsid w:val="00F226BB"/>
    <w:rsid w:val="00F24056"/>
    <w:rsid w:val="00F2491F"/>
    <w:rsid w:val="00F27292"/>
    <w:rsid w:val="00F2759E"/>
    <w:rsid w:val="00F40258"/>
    <w:rsid w:val="00F41772"/>
    <w:rsid w:val="00F51E07"/>
    <w:rsid w:val="00F52712"/>
    <w:rsid w:val="00F528D3"/>
    <w:rsid w:val="00F52BA5"/>
    <w:rsid w:val="00F64E7C"/>
    <w:rsid w:val="00F660AD"/>
    <w:rsid w:val="00F726CF"/>
    <w:rsid w:val="00F813C5"/>
    <w:rsid w:val="00F82957"/>
    <w:rsid w:val="00F910D8"/>
    <w:rsid w:val="00F963C4"/>
    <w:rsid w:val="00FA155E"/>
    <w:rsid w:val="00FA1DC0"/>
    <w:rsid w:val="00FA2EF0"/>
    <w:rsid w:val="00FA3254"/>
    <w:rsid w:val="00FB38B8"/>
    <w:rsid w:val="00FB5B75"/>
    <w:rsid w:val="00FB7E15"/>
    <w:rsid w:val="00FC2C30"/>
    <w:rsid w:val="00FC777D"/>
    <w:rsid w:val="00FD2411"/>
    <w:rsid w:val="00FE0CBF"/>
    <w:rsid w:val="00FE1519"/>
    <w:rsid w:val="00FE1FD2"/>
    <w:rsid w:val="00FE6D3B"/>
    <w:rsid w:val="00FF17AC"/>
    <w:rsid w:val="00FF3471"/>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82AB7"/>
  <w15:docId w15:val="{9F6EE1FD-B7C3-4B9B-AA3B-79FE783B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456"/>
  </w:style>
  <w:style w:type="paragraph" w:styleId="Titre4">
    <w:name w:val="heading 4"/>
    <w:basedOn w:val="Normal"/>
    <w:next w:val="Normal"/>
    <w:link w:val="Titre4Car"/>
    <w:qFormat/>
    <w:rsid w:val="00ED5CFF"/>
    <w:pPr>
      <w:keepNext/>
      <w:widowControl w:val="0"/>
      <w:overflowPunct w:val="0"/>
      <w:autoSpaceDE w:val="0"/>
      <w:autoSpaceDN w:val="0"/>
      <w:adjustRightInd w:val="0"/>
      <w:spacing w:after="0" w:line="240" w:lineRule="auto"/>
      <w:jc w:val="center"/>
      <w:textAlignment w:val="baseline"/>
      <w:outlineLvl w:val="3"/>
    </w:pPr>
    <w:rPr>
      <w:rFonts w:ascii="Times New Roman" w:eastAsia="Times New Roman" w:hAnsi="Times New Roman" w:cs="Times New Roman"/>
      <w:b/>
      <w:color w:val="000000"/>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rsid w:val="00ED5CFF"/>
    <w:rPr>
      <w:rFonts w:ascii="Times New Roman" w:eastAsia="Times New Roman" w:hAnsi="Times New Roman" w:cs="Times New Roman"/>
      <w:b/>
      <w:color w:val="000000"/>
      <w:sz w:val="20"/>
      <w:szCs w:val="20"/>
      <w:lang w:eastAsia="fr-FR"/>
    </w:rPr>
  </w:style>
  <w:style w:type="paragraph" w:styleId="Sansinterligne">
    <w:name w:val="No Spacing"/>
    <w:link w:val="SansinterligneCar"/>
    <w:uiPriority w:val="1"/>
    <w:qFormat/>
    <w:rsid w:val="004820AE"/>
    <w:pPr>
      <w:spacing w:after="0" w:line="240" w:lineRule="auto"/>
    </w:pPr>
    <w:rPr>
      <w:rFonts w:ascii="Calibri" w:eastAsia="Times New Roman" w:hAnsi="Calibri" w:cs="Times New Roman"/>
    </w:rPr>
  </w:style>
  <w:style w:type="character" w:customStyle="1" w:styleId="SansinterligneCar">
    <w:name w:val="Sans interligne Car"/>
    <w:link w:val="Sansinterligne"/>
    <w:uiPriority w:val="1"/>
    <w:rsid w:val="004820AE"/>
    <w:rPr>
      <w:rFonts w:ascii="Calibri" w:eastAsia="Times New Roman" w:hAnsi="Calibri" w:cs="Times New Roman"/>
    </w:rPr>
  </w:style>
  <w:style w:type="character" w:styleId="Lienhypertexte">
    <w:name w:val="Hyperlink"/>
    <w:basedOn w:val="Policepardfaut"/>
    <w:uiPriority w:val="99"/>
    <w:semiHidden/>
    <w:unhideWhenUsed/>
    <w:rsid w:val="0089135A"/>
    <w:rPr>
      <w:color w:val="0563C1"/>
      <w:u w:val="single"/>
    </w:rPr>
  </w:style>
  <w:style w:type="paragraph" w:styleId="Notedebasdepage">
    <w:name w:val="footnote text"/>
    <w:basedOn w:val="Normal"/>
    <w:link w:val="NotedebasdepageCar"/>
    <w:rsid w:val="00093CD3"/>
    <w:pPr>
      <w:widowControl w:val="0"/>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rsid w:val="00093CD3"/>
    <w:rPr>
      <w:rFonts w:ascii="Times New Roman" w:eastAsia="Times New Roman" w:hAnsi="Times New Roman" w:cs="Times New Roman"/>
      <w:sz w:val="20"/>
      <w:szCs w:val="20"/>
      <w:lang w:eastAsia="fr-FR"/>
    </w:rPr>
  </w:style>
  <w:style w:type="character" w:styleId="Appelnotedebasdep">
    <w:name w:val="footnote reference"/>
    <w:rsid w:val="00093CD3"/>
    <w:rPr>
      <w:vertAlign w:val="superscript"/>
    </w:rPr>
  </w:style>
  <w:style w:type="paragraph" w:styleId="En-tte">
    <w:name w:val="header"/>
    <w:basedOn w:val="Normal"/>
    <w:link w:val="En-tteCar"/>
    <w:unhideWhenUsed/>
    <w:rsid w:val="00831C52"/>
    <w:pPr>
      <w:tabs>
        <w:tab w:val="center" w:pos="4536"/>
        <w:tab w:val="right" w:pos="9072"/>
      </w:tabs>
      <w:spacing w:after="0" w:line="240" w:lineRule="auto"/>
    </w:pPr>
  </w:style>
  <w:style w:type="character" w:customStyle="1" w:styleId="En-tteCar">
    <w:name w:val="En-tête Car"/>
    <w:basedOn w:val="Policepardfaut"/>
    <w:link w:val="En-tte"/>
    <w:rsid w:val="00831C52"/>
  </w:style>
  <w:style w:type="paragraph" w:styleId="Pieddepage">
    <w:name w:val="footer"/>
    <w:basedOn w:val="Normal"/>
    <w:link w:val="PieddepageCar"/>
    <w:unhideWhenUsed/>
    <w:rsid w:val="00831C52"/>
    <w:pPr>
      <w:tabs>
        <w:tab w:val="center" w:pos="4536"/>
        <w:tab w:val="right" w:pos="9072"/>
      </w:tabs>
      <w:spacing w:after="0" w:line="240" w:lineRule="auto"/>
    </w:pPr>
  </w:style>
  <w:style w:type="character" w:customStyle="1" w:styleId="PieddepageCar">
    <w:name w:val="Pied de page Car"/>
    <w:basedOn w:val="Policepardfaut"/>
    <w:link w:val="Pieddepage"/>
    <w:rsid w:val="00831C52"/>
  </w:style>
  <w:style w:type="paragraph" w:styleId="Textedebulles">
    <w:name w:val="Balloon Text"/>
    <w:basedOn w:val="Normal"/>
    <w:link w:val="TextedebullesCar"/>
    <w:uiPriority w:val="99"/>
    <w:semiHidden/>
    <w:unhideWhenUsed/>
    <w:rsid w:val="00C114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11429"/>
    <w:rPr>
      <w:rFonts w:ascii="Segoe UI" w:hAnsi="Segoe UI" w:cs="Segoe UI"/>
      <w:sz w:val="18"/>
      <w:szCs w:val="18"/>
    </w:rPr>
  </w:style>
  <w:style w:type="character" w:styleId="Marquedecommentaire">
    <w:name w:val="annotation reference"/>
    <w:basedOn w:val="Policepardfaut"/>
    <w:uiPriority w:val="99"/>
    <w:semiHidden/>
    <w:unhideWhenUsed/>
    <w:rsid w:val="00F51E07"/>
    <w:rPr>
      <w:sz w:val="16"/>
      <w:szCs w:val="16"/>
    </w:rPr>
  </w:style>
  <w:style w:type="paragraph" w:styleId="Commentaire">
    <w:name w:val="annotation text"/>
    <w:basedOn w:val="Normal"/>
    <w:link w:val="CommentaireCar"/>
    <w:uiPriority w:val="99"/>
    <w:semiHidden/>
    <w:unhideWhenUsed/>
    <w:rsid w:val="00F51E07"/>
    <w:pPr>
      <w:spacing w:line="240" w:lineRule="auto"/>
    </w:pPr>
    <w:rPr>
      <w:sz w:val="20"/>
      <w:szCs w:val="20"/>
    </w:rPr>
  </w:style>
  <w:style w:type="character" w:customStyle="1" w:styleId="CommentaireCar">
    <w:name w:val="Commentaire Car"/>
    <w:basedOn w:val="Policepardfaut"/>
    <w:link w:val="Commentaire"/>
    <w:uiPriority w:val="99"/>
    <w:semiHidden/>
    <w:rsid w:val="00F51E07"/>
    <w:rPr>
      <w:sz w:val="20"/>
      <w:szCs w:val="20"/>
    </w:rPr>
  </w:style>
  <w:style w:type="paragraph" w:styleId="Objetducommentaire">
    <w:name w:val="annotation subject"/>
    <w:basedOn w:val="Commentaire"/>
    <w:next w:val="Commentaire"/>
    <w:link w:val="ObjetducommentaireCar"/>
    <w:uiPriority w:val="99"/>
    <w:semiHidden/>
    <w:unhideWhenUsed/>
    <w:rsid w:val="00F51E07"/>
    <w:rPr>
      <w:b/>
      <w:bCs/>
    </w:rPr>
  </w:style>
  <w:style w:type="character" w:customStyle="1" w:styleId="ObjetducommentaireCar">
    <w:name w:val="Objet du commentaire Car"/>
    <w:basedOn w:val="CommentaireCar"/>
    <w:link w:val="Objetducommentaire"/>
    <w:uiPriority w:val="99"/>
    <w:semiHidden/>
    <w:rsid w:val="00F51E07"/>
    <w:rPr>
      <w:b/>
      <w:bCs/>
      <w:sz w:val="20"/>
      <w:szCs w:val="20"/>
    </w:rPr>
  </w:style>
  <w:style w:type="paragraph" w:styleId="Rvision">
    <w:name w:val="Revision"/>
    <w:hidden/>
    <w:uiPriority w:val="99"/>
    <w:semiHidden/>
    <w:rsid w:val="002B1949"/>
    <w:pPr>
      <w:spacing w:after="0" w:line="240" w:lineRule="auto"/>
    </w:pPr>
  </w:style>
  <w:style w:type="character" w:styleId="Numrodepage">
    <w:name w:val="page number"/>
    <w:basedOn w:val="Policepardfaut"/>
    <w:rsid w:val="00D438DA"/>
  </w:style>
  <w:style w:type="paragraph" w:styleId="Paragraphedeliste">
    <w:name w:val="List Paragraph"/>
    <w:basedOn w:val="Normal"/>
    <w:uiPriority w:val="34"/>
    <w:qFormat/>
    <w:rsid w:val="00C2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9270">
      <w:bodyDiv w:val="1"/>
      <w:marLeft w:val="0"/>
      <w:marRight w:val="0"/>
      <w:marTop w:val="0"/>
      <w:marBottom w:val="0"/>
      <w:divBdr>
        <w:top w:val="none" w:sz="0" w:space="0" w:color="auto"/>
        <w:left w:val="none" w:sz="0" w:space="0" w:color="auto"/>
        <w:bottom w:val="none" w:sz="0" w:space="0" w:color="auto"/>
        <w:right w:val="none" w:sz="0" w:space="0" w:color="auto"/>
      </w:divBdr>
    </w:div>
    <w:div w:id="51315105">
      <w:bodyDiv w:val="1"/>
      <w:marLeft w:val="0"/>
      <w:marRight w:val="0"/>
      <w:marTop w:val="0"/>
      <w:marBottom w:val="0"/>
      <w:divBdr>
        <w:top w:val="none" w:sz="0" w:space="0" w:color="auto"/>
        <w:left w:val="none" w:sz="0" w:space="0" w:color="auto"/>
        <w:bottom w:val="none" w:sz="0" w:space="0" w:color="auto"/>
        <w:right w:val="none" w:sz="0" w:space="0" w:color="auto"/>
      </w:divBdr>
    </w:div>
    <w:div w:id="59527660">
      <w:bodyDiv w:val="1"/>
      <w:marLeft w:val="0"/>
      <w:marRight w:val="0"/>
      <w:marTop w:val="0"/>
      <w:marBottom w:val="0"/>
      <w:divBdr>
        <w:top w:val="none" w:sz="0" w:space="0" w:color="auto"/>
        <w:left w:val="none" w:sz="0" w:space="0" w:color="auto"/>
        <w:bottom w:val="none" w:sz="0" w:space="0" w:color="auto"/>
        <w:right w:val="none" w:sz="0" w:space="0" w:color="auto"/>
      </w:divBdr>
    </w:div>
    <w:div w:id="88547670">
      <w:bodyDiv w:val="1"/>
      <w:marLeft w:val="0"/>
      <w:marRight w:val="0"/>
      <w:marTop w:val="0"/>
      <w:marBottom w:val="0"/>
      <w:divBdr>
        <w:top w:val="none" w:sz="0" w:space="0" w:color="auto"/>
        <w:left w:val="none" w:sz="0" w:space="0" w:color="auto"/>
        <w:bottom w:val="none" w:sz="0" w:space="0" w:color="auto"/>
        <w:right w:val="none" w:sz="0" w:space="0" w:color="auto"/>
      </w:divBdr>
    </w:div>
    <w:div w:id="90399758">
      <w:bodyDiv w:val="1"/>
      <w:marLeft w:val="0"/>
      <w:marRight w:val="0"/>
      <w:marTop w:val="0"/>
      <w:marBottom w:val="0"/>
      <w:divBdr>
        <w:top w:val="none" w:sz="0" w:space="0" w:color="auto"/>
        <w:left w:val="none" w:sz="0" w:space="0" w:color="auto"/>
        <w:bottom w:val="none" w:sz="0" w:space="0" w:color="auto"/>
        <w:right w:val="none" w:sz="0" w:space="0" w:color="auto"/>
      </w:divBdr>
    </w:div>
    <w:div w:id="94326173">
      <w:bodyDiv w:val="1"/>
      <w:marLeft w:val="0"/>
      <w:marRight w:val="0"/>
      <w:marTop w:val="0"/>
      <w:marBottom w:val="0"/>
      <w:divBdr>
        <w:top w:val="none" w:sz="0" w:space="0" w:color="auto"/>
        <w:left w:val="none" w:sz="0" w:space="0" w:color="auto"/>
        <w:bottom w:val="none" w:sz="0" w:space="0" w:color="auto"/>
        <w:right w:val="none" w:sz="0" w:space="0" w:color="auto"/>
      </w:divBdr>
    </w:div>
    <w:div w:id="99839270">
      <w:bodyDiv w:val="1"/>
      <w:marLeft w:val="0"/>
      <w:marRight w:val="0"/>
      <w:marTop w:val="0"/>
      <w:marBottom w:val="0"/>
      <w:divBdr>
        <w:top w:val="none" w:sz="0" w:space="0" w:color="auto"/>
        <w:left w:val="none" w:sz="0" w:space="0" w:color="auto"/>
        <w:bottom w:val="none" w:sz="0" w:space="0" w:color="auto"/>
        <w:right w:val="none" w:sz="0" w:space="0" w:color="auto"/>
      </w:divBdr>
    </w:div>
    <w:div w:id="135270512">
      <w:bodyDiv w:val="1"/>
      <w:marLeft w:val="0"/>
      <w:marRight w:val="0"/>
      <w:marTop w:val="0"/>
      <w:marBottom w:val="0"/>
      <w:divBdr>
        <w:top w:val="none" w:sz="0" w:space="0" w:color="auto"/>
        <w:left w:val="none" w:sz="0" w:space="0" w:color="auto"/>
        <w:bottom w:val="none" w:sz="0" w:space="0" w:color="auto"/>
        <w:right w:val="none" w:sz="0" w:space="0" w:color="auto"/>
      </w:divBdr>
    </w:div>
    <w:div w:id="145437842">
      <w:bodyDiv w:val="1"/>
      <w:marLeft w:val="0"/>
      <w:marRight w:val="0"/>
      <w:marTop w:val="0"/>
      <w:marBottom w:val="0"/>
      <w:divBdr>
        <w:top w:val="none" w:sz="0" w:space="0" w:color="auto"/>
        <w:left w:val="none" w:sz="0" w:space="0" w:color="auto"/>
        <w:bottom w:val="none" w:sz="0" w:space="0" w:color="auto"/>
        <w:right w:val="none" w:sz="0" w:space="0" w:color="auto"/>
      </w:divBdr>
    </w:div>
    <w:div w:id="199057246">
      <w:bodyDiv w:val="1"/>
      <w:marLeft w:val="0"/>
      <w:marRight w:val="0"/>
      <w:marTop w:val="0"/>
      <w:marBottom w:val="0"/>
      <w:divBdr>
        <w:top w:val="none" w:sz="0" w:space="0" w:color="auto"/>
        <w:left w:val="none" w:sz="0" w:space="0" w:color="auto"/>
        <w:bottom w:val="none" w:sz="0" w:space="0" w:color="auto"/>
        <w:right w:val="none" w:sz="0" w:space="0" w:color="auto"/>
      </w:divBdr>
    </w:div>
    <w:div w:id="250050020">
      <w:bodyDiv w:val="1"/>
      <w:marLeft w:val="0"/>
      <w:marRight w:val="0"/>
      <w:marTop w:val="0"/>
      <w:marBottom w:val="0"/>
      <w:divBdr>
        <w:top w:val="none" w:sz="0" w:space="0" w:color="auto"/>
        <w:left w:val="none" w:sz="0" w:space="0" w:color="auto"/>
        <w:bottom w:val="none" w:sz="0" w:space="0" w:color="auto"/>
        <w:right w:val="none" w:sz="0" w:space="0" w:color="auto"/>
      </w:divBdr>
    </w:div>
    <w:div w:id="261687263">
      <w:bodyDiv w:val="1"/>
      <w:marLeft w:val="0"/>
      <w:marRight w:val="0"/>
      <w:marTop w:val="0"/>
      <w:marBottom w:val="0"/>
      <w:divBdr>
        <w:top w:val="none" w:sz="0" w:space="0" w:color="auto"/>
        <w:left w:val="none" w:sz="0" w:space="0" w:color="auto"/>
        <w:bottom w:val="none" w:sz="0" w:space="0" w:color="auto"/>
        <w:right w:val="none" w:sz="0" w:space="0" w:color="auto"/>
      </w:divBdr>
    </w:div>
    <w:div w:id="268002549">
      <w:bodyDiv w:val="1"/>
      <w:marLeft w:val="0"/>
      <w:marRight w:val="0"/>
      <w:marTop w:val="0"/>
      <w:marBottom w:val="0"/>
      <w:divBdr>
        <w:top w:val="none" w:sz="0" w:space="0" w:color="auto"/>
        <w:left w:val="none" w:sz="0" w:space="0" w:color="auto"/>
        <w:bottom w:val="none" w:sz="0" w:space="0" w:color="auto"/>
        <w:right w:val="none" w:sz="0" w:space="0" w:color="auto"/>
      </w:divBdr>
    </w:div>
    <w:div w:id="268512489">
      <w:bodyDiv w:val="1"/>
      <w:marLeft w:val="0"/>
      <w:marRight w:val="0"/>
      <w:marTop w:val="0"/>
      <w:marBottom w:val="0"/>
      <w:divBdr>
        <w:top w:val="none" w:sz="0" w:space="0" w:color="auto"/>
        <w:left w:val="none" w:sz="0" w:space="0" w:color="auto"/>
        <w:bottom w:val="none" w:sz="0" w:space="0" w:color="auto"/>
        <w:right w:val="none" w:sz="0" w:space="0" w:color="auto"/>
      </w:divBdr>
    </w:div>
    <w:div w:id="290945007">
      <w:bodyDiv w:val="1"/>
      <w:marLeft w:val="0"/>
      <w:marRight w:val="0"/>
      <w:marTop w:val="0"/>
      <w:marBottom w:val="0"/>
      <w:divBdr>
        <w:top w:val="none" w:sz="0" w:space="0" w:color="auto"/>
        <w:left w:val="none" w:sz="0" w:space="0" w:color="auto"/>
        <w:bottom w:val="none" w:sz="0" w:space="0" w:color="auto"/>
        <w:right w:val="none" w:sz="0" w:space="0" w:color="auto"/>
      </w:divBdr>
    </w:div>
    <w:div w:id="307636642">
      <w:bodyDiv w:val="1"/>
      <w:marLeft w:val="0"/>
      <w:marRight w:val="0"/>
      <w:marTop w:val="0"/>
      <w:marBottom w:val="0"/>
      <w:divBdr>
        <w:top w:val="none" w:sz="0" w:space="0" w:color="auto"/>
        <w:left w:val="none" w:sz="0" w:space="0" w:color="auto"/>
        <w:bottom w:val="none" w:sz="0" w:space="0" w:color="auto"/>
        <w:right w:val="none" w:sz="0" w:space="0" w:color="auto"/>
      </w:divBdr>
    </w:div>
    <w:div w:id="329022937">
      <w:bodyDiv w:val="1"/>
      <w:marLeft w:val="0"/>
      <w:marRight w:val="0"/>
      <w:marTop w:val="0"/>
      <w:marBottom w:val="0"/>
      <w:divBdr>
        <w:top w:val="none" w:sz="0" w:space="0" w:color="auto"/>
        <w:left w:val="none" w:sz="0" w:space="0" w:color="auto"/>
        <w:bottom w:val="none" w:sz="0" w:space="0" w:color="auto"/>
        <w:right w:val="none" w:sz="0" w:space="0" w:color="auto"/>
      </w:divBdr>
    </w:div>
    <w:div w:id="346565018">
      <w:bodyDiv w:val="1"/>
      <w:marLeft w:val="0"/>
      <w:marRight w:val="0"/>
      <w:marTop w:val="0"/>
      <w:marBottom w:val="0"/>
      <w:divBdr>
        <w:top w:val="none" w:sz="0" w:space="0" w:color="auto"/>
        <w:left w:val="none" w:sz="0" w:space="0" w:color="auto"/>
        <w:bottom w:val="none" w:sz="0" w:space="0" w:color="auto"/>
        <w:right w:val="none" w:sz="0" w:space="0" w:color="auto"/>
      </w:divBdr>
    </w:div>
    <w:div w:id="375659620">
      <w:bodyDiv w:val="1"/>
      <w:marLeft w:val="0"/>
      <w:marRight w:val="0"/>
      <w:marTop w:val="0"/>
      <w:marBottom w:val="0"/>
      <w:divBdr>
        <w:top w:val="none" w:sz="0" w:space="0" w:color="auto"/>
        <w:left w:val="none" w:sz="0" w:space="0" w:color="auto"/>
        <w:bottom w:val="none" w:sz="0" w:space="0" w:color="auto"/>
        <w:right w:val="none" w:sz="0" w:space="0" w:color="auto"/>
      </w:divBdr>
    </w:div>
    <w:div w:id="392506062">
      <w:bodyDiv w:val="1"/>
      <w:marLeft w:val="0"/>
      <w:marRight w:val="0"/>
      <w:marTop w:val="0"/>
      <w:marBottom w:val="0"/>
      <w:divBdr>
        <w:top w:val="none" w:sz="0" w:space="0" w:color="auto"/>
        <w:left w:val="none" w:sz="0" w:space="0" w:color="auto"/>
        <w:bottom w:val="none" w:sz="0" w:space="0" w:color="auto"/>
        <w:right w:val="none" w:sz="0" w:space="0" w:color="auto"/>
      </w:divBdr>
    </w:div>
    <w:div w:id="476728222">
      <w:bodyDiv w:val="1"/>
      <w:marLeft w:val="0"/>
      <w:marRight w:val="0"/>
      <w:marTop w:val="0"/>
      <w:marBottom w:val="0"/>
      <w:divBdr>
        <w:top w:val="none" w:sz="0" w:space="0" w:color="auto"/>
        <w:left w:val="none" w:sz="0" w:space="0" w:color="auto"/>
        <w:bottom w:val="none" w:sz="0" w:space="0" w:color="auto"/>
        <w:right w:val="none" w:sz="0" w:space="0" w:color="auto"/>
      </w:divBdr>
    </w:div>
    <w:div w:id="574321781">
      <w:bodyDiv w:val="1"/>
      <w:marLeft w:val="0"/>
      <w:marRight w:val="0"/>
      <w:marTop w:val="0"/>
      <w:marBottom w:val="0"/>
      <w:divBdr>
        <w:top w:val="none" w:sz="0" w:space="0" w:color="auto"/>
        <w:left w:val="none" w:sz="0" w:space="0" w:color="auto"/>
        <w:bottom w:val="none" w:sz="0" w:space="0" w:color="auto"/>
        <w:right w:val="none" w:sz="0" w:space="0" w:color="auto"/>
      </w:divBdr>
    </w:div>
    <w:div w:id="607742343">
      <w:bodyDiv w:val="1"/>
      <w:marLeft w:val="0"/>
      <w:marRight w:val="0"/>
      <w:marTop w:val="0"/>
      <w:marBottom w:val="0"/>
      <w:divBdr>
        <w:top w:val="none" w:sz="0" w:space="0" w:color="auto"/>
        <w:left w:val="none" w:sz="0" w:space="0" w:color="auto"/>
        <w:bottom w:val="none" w:sz="0" w:space="0" w:color="auto"/>
        <w:right w:val="none" w:sz="0" w:space="0" w:color="auto"/>
      </w:divBdr>
    </w:div>
    <w:div w:id="638607307">
      <w:bodyDiv w:val="1"/>
      <w:marLeft w:val="0"/>
      <w:marRight w:val="0"/>
      <w:marTop w:val="0"/>
      <w:marBottom w:val="0"/>
      <w:divBdr>
        <w:top w:val="none" w:sz="0" w:space="0" w:color="auto"/>
        <w:left w:val="none" w:sz="0" w:space="0" w:color="auto"/>
        <w:bottom w:val="none" w:sz="0" w:space="0" w:color="auto"/>
        <w:right w:val="none" w:sz="0" w:space="0" w:color="auto"/>
      </w:divBdr>
    </w:div>
    <w:div w:id="648676900">
      <w:bodyDiv w:val="1"/>
      <w:marLeft w:val="0"/>
      <w:marRight w:val="0"/>
      <w:marTop w:val="0"/>
      <w:marBottom w:val="0"/>
      <w:divBdr>
        <w:top w:val="none" w:sz="0" w:space="0" w:color="auto"/>
        <w:left w:val="none" w:sz="0" w:space="0" w:color="auto"/>
        <w:bottom w:val="none" w:sz="0" w:space="0" w:color="auto"/>
        <w:right w:val="none" w:sz="0" w:space="0" w:color="auto"/>
      </w:divBdr>
    </w:div>
    <w:div w:id="662706433">
      <w:bodyDiv w:val="1"/>
      <w:marLeft w:val="0"/>
      <w:marRight w:val="0"/>
      <w:marTop w:val="0"/>
      <w:marBottom w:val="0"/>
      <w:divBdr>
        <w:top w:val="none" w:sz="0" w:space="0" w:color="auto"/>
        <w:left w:val="none" w:sz="0" w:space="0" w:color="auto"/>
        <w:bottom w:val="none" w:sz="0" w:space="0" w:color="auto"/>
        <w:right w:val="none" w:sz="0" w:space="0" w:color="auto"/>
      </w:divBdr>
    </w:div>
    <w:div w:id="692150606">
      <w:bodyDiv w:val="1"/>
      <w:marLeft w:val="0"/>
      <w:marRight w:val="0"/>
      <w:marTop w:val="0"/>
      <w:marBottom w:val="0"/>
      <w:divBdr>
        <w:top w:val="none" w:sz="0" w:space="0" w:color="auto"/>
        <w:left w:val="none" w:sz="0" w:space="0" w:color="auto"/>
        <w:bottom w:val="none" w:sz="0" w:space="0" w:color="auto"/>
        <w:right w:val="none" w:sz="0" w:space="0" w:color="auto"/>
      </w:divBdr>
    </w:div>
    <w:div w:id="719668534">
      <w:bodyDiv w:val="1"/>
      <w:marLeft w:val="0"/>
      <w:marRight w:val="0"/>
      <w:marTop w:val="0"/>
      <w:marBottom w:val="0"/>
      <w:divBdr>
        <w:top w:val="none" w:sz="0" w:space="0" w:color="auto"/>
        <w:left w:val="none" w:sz="0" w:space="0" w:color="auto"/>
        <w:bottom w:val="none" w:sz="0" w:space="0" w:color="auto"/>
        <w:right w:val="none" w:sz="0" w:space="0" w:color="auto"/>
      </w:divBdr>
    </w:div>
    <w:div w:id="768819083">
      <w:bodyDiv w:val="1"/>
      <w:marLeft w:val="0"/>
      <w:marRight w:val="0"/>
      <w:marTop w:val="0"/>
      <w:marBottom w:val="0"/>
      <w:divBdr>
        <w:top w:val="none" w:sz="0" w:space="0" w:color="auto"/>
        <w:left w:val="none" w:sz="0" w:space="0" w:color="auto"/>
        <w:bottom w:val="none" w:sz="0" w:space="0" w:color="auto"/>
        <w:right w:val="none" w:sz="0" w:space="0" w:color="auto"/>
      </w:divBdr>
    </w:div>
    <w:div w:id="777795654">
      <w:bodyDiv w:val="1"/>
      <w:marLeft w:val="0"/>
      <w:marRight w:val="0"/>
      <w:marTop w:val="0"/>
      <w:marBottom w:val="0"/>
      <w:divBdr>
        <w:top w:val="none" w:sz="0" w:space="0" w:color="auto"/>
        <w:left w:val="none" w:sz="0" w:space="0" w:color="auto"/>
        <w:bottom w:val="none" w:sz="0" w:space="0" w:color="auto"/>
        <w:right w:val="none" w:sz="0" w:space="0" w:color="auto"/>
      </w:divBdr>
    </w:div>
    <w:div w:id="829826764">
      <w:bodyDiv w:val="1"/>
      <w:marLeft w:val="0"/>
      <w:marRight w:val="0"/>
      <w:marTop w:val="0"/>
      <w:marBottom w:val="0"/>
      <w:divBdr>
        <w:top w:val="none" w:sz="0" w:space="0" w:color="auto"/>
        <w:left w:val="none" w:sz="0" w:space="0" w:color="auto"/>
        <w:bottom w:val="none" w:sz="0" w:space="0" w:color="auto"/>
        <w:right w:val="none" w:sz="0" w:space="0" w:color="auto"/>
      </w:divBdr>
    </w:div>
    <w:div w:id="855921976">
      <w:bodyDiv w:val="1"/>
      <w:marLeft w:val="0"/>
      <w:marRight w:val="0"/>
      <w:marTop w:val="0"/>
      <w:marBottom w:val="0"/>
      <w:divBdr>
        <w:top w:val="none" w:sz="0" w:space="0" w:color="auto"/>
        <w:left w:val="none" w:sz="0" w:space="0" w:color="auto"/>
        <w:bottom w:val="none" w:sz="0" w:space="0" w:color="auto"/>
        <w:right w:val="none" w:sz="0" w:space="0" w:color="auto"/>
      </w:divBdr>
    </w:div>
    <w:div w:id="891498487">
      <w:bodyDiv w:val="1"/>
      <w:marLeft w:val="0"/>
      <w:marRight w:val="0"/>
      <w:marTop w:val="0"/>
      <w:marBottom w:val="0"/>
      <w:divBdr>
        <w:top w:val="none" w:sz="0" w:space="0" w:color="auto"/>
        <w:left w:val="none" w:sz="0" w:space="0" w:color="auto"/>
        <w:bottom w:val="none" w:sz="0" w:space="0" w:color="auto"/>
        <w:right w:val="none" w:sz="0" w:space="0" w:color="auto"/>
      </w:divBdr>
    </w:div>
    <w:div w:id="946741195">
      <w:bodyDiv w:val="1"/>
      <w:marLeft w:val="0"/>
      <w:marRight w:val="0"/>
      <w:marTop w:val="0"/>
      <w:marBottom w:val="0"/>
      <w:divBdr>
        <w:top w:val="none" w:sz="0" w:space="0" w:color="auto"/>
        <w:left w:val="none" w:sz="0" w:space="0" w:color="auto"/>
        <w:bottom w:val="none" w:sz="0" w:space="0" w:color="auto"/>
        <w:right w:val="none" w:sz="0" w:space="0" w:color="auto"/>
      </w:divBdr>
    </w:div>
    <w:div w:id="986860644">
      <w:bodyDiv w:val="1"/>
      <w:marLeft w:val="0"/>
      <w:marRight w:val="0"/>
      <w:marTop w:val="0"/>
      <w:marBottom w:val="0"/>
      <w:divBdr>
        <w:top w:val="none" w:sz="0" w:space="0" w:color="auto"/>
        <w:left w:val="none" w:sz="0" w:space="0" w:color="auto"/>
        <w:bottom w:val="none" w:sz="0" w:space="0" w:color="auto"/>
        <w:right w:val="none" w:sz="0" w:space="0" w:color="auto"/>
      </w:divBdr>
    </w:div>
    <w:div w:id="1117941997">
      <w:bodyDiv w:val="1"/>
      <w:marLeft w:val="0"/>
      <w:marRight w:val="0"/>
      <w:marTop w:val="0"/>
      <w:marBottom w:val="0"/>
      <w:divBdr>
        <w:top w:val="none" w:sz="0" w:space="0" w:color="auto"/>
        <w:left w:val="none" w:sz="0" w:space="0" w:color="auto"/>
        <w:bottom w:val="none" w:sz="0" w:space="0" w:color="auto"/>
        <w:right w:val="none" w:sz="0" w:space="0" w:color="auto"/>
      </w:divBdr>
    </w:div>
    <w:div w:id="1134828152">
      <w:bodyDiv w:val="1"/>
      <w:marLeft w:val="0"/>
      <w:marRight w:val="0"/>
      <w:marTop w:val="0"/>
      <w:marBottom w:val="0"/>
      <w:divBdr>
        <w:top w:val="none" w:sz="0" w:space="0" w:color="auto"/>
        <w:left w:val="none" w:sz="0" w:space="0" w:color="auto"/>
        <w:bottom w:val="none" w:sz="0" w:space="0" w:color="auto"/>
        <w:right w:val="none" w:sz="0" w:space="0" w:color="auto"/>
      </w:divBdr>
    </w:div>
    <w:div w:id="1140225079">
      <w:bodyDiv w:val="1"/>
      <w:marLeft w:val="0"/>
      <w:marRight w:val="0"/>
      <w:marTop w:val="0"/>
      <w:marBottom w:val="0"/>
      <w:divBdr>
        <w:top w:val="none" w:sz="0" w:space="0" w:color="auto"/>
        <w:left w:val="none" w:sz="0" w:space="0" w:color="auto"/>
        <w:bottom w:val="none" w:sz="0" w:space="0" w:color="auto"/>
        <w:right w:val="none" w:sz="0" w:space="0" w:color="auto"/>
      </w:divBdr>
    </w:div>
    <w:div w:id="1143738988">
      <w:bodyDiv w:val="1"/>
      <w:marLeft w:val="0"/>
      <w:marRight w:val="0"/>
      <w:marTop w:val="0"/>
      <w:marBottom w:val="0"/>
      <w:divBdr>
        <w:top w:val="none" w:sz="0" w:space="0" w:color="auto"/>
        <w:left w:val="none" w:sz="0" w:space="0" w:color="auto"/>
        <w:bottom w:val="none" w:sz="0" w:space="0" w:color="auto"/>
        <w:right w:val="none" w:sz="0" w:space="0" w:color="auto"/>
      </w:divBdr>
    </w:div>
    <w:div w:id="1168667130">
      <w:bodyDiv w:val="1"/>
      <w:marLeft w:val="0"/>
      <w:marRight w:val="0"/>
      <w:marTop w:val="0"/>
      <w:marBottom w:val="0"/>
      <w:divBdr>
        <w:top w:val="none" w:sz="0" w:space="0" w:color="auto"/>
        <w:left w:val="none" w:sz="0" w:space="0" w:color="auto"/>
        <w:bottom w:val="none" w:sz="0" w:space="0" w:color="auto"/>
        <w:right w:val="none" w:sz="0" w:space="0" w:color="auto"/>
      </w:divBdr>
    </w:div>
    <w:div w:id="1235431272">
      <w:bodyDiv w:val="1"/>
      <w:marLeft w:val="0"/>
      <w:marRight w:val="0"/>
      <w:marTop w:val="0"/>
      <w:marBottom w:val="0"/>
      <w:divBdr>
        <w:top w:val="none" w:sz="0" w:space="0" w:color="auto"/>
        <w:left w:val="none" w:sz="0" w:space="0" w:color="auto"/>
        <w:bottom w:val="none" w:sz="0" w:space="0" w:color="auto"/>
        <w:right w:val="none" w:sz="0" w:space="0" w:color="auto"/>
      </w:divBdr>
    </w:div>
    <w:div w:id="1256012170">
      <w:bodyDiv w:val="1"/>
      <w:marLeft w:val="0"/>
      <w:marRight w:val="0"/>
      <w:marTop w:val="0"/>
      <w:marBottom w:val="0"/>
      <w:divBdr>
        <w:top w:val="none" w:sz="0" w:space="0" w:color="auto"/>
        <w:left w:val="none" w:sz="0" w:space="0" w:color="auto"/>
        <w:bottom w:val="none" w:sz="0" w:space="0" w:color="auto"/>
        <w:right w:val="none" w:sz="0" w:space="0" w:color="auto"/>
      </w:divBdr>
    </w:div>
    <w:div w:id="1288044802">
      <w:bodyDiv w:val="1"/>
      <w:marLeft w:val="0"/>
      <w:marRight w:val="0"/>
      <w:marTop w:val="0"/>
      <w:marBottom w:val="0"/>
      <w:divBdr>
        <w:top w:val="none" w:sz="0" w:space="0" w:color="auto"/>
        <w:left w:val="none" w:sz="0" w:space="0" w:color="auto"/>
        <w:bottom w:val="none" w:sz="0" w:space="0" w:color="auto"/>
        <w:right w:val="none" w:sz="0" w:space="0" w:color="auto"/>
      </w:divBdr>
    </w:div>
    <w:div w:id="1322271515">
      <w:bodyDiv w:val="1"/>
      <w:marLeft w:val="0"/>
      <w:marRight w:val="0"/>
      <w:marTop w:val="0"/>
      <w:marBottom w:val="0"/>
      <w:divBdr>
        <w:top w:val="none" w:sz="0" w:space="0" w:color="auto"/>
        <w:left w:val="none" w:sz="0" w:space="0" w:color="auto"/>
        <w:bottom w:val="none" w:sz="0" w:space="0" w:color="auto"/>
        <w:right w:val="none" w:sz="0" w:space="0" w:color="auto"/>
      </w:divBdr>
    </w:div>
    <w:div w:id="1323777243">
      <w:bodyDiv w:val="1"/>
      <w:marLeft w:val="0"/>
      <w:marRight w:val="0"/>
      <w:marTop w:val="0"/>
      <w:marBottom w:val="0"/>
      <w:divBdr>
        <w:top w:val="none" w:sz="0" w:space="0" w:color="auto"/>
        <w:left w:val="none" w:sz="0" w:space="0" w:color="auto"/>
        <w:bottom w:val="none" w:sz="0" w:space="0" w:color="auto"/>
        <w:right w:val="none" w:sz="0" w:space="0" w:color="auto"/>
      </w:divBdr>
    </w:div>
    <w:div w:id="1377395043">
      <w:bodyDiv w:val="1"/>
      <w:marLeft w:val="0"/>
      <w:marRight w:val="0"/>
      <w:marTop w:val="0"/>
      <w:marBottom w:val="0"/>
      <w:divBdr>
        <w:top w:val="none" w:sz="0" w:space="0" w:color="auto"/>
        <w:left w:val="none" w:sz="0" w:space="0" w:color="auto"/>
        <w:bottom w:val="none" w:sz="0" w:space="0" w:color="auto"/>
        <w:right w:val="none" w:sz="0" w:space="0" w:color="auto"/>
      </w:divBdr>
    </w:div>
    <w:div w:id="1377856221">
      <w:bodyDiv w:val="1"/>
      <w:marLeft w:val="0"/>
      <w:marRight w:val="0"/>
      <w:marTop w:val="0"/>
      <w:marBottom w:val="0"/>
      <w:divBdr>
        <w:top w:val="none" w:sz="0" w:space="0" w:color="auto"/>
        <w:left w:val="none" w:sz="0" w:space="0" w:color="auto"/>
        <w:bottom w:val="none" w:sz="0" w:space="0" w:color="auto"/>
        <w:right w:val="none" w:sz="0" w:space="0" w:color="auto"/>
      </w:divBdr>
    </w:div>
    <w:div w:id="1390499029">
      <w:bodyDiv w:val="1"/>
      <w:marLeft w:val="0"/>
      <w:marRight w:val="0"/>
      <w:marTop w:val="0"/>
      <w:marBottom w:val="0"/>
      <w:divBdr>
        <w:top w:val="none" w:sz="0" w:space="0" w:color="auto"/>
        <w:left w:val="none" w:sz="0" w:space="0" w:color="auto"/>
        <w:bottom w:val="none" w:sz="0" w:space="0" w:color="auto"/>
        <w:right w:val="none" w:sz="0" w:space="0" w:color="auto"/>
      </w:divBdr>
    </w:div>
    <w:div w:id="1392734289">
      <w:bodyDiv w:val="1"/>
      <w:marLeft w:val="0"/>
      <w:marRight w:val="0"/>
      <w:marTop w:val="0"/>
      <w:marBottom w:val="0"/>
      <w:divBdr>
        <w:top w:val="none" w:sz="0" w:space="0" w:color="auto"/>
        <w:left w:val="none" w:sz="0" w:space="0" w:color="auto"/>
        <w:bottom w:val="none" w:sz="0" w:space="0" w:color="auto"/>
        <w:right w:val="none" w:sz="0" w:space="0" w:color="auto"/>
      </w:divBdr>
    </w:div>
    <w:div w:id="1415593793">
      <w:bodyDiv w:val="1"/>
      <w:marLeft w:val="0"/>
      <w:marRight w:val="0"/>
      <w:marTop w:val="0"/>
      <w:marBottom w:val="0"/>
      <w:divBdr>
        <w:top w:val="none" w:sz="0" w:space="0" w:color="auto"/>
        <w:left w:val="none" w:sz="0" w:space="0" w:color="auto"/>
        <w:bottom w:val="none" w:sz="0" w:space="0" w:color="auto"/>
        <w:right w:val="none" w:sz="0" w:space="0" w:color="auto"/>
      </w:divBdr>
    </w:div>
    <w:div w:id="1561744627">
      <w:bodyDiv w:val="1"/>
      <w:marLeft w:val="0"/>
      <w:marRight w:val="0"/>
      <w:marTop w:val="0"/>
      <w:marBottom w:val="0"/>
      <w:divBdr>
        <w:top w:val="none" w:sz="0" w:space="0" w:color="auto"/>
        <w:left w:val="none" w:sz="0" w:space="0" w:color="auto"/>
        <w:bottom w:val="none" w:sz="0" w:space="0" w:color="auto"/>
        <w:right w:val="none" w:sz="0" w:space="0" w:color="auto"/>
      </w:divBdr>
    </w:div>
    <w:div w:id="1580748422">
      <w:bodyDiv w:val="1"/>
      <w:marLeft w:val="0"/>
      <w:marRight w:val="0"/>
      <w:marTop w:val="0"/>
      <w:marBottom w:val="0"/>
      <w:divBdr>
        <w:top w:val="none" w:sz="0" w:space="0" w:color="auto"/>
        <w:left w:val="none" w:sz="0" w:space="0" w:color="auto"/>
        <w:bottom w:val="none" w:sz="0" w:space="0" w:color="auto"/>
        <w:right w:val="none" w:sz="0" w:space="0" w:color="auto"/>
      </w:divBdr>
    </w:div>
    <w:div w:id="1658268141">
      <w:bodyDiv w:val="1"/>
      <w:marLeft w:val="0"/>
      <w:marRight w:val="0"/>
      <w:marTop w:val="0"/>
      <w:marBottom w:val="0"/>
      <w:divBdr>
        <w:top w:val="none" w:sz="0" w:space="0" w:color="auto"/>
        <w:left w:val="none" w:sz="0" w:space="0" w:color="auto"/>
        <w:bottom w:val="none" w:sz="0" w:space="0" w:color="auto"/>
        <w:right w:val="none" w:sz="0" w:space="0" w:color="auto"/>
      </w:divBdr>
    </w:div>
    <w:div w:id="1722828289">
      <w:bodyDiv w:val="1"/>
      <w:marLeft w:val="0"/>
      <w:marRight w:val="0"/>
      <w:marTop w:val="0"/>
      <w:marBottom w:val="0"/>
      <w:divBdr>
        <w:top w:val="none" w:sz="0" w:space="0" w:color="auto"/>
        <w:left w:val="none" w:sz="0" w:space="0" w:color="auto"/>
        <w:bottom w:val="none" w:sz="0" w:space="0" w:color="auto"/>
        <w:right w:val="none" w:sz="0" w:space="0" w:color="auto"/>
      </w:divBdr>
    </w:div>
    <w:div w:id="1727490005">
      <w:bodyDiv w:val="1"/>
      <w:marLeft w:val="0"/>
      <w:marRight w:val="0"/>
      <w:marTop w:val="0"/>
      <w:marBottom w:val="0"/>
      <w:divBdr>
        <w:top w:val="none" w:sz="0" w:space="0" w:color="auto"/>
        <w:left w:val="none" w:sz="0" w:space="0" w:color="auto"/>
        <w:bottom w:val="none" w:sz="0" w:space="0" w:color="auto"/>
        <w:right w:val="none" w:sz="0" w:space="0" w:color="auto"/>
      </w:divBdr>
    </w:div>
    <w:div w:id="1733695174">
      <w:bodyDiv w:val="1"/>
      <w:marLeft w:val="0"/>
      <w:marRight w:val="0"/>
      <w:marTop w:val="0"/>
      <w:marBottom w:val="0"/>
      <w:divBdr>
        <w:top w:val="none" w:sz="0" w:space="0" w:color="auto"/>
        <w:left w:val="none" w:sz="0" w:space="0" w:color="auto"/>
        <w:bottom w:val="none" w:sz="0" w:space="0" w:color="auto"/>
        <w:right w:val="none" w:sz="0" w:space="0" w:color="auto"/>
      </w:divBdr>
    </w:div>
    <w:div w:id="1778871915">
      <w:bodyDiv w:val="1"/>
      <w:marLeft w:val="0"/>
      <w:marRight w:val="0"/>
      <w:marTop w:val="0"/>
      <w:marBottom w:val="0"/>
      <w:divBdr>
        <w:top w:val="none" w:sz="0" w:space="0" w:color="auto"/>
        <w:left w:val="none" w:sz="0" w:space="0" w:color="auto"/>
        <w:bottom w:val="none" w:sz="0" w:space="0" w:color="auto"/>
        <w:right w:val="none" w:sz="0" w:space="0" w:color="auto"/>
      </w:divBdr>
    </w:div>
    <w:div w:id="1779832077">
      <w:bodyDiv w:val="1"/>
      <w:marLeft w:val="0"/>
      <w:marRight w:val="0"/>
      <w:marTop w:val="0"/>
      <w:marBottom w:val="0"/>
      <w:divBdr>
        <w:top w:val="none" w:sz="0" w:space="0" w:color="auto"/>
        <w:left w:val="none" w:sz="0" w:space="0" w:color="auto"/>
        <w:bottom w:val="none" w:sz="0" w:space="0" w:color="auto"/>
        <w:right w:val="none" w:sz="0" w:space="0" w:color="auto"/>
      </w:divBdr>
    </w:div>
    <w:div w:id="1790780867">
      <w:bodyDiv w:val="1"/>
      <w:marLeft w:val="0"/>
      <w:marRight w:val="0"/>
      <w:marTop w:val="0"/>
      <w:marBottom w:val="0"/>
      <w:divBdr>
        <w:top w:val="none" w:sz="0" w:space="0" w:color="auto"/>
        <w:left w:val="none" w:sz="0" w:space="0" w:color="auto"/>
        <w:bottom w:val="none" w:sz="0" w:space="0" w:color="auto"/>
        <w:right w:val="none" w:sz="0" w:space="0" w:color="auto"/>
      </w:divBdr>
    </w:div>
    <w:div w:id="1815482956">
      <w:bodyDiv w:val="1"/>
      <w:marLeft w:val="0"/>
      <w:marRight w:val="0"/>
      <w:marTop w:val="0"/>
      <w:marBottom w:val="0"/>
      <w:divBdr>
        <w:top w:val="none" w:sz="0" w:space="0" w:color="auto"/>
        <w:left w:val="none" w:sz="0" w:space="0" w:color="auto"/>
        <w:bottom w:val="none" w:sz="0" w:space="0" w:color="auto"/>
        <w:right w:val="none" w:sz="0" w:space="0" w:color="auto"/>
      </w:divBdr>
    </w:div>
    <w:div w:id="1876845080">
      <w:bodyDiv w:val="1"/>
      <w:marLeft w:val="0"/>
      <w:marRight w:val="0"/>
      <w:marTop w:val="0"/>
      <w:marBottom w:val="0"/>
      <w:divBdr>
        <w:top w:val="none" w:sz="0" w:space="0" w:color="auto"/>
        <w:left w:val="none" w:sz="0" w:space="0" w:color="auto"/>
        <w:bottom w:val="none" w:sz="0" w:space="0" w:color="auto"/>
        <w:right w:val="none" w:sz="0" w:space="0" w:color="auto"/>
      </w:divBdr>
    </w:div>
    <w:div w:id="1915582483">
      <w:bodyDiv w:val="1"/>
      <w:marLeft w:val="0"/>
      <w:marRight w:val="0"/>
      <w:marTop w:val="0"/>
      <w:marBottom w:val="0"/>
      <w:divBdr>
        <w:top w:val="none" w:sz="0" w:space="0" w:color="auto"/>
        <w:left w:val="none" w:sz="0" w:space="0" w:color="auto"/>
        <w:bottom w:val="none" w:sz="0" w:space="0" w:color="auto"/>
        <w:right w:val="none" w:sz="0" w:space="0" w:color="auto"/>
      </w:divBdr>
    </w:div>
    <w:div w:id="1962297762">
      <w:bodyDiv w:val="1"/>
      <w:marLeft w:val="0"/>
      <w:marRight w:val="0"/>
      <w:marTop w:val="0"/>
      <w:marBottom w:val="0"/>
      <w:divBdr>
        <w:top w:val="none" w:sz="0" w:space="0" w:color="auto"/>
        <w:left w:val="none" w:sz="0" w:space="0" w:color="auto"/>
        <w:bottom w:val="none" w:sz="0" w:space="0" w:color="auto"/>
        <w:right w:val="none" w:sz="0" w:space="0" w:color="auto"/>
      </w:divBdr>
    </w:div>
    <w:div w:id="1981763374">
      <w:bodyDiv w:val="1"/>
      <w:marLeft w:val="0"/>
      <w:marRight w:val="0"/>
      <w:marTop w:val="0"/>
      <w:marBottom w:val="0"/>
      <w:divBdr>
        <w:top w:val="none" w:sz="0" w:space="0" w:color="auto"/>
        <w:left w:val="none" w:sz="0" w:space="0" w:color="auto"/>
        <w:bottom w:val="none" w:sz="0" w:space="0" w:color="auto"/>
        <w:right w:val="none" w:sz="0" w:space="0" w:color="auto"/>
      </w:divBdr>
    </w:div>
    <w:div w:id="2042511162">
      <w:bodyDiv w:val="1"/>
      <w:marLeft w:val="0"/>
      <w:marRight w:val="0"/>
      <w:marTop w:val="0"/>
      <w:marBottom w:val="0"/>
      <w:divBdr>
        <w:top w:val="none" w:sz="0" w:space="0" w:color="auto"/>
        <w:left w:val="none" w:sz="0" w:space="0" w:color="auto"/>
        <w:bottom w:val="none" w:sz="0" w:space="0" w:color="auto"/>
        <w:right w:val="none" w:sz="0" w:space="0" w:color="auto"/>
      </w:divBdr>
    </w:div>
    <w:div w:id="213085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OTS\Downloads\BASE%20INHPC_2014%20SN_jan_2023.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OTS\Downloads\BASE%20INHPC_2014%20SN_jan_2023.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OTS\Downloads\BASE%20INHPC_2014%20SN_jan_2023.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OTS\Downloads\BASE%20INHPC_2014%20SN_jan_2023.xls"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0"/>
    <c:plotArea>
      <c:layout>
        <c:manualLayout>
          <c:layoutTarget val="inner"/>
          <c:xMode val="edge"/>
          <c:yMode val="edge"/>
          <c:x val="5.881265866356869E-2"/>
          <c:y val="2.331237729142125E-2"/>
          <c:w val="0.86741684953315257"/>
          <c:h val="0.85791853183706368"/>
        </c:manualLayout>
      </c:layout>
      <c:lineChart>
        <c:grouping val="standard"/>
        <c:varyColors val="0"/>
        <c:ser>
          <c:idx val="0"/>
          <c:order val="0"/>
          <c:tx>
            <c:strRef>
              <c:f>fonctions!$A$14</c:f>
              <c:strCache>
                <c:ptCount val="1"/>
                <c:pt idx="0">
                  <c:v>Indice général</c:v>
                </c:pt>
              </c:strCache>
            </c:strRef>
          </c:tx>
          <c:spPr>
            <a:ln w="22225" cap="rnd">
              <a:solidFill>
                <a:schemeClr val="accent2">
                  <a:shade val="76000"/>
                </a:schemeClr>
              </a:solidFill>
              <a:prstDash val="dashDot"/>
              <a:round/>
            </a:ln>
            <a:effectLst/>
          </c:spPr>
          <c:marker>
            <c:symbol val="none"/>
          </c:marker>
          <c:cat>
            <c:numRef>
              <c:f>fonctions!$BK$1:$CU$1</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fonctions!$BK$14:$CU$14</c:f>
              <c:numCache>
                <c:formatCode>0.0</c:formatCode>
                <c:ptCount val="37"/>
                <c:pt idx="0">
                  <c:v>105.92797243000001</c:v>
                </c:pt>
                <c:pt idx="1">
                  <c:v>105.57869677000002</c:v>
                </c:pt>
                <c:pt idx="2">
                  <c:v>105.67647495000001</c:v>
                </c:pt>
                <c:pt idx="3">
                  <c:v>106.79109122000001</c:v>
                </c:pt>
                <c:pt idx="4">
                  <c:v>106.14991400000001</c:v>
                </c:pt>
                <c:pt idx="5">
                  <c:v>105.90627113000001</c:v>
                </c:pt>
                <c:pt idx="6">
                  <c:v>106.91948614999998</c:v>
                </c:pt>
                <c:pt idx="7">
                  <c:v>109.22597639999999</c:v>
                </c:pt>
                <c:pt idx="8">
                  <c:v>109.49544294</c:v>
                </c:pt>
                <c:pt idx="9">
                  <c:v>109.68713629000001</c:v>
                </c:pt>
                <c:pt idx="10">
                  <c:v>109.12080084999999</c:v>
                </c:pt>
                <c:pt idx="11">
                  <c:v>108.35504209</c:v>
                </c:pt>
                <c:pt idx="12">
                  <c:v>106.87949757</c:v>
                </c:pt>
                <c:pt idx="13">
                  <c:v>107.40969495048461</c:v>
                </c:pt>
                <c:pt idx="14">
                  <c:v>106.9070864028867</c:v>
                </c:pt>
                <c:pt idx="15">
                  <c:v>107.11409253634775</c:v>
                </c:pt>
                <c:pt idx="16">
                  <c:v>107.4835887101528</c:v>
                </c:pt>
                <c:pt idx="17">
                  <c:v>108.00484085442997</c:v>
                </c:pt>
                <c:pt idx="18">
                  <c:v>110.05884562891046</c:v>
                </c:pt>
                <c:pt idx="19">
                  <c:v>112.10479005094122</c:v>
                </c:pt>
                <c:pt idx="20">
                  <c:v>112.82591245073644</c:v>
                </c:pt>
                <c:pt idx="21">
                  <c:v>113.21900340553459</c:v>
                </c:pt>
                <c:pt idx="22">
                  <c:v>112.36006721457184</c:v>
                </c:pt>
                <c:pt idx="23">
                  <c:v>112.47508910875246</c:v>
                </c:pt>
                <c:pt idx="24">
                  <c:v>112.77661490954105</c:v>
                </c:pt>
                <c:pt idx="25">
                  <c:v>114.38737369913436</c:v>
                </c:pt>
                <c:pt idx="26">
                  <c:v>113.51835248051837</c:v>
                </c:pt>
                <c:pt idx="27">
                  <c:v>114.61174297664692</c:v>
                </c:pt>
                <c:pt idx="28">
                  <c:v>115.46812148226439</c:v>
                </c:pt>
                <c:pt idx="29">
                  <c:v>117.63677883228586</c:v>
                </c:pt>
                <c:pt idx="30">
                  <c:v>122.13895159719478</c:v>
                </c:pt>
                <c:pt idx="31">
                  <c:v>124.82195776980925</c:v>
                </c:pt>
                <c:pt idx="32">
                  <c:v>126.21033906249879</c:v>
                </c:pt>
                <c:pt idx="33">
                  <c:v>127.92380400743943</c:v>
                </c:pt>
                <c:pt idx="34">
                  <c:v>128.21290112114283</c:v>
                </c:pt>
                <c:pt idx="35">
                  <c:v>126.89047135151166</c:v>
                </c:pt>
                <c:pt idx="36">
                  <c:v>124.70431560974308</c:v>
                </c:pt>
              </c:numCache>
            </c:numRef>
          </c:val>
          <c:smooth val="1"/>
          <c:extLst>
            <c:ext xmlns:c16="http://schemas.microsoft.com/office/drawing/2014/chart" uri="{C3380CC4-5D6E-409C-BE32-E72D297353CC}">
              <c16:uniqueId val="{00000000-8A73-464B-A32F-FF7019076C84}"/>
            </c:ext>
          </c:extLst>
        </c:ser>
        <c:ser>
          <c:idx val="1"/>
          <c:order val="1"/>
          <c:tx>
            <c:strRef>
              <c:f>fonctions!$A$2</c:f>
              <c:strCache>
                <c:ptCount val="1"/>
                <c:pt idx="0">
                  <c:v>Produits alimentaires et boissons non alcoolisées</c:v>
                </c:pt>
              </c:strCache>
            </c:strRef>
          </c:tx>
          <c:spPr>
            <a:ln w="22225" cap="rnd">
              <a:solidFill>
                <a:schemeClr val="accent2">
                  <a:tint val="77000"/>
                </a:schemeClr>
              </a:solidFill>
              <a:round/>
            </a:ln>
            <a:effectLst/>
          </c:spPr>
          <c:marker>
            <c:symbol val="none"/>
          </c:marker>
          <c:cat>
            <c:numRef>
              <c:f>fonctions!$BK$1:$CU$1</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fonctions!$BK$2:$CU$2</c:f>
              <c:numCache>
                <c:formatCode>0.0</c:formatCode>
                <c:ptCount val="37"/>
                <c:pt idx="0">
                  <c:v>110.46</c:v>
                </c:pt>
                <c:pt idx="1">
                  <c:v>109.6</c:v>
                </c:pt>
                <c:pt idx="2">
                  <c:v>109.67</c:v>
                </c:pt>
                <c:pt idx="3">
                  <c:v>111.65</c:v>
                </c:pt>
                <c:pt idx="4">
                  <c:v>110.14</c:v>
                </c:pt>
                <c:pt idx="5">
                  <c:v>109.77</c:v>
                </c:pt>
                <c:pt idx="6">
                  <c:v>111.74</c:v>
                </c:pt>
                <c:pt idx="7">
                  <c:v>116.4</c:v>
                </c:pt>
                <c:pt idx="8">
                  <c:v>116.82</c:v>
                </c:pt>
                <c:pt idx="9">
                  <c:v>117.43</c:v>
                </c:pt>
                <c:pt idx="10">
                  <c:v>116.01</c:v>
                </c:pt>
                <c:pt idx="11">
                  <c:v>114.5</c:v>
                </c:pt>
                <c:pt idx="12">
                  <c:v>111.14</c:v>
                </c:pt>
                <c:pt idx="13">
                  <c:v>112.294375896453</c:v>
                </c:pt>
                <c:pt idx="14">
                  <c:v>110.94778776168801</c:v>
                </c:pt>
                <c:pt idx="15">
                  <c:v>111.464703083038</c:v>
                </c:pt>
                <c:pt idx="16">
                  <c:v>111.942386627197</c:v>
                </c:pt>
                <c:pt idx="17">
                  <c:v>112.85479068756101</c:v>
                </c:pt>
                <c:pt idx="18">
                  <c:v>116.86242818832299</c:v>
                </c:pt>
                <c:pt idx="19">
                  <c:v>120.92432975769</c:v>
                </c:pt>
                <c:pt idx="20">
                  <c:v>121.990096569061</c:v>
                </c:pt>
                <c:pt idx="21">
                  <c:v>122.51033782958901</c:v>
                </c:pt>
                <c:pt idx="22">
                  <c:v>120.491409301757</c:v>
                </c:pt>
                <c:pt idx="23">
                  <c:v>120.638406276702</c:v>
                </c:pt>
                <c:pt idx="24">
                  <c:v>121.26528024673399</c:v>
                </c:pt>
                <c:pt idx="25">
                  <c:v>124.22852516174299</c:v>
                </c:pt>
                <c:pt idx="26">
                  <c:v>122.23129272460901</c:v>
                </c:pt>
                <c:pt idx="27">
                  <c:v>124.11823272705</c:v>
                </c:pt>
                <c:pt idx="28">
                  <c:v>125.41642189025799</c:v>
                </c:pt>
                <c:pt idx="29">
                  <c:v>128.77304553985499</c:v>
                </c:pt>
                <c:pt idx="30">
                  <c:v>136.92047615220423</c:v>
                </c:pt>
                <c:pt idx="31">
                  <c:v>141.64358871590886</c:v>
                </c:pt>
                <c:pt idx="32">
                  <c:v>144.14351033914181</c:v>
                </c:pt>
                <c:pt idx="33">
                  <c:v>146.45528525200942</c:v>
                </c:pt>
                <c:pt idx="34">
                  <c:v>146.29066029266522</c:v>
                </c:pt>
                <c:pt idx="35">
                  <c:v>143.27423102843403</c:v>
                </c:pt>
                <c:pt idx="36">
                  <c:v>137.90203249637219</c:v>
                </c:pt>
              </c:numCache>
            </c:numRef>
          </c:val>
          <c:smooth val="1"/>
          <c:extLst>
            <c:ext xmlns:c16="http://schemas.microsoft.com/office/drawing/2014/chart" uri="{C3380CC4-5D6E-409C-BE32-E72D297353CC}">
              <c16:uniqueId val="{00000001-8A73-464B-A32F-FF7019076C84}"/>
            </c:ext>
          </c:extLst>
        </c:ser>
        <c:dLbls>
          <c:showLegendKey val="0"/>
          <c:showVal val="0"/>
          <c:showCatName val="0"/>
          <c:showSerName val="0"/>
          <c:showPercent val="0"/>
          <c:showBubbleSize val="0"/>
        </c:dLbls>
        <c:smooth val="0"/>
        <c:axId val="567494080"/>
        <c:axId val="567490816"/>
      </c:lineChart>
      <c:dateAx>
        <c:axId val="567494080"/>
        <c:scaling>
          <c:orientation val="minMax"/>
        </c:scaling>
        <c:delete val="0"/>
        <c:axPos val="b"/>
        <c:numFmt formatCode="mmm\-yy" sourceLinked="0"/>
        <c:majorTickMark val="out"/>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fr-FR"/>
          </a:p>
        </c:txPr>
        <c:crossAx val="567490816"/>
        <c:crosses val="autoZero"/>
        <c:auto val="1"/>
        <c:lblOffset val="100"/>
        <c:baseTimeUnit val="months"/>
        <c:majorUnit val="2"/>
        <c:majorTimeUnit val="months"/>
        <c:minorUnit val="2"/>
        <c:minorTimeUnit val="months"/>
      </c:dateAx>
      <c:valAx>
        <c:axId val="567490816"/>
        <c:scaling>
          <c:orientation val="minMax"/>
          <c:min val="104"/>
        </c:scaling>
        <c:delete val="0"/>
        <c:axPos val="l"/>
        <c:majorGridlines>
          <c:spPr>
            <a:ln w="9525" cap="flat" cmpd="sng" algn="ctr">
              <a:solidFill>
                <a:schemeClr val="dk1">
                  <a:lumMod val="15000"/>
                  <a:lumOff val="85000"/>
                  <a:alpha val="54000"/>
                </a:schemeClr>
              </a:solidFill>
              <a:round/>
            </a:ln>
            <a:effectLst/>
          </c:spPr>
        </c:majorGridlines>
        <c:numFmt formatCode="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567494080"/>
        <c:crosses val="autoZero"/>
        <c:crossBetween val="between"/>
        <c:majorUnit val="2"/>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14549535785638734"/>
          <c:y val="2.8620943410111076E-2"/>
          <c:w val="0.75165303963870189"/>
          <c:h val="7.88556921039075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3965754280714904E-2"/>
          <c:y val="4.9936499872999744E-2"/>
          <c:w val="0.90191595344060249"/>
          <c:h val="0.66140032606056398"/>
        </c:manualLayout>
      </c:layout>
      <c:lineChart>
        <c:grouping val="standard"/>
        <c:varyColors val="0"/>
        <c:ser>
          <c:idx val="0"/>
          <c:order val="0"/>
          <c:tx>
            <c:strRef>
              <c:f>nomsec!$A$14</c:f>
              <c:strCache>
                <c:ptCount val="1"/>
                <c:pt idx="0">
                  <c:v>Indice général</c:v>
                </c:pt>
              </c:strCache>
            </c:strRef>
          </c:tx>
          <c:spPr>
            <a:ln w="22225" cap="rnd">
              <a:solidFill>
                <a:schemeClr val="accent1"/>
              </a:solidFill>
              <a:prstDash val="dashDot"/>
              <a:round/>
            </a:ln>
            <a:effectLst/>
          </c:spPr>
          <c:marker>
            <c:symbol val="none"/>
          </c:marker>
          <c:cat>
            <c:numRef>
              <c:f>nomsec!$BM$1:$CW$1</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nomsec!$BM$14:$CW$14</c:f>
              <c:numCache>
                <c:formatCode>0.0</c:formatCode>
                <c:ptCount val="37"/>
                <c:pt idx="0">
                  <c:v>105.92797243000001</c:v>
                </c:pt>
                <c:pt idx="1">
                  <c:v>105.57869677000002</c:v>
                </c:pt>
                <c:pt idx="2">
                  <c:v>105.67647495000001</c:v>
                </c:pt>
                <c:pt idx="3">
                  <c:v>106.79109122000001</c:v>
                </c:pt>
                <c:pt idx="4">
                  <c:v>106.14991400000001</c:v>
                </c:pt>
                <c:pt idx="5">
                  <c:v>105.90627113000001</c:v>
                </c:pt>
                <c:pt idx="6">
                  <c:v>106.91948614999998</c:v>
                </c:pt>
                <c:pt idx="7">
                  <c:v>109.22597639999999</c:v>
                </c:pt>
                <c:pt idx="8">
                  <c:v>109.49544294</c:v>
                </c:pt>
                <c:pt idx="9">
                  <c:v>109.68713629000001</c:v>
                </c:pt>
                <c:pt idx="10">
                  <c:v>109.12080084999999</c:v>
                </c:pt>
                <c:pt idx="11">
                  <c:v>108.35504209</c:v>
                </c:pt>
                <c:pt idx="12">
                  <c:v>106.87949757</c:v>
                </c:pt>
                <c:pt idx="13">
                  <c:v>107.40969495048461</c:v>
                </c:pt>
                <c:pt idx="14">
                  <c:v>106.9070864028867</c:v>
                </c:pt>
                <c:pt idx="15">
                  <c:v>107.11409253634775</c:v>
                </c:pt>
                <c:pt idx="16">
                  <c:v>107.4835887101528</c:v>
                </c:pt>
                <c:pt idx="17">
                  <c:v>108.00484085442997</c:v>
                </c:pt>
                <c:pt idx="18">
                  <c:v>110.05884562891046</c:v>
                </c:pt>
                <c:pt idx="19">
                  <c:v>112.10479005094122</c:v>
                </c:pt>
                <c:pt idx="20">
                  <c:v>112.82591245073644</c:v>
                </c:pt>
                <c:pt idx="21">
                  <c:v>113.21900340553459</c:v>
                </c:pt>
                <c:pt idx="22">
                  <c:v>112.36006721457184</c:v>
                </c:pt>
                <c:pt idx="23">
                  <c:v>112.47508910875246</c:v>
                </c:pt>
                <c:pt idx="24">
                  <c:v>112.77661490954105</c:v>
                </c:pt>
                <c:pt idx="25">
                  <c:v>114.38737369913436</c:v>
                </c:pt>
                <c:pt idx="26">
                  <c:v>113.51835248051837</c:v>
                </c:pt>
                <c:pt idx="27">
                  <c:v>114.61174297664692</c:v>
                </c:pt>
                <c:pt idx="28">
                  <c:v>115.46812148226439</c:v>
                </c:pt>
                <c:pt idx="29">
                  <c:v>117.63677883228586</c:v>
                </c:pt>
                <c:pt idx="30">
                  <c:v>122.13895159719478</c:v>
                </c:pt>
                <c:pt idx="31">
                  <c:v>124.82195776980925</c:v>
                </c:pt>
                <c:pt idx="32">
                  <c:v>126.21033906249879</c:v>
                </c:pt>
                <c:pt idx="33">
                  <c:v>127.92380400743943</c:v>
                </c:pt>
                <c:pt idx="34">
                  <c:v>128.21290112114283</c:v>
                </c:pt>
                <c:pt idx="35">
                  <c:v>126.89047135151166</c:v>
                </c:pt>
                <c:pt idx="36">
                  <c:v>124.70431560974308</c:v>
                </c:pt>
              </c:numCache>
            </c:numRef>
          </c:val>
          <c:smooth val="0"/>
          <c:extLst>
            <c:ext xmlns:c16="http://schemas.microsoft.com/office/drawing/2014/chart" uri="{C3380CC4-5D6E-409C-BE32-E72D297353CC}">
              <c16:uniqueId val="{00000000-37E5-4FE9-ABB7-361FDBA95B8A}"/>
            </c:ext>
          </c:extLst>
        </c:ser>
        <c:ser>
          <c:idx val="1"/>
          <c:order val="1"/>
          <c:tx>
            <c:strRef>
              <c:f>nomsec!$A$4</c:f>
              <c:strCache>
                <c:ptCount val="1"/>
                <c:pt idx="0">
                  <c:v>Hors Energie et Produits frais</c:v>
                </c:pt>
              </c:strCache>
            </c:strRef>
          </c:tx>
          <c:spPr>
            <a:ln w="22225" cap="rnd">
              <a:solidFill>
                <a:schemeClr val="accent2"/>
              </a:solidFill>
              <a:round/>
            </a:ln>
            <a:effectLst/>
          </c:spPr>
          <c:marker>
            <c:symbol val="none"/>
          </c:marker>
          <c:cat>
            <c:numRef>
              <c:f>nomsec!$BM$1:$CW$1</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nomsec!$BM$4:$CW$4</c:f>
              <c:numCache>
                <c:formatCode>0.0</c:formatCode>
                <c:ptCount val="37"/>
                <c:pt idx="0">
                  <c:v>103.94</c:v>
                </c:pt>
                <c:pt idx="1">
                  <c:v>104.19</c:v>
                </c:pt>
                <c:pt idx="2">
                  <c:v>104.39</c:v>
                </c:pt>
                <c:pt idx="3">
                  <c:v>104.84</c:v>
                </c:pt>
                <c:pt idx="4">
                  <c:v>105.05</c:v>
                </c:pt>
                <c:pt idx="5">
                  <c:v>105.07</c:v>
                </c:pt>
                <c:pt idx="6">
                  <c:v>105.41</c:v>
                </c:pt>
                <c:pt idx="7">
                  <c:v>105.34</c:v>
                </c:pt>
                <c:pt idx="8">
                  <c:v>105.2</c:v>
                </c:pt>
                <c:pt idx="9">
                  <c:v>105.29</c:v>
                </c:pt>
                <c:pt idx="10">
                  <c:v>105.26</c:v>
                </c:pt>
                <c:pt idx="11">
                  <c:v>105.06</c:v>
                </c:pt>
                <c:pt idx="12">
                  <c:v>105.54</c:v>
                </c:pt>
                <c:pt idx="13">
                  <c:v>105.54577112197801</c:v>
                </c:pt>
                <c:pt idx="14">
                  <c:v>105.868637561798</c:v>
                </c:pt>
                <c:pt idx="15">
                  <c:v>106.013464927673</c:v>
                </c:pt>
                <c:pt idx="16">
                  <c:v>106.67787790298399</c:v>
                </c:pt>
                <c:pt idx="17">
                  <c:v>107.664930820465</c:v>
                </c:pt>
                <c:pt idx="18">
                  <c:v>107.86104202270501</c:v>
                </c:pt>
                <c:pt idx="19">
                  <c:v>108.487713336944</c:v>
                </c:pt>
                <c:pt idx="20">
                  <c:v>109.400641918182</c:v>
                </c:pt>
                <c:pt idx="21">
                  <c:v>109.34983491897501</c:v>
                </c:pt>
                <c:pt idx="22">
                  <c:v>109.778368473052</c:v>
                </c:pt>
                <c:pt idx="23">
                  <c:v>110.100483894348</c:v>
                </c:pt>
                <c:pt idx="24">
                  <c:v>110.03074645996</c:v>
                </c:pt>
                <c:pt idx="25">
                  <c:v>111.26333475112899</c:v>
                </c:pt>
                <c:pt idx="26">
                  <c:v>111.360120773315</c:v>
                </c:pt>
                <c:pt idx="27">
                  <c:v>112.251341342926</c:v>
                </c:pt>
                <c:pt idx="28">
                  <c:v>112.78014183044399</c:v>
                </c:pt>
                <c:pt idx="29">
                  <c:v>114.456856250762</c:v>
                </c:pt>
                <c:pt idx="30">
                  <c:v>115.57728574615561</c:v>
                </c:pt>
                <c:pt idx="31">
                  <c:v>116.86135069808121</c:v>
                </c:pt>
                <c:pt idx="32">
                  <c:v>117.35835261259076</c:v>
                </c:pt>
                <c:pt idx="33">
                  <c:v>118.24369780861848</c:v>
                </c:pt>
                <c:pt idx="34">
                  <c:v>118.8377452251663</c:v>
                </c:pt>
                <c:pt idx="35">
                  <c:v>119.0395983203492</c:v>
                </c:pt>
                <c:pt idx="36">
                  <c:v>117.70837092286071</c:v>
                </c:pt>
              </c:numCache>
            </c:numRef>
          </c:val>
          <c:smooth val="1"/>
          <c:extLst>
            <c:ext xmlns:c16="http://schemas.microsoft.com/office/drawing/2014/chart" uri="{C3380CC4-5D6E-409C-BE32-E72D297353CC}">
              <c16:uniqueId val="{00000001-37E5-4FE9-ABB7-361FDBA95B8A}"/>
            </c:ext>
          </c:extLst>
        </c:ser>
        <c:dLbls>
          <c:showLegendKey val="0"/>
          <c:showVal val="0"/>
          <c:showCatName val="0"/>
          <c:showSerName val="0"/>
          <c:showPercent val="0"/>
          <c:showBubbleSize val="0"/>
        </c:dLbls>
        <c:smooth val="0"/>
        <c:axId val="567502784"/>
        <c:axId val="567500608"/>
      </c:lineChart>
      <c:dateAx>
        <c:axId val="567502784"/>
        <c:scaling>
          <c:orientation val="minMax"/>
        </c:scaling>
        <c:delete val="0"/>
        <c:axPos val="b"/>
        <c:numFmt formatCode="mmm\-yy" sourceLinked="0"/>
        <c:majorTickMark val="out"/>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fr-FR"/>
          </a:p>
        </c:txPr>
        <c:crossAx val="567500608"/>
        <c:crosses val="autoZero"/>
        <c:auto val="1"/>
        <c:lblOffset val="100"/>
        <c:baseTimeUnit val="months"/>
      </c:dateAx>
      <c:valAx>
        <c:axId val="567500608"/>
        <c:scaling>
          <c:orientation val="minMax"/>
          <c:min val="101.5"/>
        </c:scaling>
        <c:delete val="0"/>
        <c:axPos val="l"/>
        <c:majorGridlines>
          <c:spPr>
            <a:ln w="9525" cap="flat" cmpd="sng" algn="ctr">
              <a:solidFill>
                <a:schemeClr val="dk1">
                  <a:lumMod val="15000"/>
                  <a:lumOff val="85000"/>
                  <a:alpha val="54000"/>
                </a:schemeClr>
              </a:solidFill>
              <a:round/>
            </a:ln>
            <a:effectLst/>
          </c:spPr>
        </c:majorGridlines>
        <c:numFmt formatCode="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567502784"/>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21856156869280233"/>
          <c:y val="0.10083254593175855"/>
          <c:w val="0.59223425196850399"/>
          <c:h val="0.116380124898180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nomsec!$A$5</c:f>
              <c:strCache>
                <c:ptCount val="1"/>
                <c:pt idx="0">
                  <c:v>Local</c:v>
                </c:pt>
              </c:strCache>
            </c:strRef>
          </c:tx>
          <c:spPr>
            <a:ln w="31750" cap="rnd">
              <a:solidFill>
                <a:schemeClr val="accent1"/>
              </a:solidFill>
              <a:round/>
            </a:ln>
            <a:effectLst/>
          </c:spPr>
          <c:marker>
            <c:symbol val="none"/>
          </c:marker>
          <c:cat>
            <c:numRef>
              <c:f>nomsec!$BM$1:$CW$1</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nomsec!$BM$5:$CW$5</c:f>
              <c:numCache>
                <c:formatCode>0.0</c:formatCode>
                <c:ptCount val="37"/>
                <c:pt idx="0">
                  <c:v>108.17</c:v>
                </c:pt>
                <c:pt idx="1">
                  <c:v>107.15</c:v>
                </c:pt>
                <c:pt idx="2">
                  <c:v>107.44</c:v>
                </c:pt>
                <c:pt idx="3">
                  <c:v>109.3</c:v>
                </c:pt>
                <c:pt idx="4">
                  <c:v>108.2</c:v>
                </c:pt>
                <c:pt idx="5">
                  <c:v>107.93</c:v>
                </c:pt>
                <c:pt idx="6">
                  <c:v>109.33</c:v>
                </c:pt>
                <c:pt idx="7">
                  <c:v>112.36</c:v>
                </c:pt>
                <c:pt idx="8">
                  <c:v>112.8</c:v>
                </c:pt>
                <c:pt idx="9">
                  <c:v>113.07</c:v>
                </c:pt>
                <c:pt idx="10">
                  <c:v>111.9</c:v>
                </c:pt>
                <c:pt idx="11">
                  <c:v>110.97</c:v>
                </c:pt>
                <c:pt idx="12">
                  <c:v>108.72</c:v>
                </c:pt>
                <c:pt idx="13">
                  <c:v>109.22272205352699</c:v>
                </c:pt>
                <c:pt idx="14">
                  <c:v>108.619844913482</c:v>
                </c:pt>
                <c:pt idx="15">
                  <c:v>108.90383720397899</c:v>
                </c:pt>
                <c:pt idx="16">
                  <c:v>109.42728519439601</c:v>
                </c:pt>
                <c:pt idx="17">
                  <c:v>109.89202260971</c:v>
                </c:pt>
                <c:pt idx="18">
                  <c:v>112.54903078079199</c:v>
                </c:pt>
                <c:pt idx="19">
                  <c:v>115.411245822906</c:v>
                </c:pt>
                <c:pt idx="20">
                  <c:v>116.25784635543801</c:v>
                </c:pt>
                <c:pt idx="21">
                  <c:v>116.75403118133499</c:v>
                </c:pt>
                <c:pt idx="22">
                  <c:v>115.754687786102</c:v>
                </c:pt>
                <c:pt idx="23">
                  <c:v>115.795183181762</c:v>
                </c:pt>
                <c:pt idx="24">
                  <c:v>115.77394008636399</c:v>
                </c:pt>
                <c:pt idx="25">
                  <c:v>117.542004585266</c:v>
                </c:pt>
                <c:pt idx="26">
                  <c:v>117.031955718994</c:v>
                </c:pt>
                <c:pt idx="27">
                  <c:v>117.81969070434501</c:v>
                </c:pt>
                <c:pt idx="28">
                  <c:v>119.0363407135</c:v>
                </c:pt>
                <c:pt idx="29">
                  <c:v>121.627748012542</c:v>
                </c:pt>
                <c:pt idx="30">
                  <c:v>127.38666441283102</c:v>
                </c:pt>
                <c:pt idx="31">
                  <c:v>130.2265140752157</c:v>
                </c:pt>
                <c:pt idx="32">
                  <c:v>131.79454152718398</c:v>
                </c:pt>
                <c:pt idx="33">
                  <c:v>133.91456564194377</c:v>
                </c:pt>
                <c:pt idx="34">
                  <c:v>133.88221609048497</c:v>
                </c:pt>
                <c:pt idx="35">
                  <c:v>132.2312419703722</c:v>
                </c:pt>
                <c:pt idx="36">
                  <c:v>128.67159443915369</c:v>
                </c:pt>
              </c:numCache>
            </c:numRef>
          </c:val>
          <c:smooth val="0"/>
          <c:extLst>
            <c:ext xmlns:c16="http://schemas.microsoft.com/office/drawing/2014/chart" uri="{C3380CC4-5D6E-409C-BE32-E72D297353CC}">
              <c16:uniqueId val="{00000000-E357-4D2A-B5ED-9427A52D1168}"/>
            </c:ext>
          </c:extLst>
        </c:ser>
        <c:ser>
          <c:idx val="1"/>
          <c:order val="1"/>
          <c:tx>
            <c:strRef>
              <c:f>nomsec!$A$6</c:f>
              <c:strCache>
                <c:ptCount val="1"/>
                <c:pt idx="0">
                  <c:v>Importé</c:v>
                </c:pt>
              </c:strCache>
            </c:strRef>
          </c:tx>
          <c:spPr>
            <a:ln w="31750" cap="rnd">
              <a:solidFill>
                <a:schemeClr val="accent2"/>
              </a:solidFill>
              <a:prstDash val="dash"/>
              <a:round/>
            </a:ln>
            <a:effectLst/>
          </c:spPr>
          <c:marker>
            <c:symbol val="none"/>
          </c:marker>
          <c:cat>
            <c:numRef>
              <c:f>nomsec!$BM$1:$CW$1</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nomsec!$BM$6:$CW$6</c:f>
              <c:numCache>
                <c:formatCode>0.0</c:formatCode>
                <c:ptCount val="37"/>
                <c:pt idx="0">
                  <c:v>101.19</c:v>
                </c:pt>
                <c:pt idx="1">
                  <c:v>102.16</c:v>
                </c:pt>
                <c:pt idx="2">
                  <c:v>102.24</c:v>
                </c:pt>
                <c:pt idx="3">
                  <c:v>101.95</c:v>
                </c:pt>
                <c:pt idx="4">
                  <c:v>102.03</c:v>
                </c:pt>
                <c:pt idx="5">
                  <c:v>101.96</c:v>
                </c:pt>
                <c:pt idx="6">
                  <c:v>102.32</c:v>
                </c:pt>
                <c:pt idx="7">
                  <c:v>102.69</c:v>
                </c:pt>
                <c:pt idx="8">
                  <c:v>102.03</c:v>
                </c:pt>
                <c:pt idx="9">
                  <c:v>101.96</c:v>
                </c:pt>
                <c:pt idx="10">
                  <c:v>101.92</c:v>
                </c:pt>
                <c:pt idx="11">
                  <c:v>102.1</c:v>
                </c:pt>
                <c:pt idx="12">
                  <c:v>102.7</c:v>
                </c:pt>
                <c:pt idx="13">
                  <c:v>102.695369720458</c:v>
                </c:pt>
                <c:pt idx="14">
                  <c:v>102.945435047149</c:v>
                </c:pt>
                <c:pt idx="15">
                  <c:v>102.874183654785</c:v>
                </c:pt>
                <c:pt idx="16">
                  <c:v>102.856135368347</c:v>
                </c:pt>
                <c:pt idx="17">
                  <c:v>103.211069107055</c:v>
                </c:pt>
                <c:pt idx="18">
                  <c:v>103.416228294372</c:v>
                </c:pt>
                <c:pt idx="19">
                  <c:v>103.5808801651</c:v>
                </c:pt>
                <c:pt idx="20">
                  <c:v>104.36357259750299</c:v>
                </c:pt>
                <c:pt idx="21">
                  <c:v>104.085648059844</c:v>
                </c:pt>
                <c:pt idx="22">
                  <c:v>104.27210330963101</c:v>
                </c:pt>
                <c:pt idx="23">
                  <c:v>104.52365875244099</c:v>
                </c:pt>
                <c:pt idx="24">
                  <c:v>105.21568059921201</c:v>
                </c:pt>
                <c:pt idx="25">
                  <c:v>106.012153625488</c:v>
                </c:pt>
                <c:pt idx="26">
                  <c:v>105.199229717254</c:v>
                </c:pt>
                <c:pt idx="27">
                  <c:v>106.08137845992999</c:v>
                </c:pt>
                <c:pt idx="28">
                  <c:v>106.65850639343201</c:v>
                </c:pt>
                <c:pt idx="29">
                  <c:v>107.744216918945</c:v>
                </c:pt>
                <c:pt idx="30">
                  <c:v>109.38168845919627</c:v>
                </c:pt>
                <c:pt idx="31">
                  <c:v>111.11382947096412</c:v>
                </c:pt>
                <c:pt idx="32">
                  <c:v>112.16107928733126</c:v>
                </c:pt>
                <c:pt idx="33">
                  <c:v>113.12547210958405</c:v>
                </c:pt>
                <c:pt idx="34">
                  <c:v>113.97548733618729</c:v>
                </c:pt>
                <c:pt idx="35">
                  <c:v>114.20535921896334</c:v>
                </c:pt>
                <c:pt idx="36">
                  <c:v>114.05037093343215</c:v>
                </c:pt>
              </c:numCache>
            </c:numRef>
          </c:val>
          <c:smooth val="1"/>
          <c:extLst>
            <c:ext xmlns:c16="http://schemas.microsoft.com/office/drawing/2014/chart" uri="{C3380CC4-5D6E-409C-BE32-E72D297353CC}">
              <c16:uniqueId val="{00000001-E357-4D2A-B5ED-9427A52D1168}"/>
            </c:ext>
          </c:extLst>
        </c:ser>
        <c:dLbls>
          <c:showLegendKey val="0"/>
          <c:showVal val="0"/>
          <c:showCatName val="0"/>
          <c:showSerName val="0"/>
          <c:showPercent val="0"/>
          <c:showBubbleSize val="0"/>
        </c:dLbls>
        <c:smooth val="0"/>
        <c:axId val="567491904"/>
        <c:axId val="567492448"/>
      </c:lineChart>
      <c:dateAx>
        <c:axId val="567491904"/>
        <c:scaling>
          <c:orientation val="minMax"/>
        </c:scaling>
        <c:delete val="0"/>
        <c:axPos val="b"/>
        <c:numFmt formatCode="mmm\-yy" sourceLinked="0"/>
        <c:majorTickMark val="out"/>
        <c:minorTickMark val="none"/>
        <c:tickLblPos val="nextTo"/>
        <c:spPr>
          <a:noFill/>
          <a:ln w="9525" cap="flat" cmpd="sng" algn="ctr">
            <a:solidFill>
              <a:schemeClr val="tx2">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2"/>
                </a:solidFill>
                <a:latin typeface="+mn-lt"/>
                <a:ea typeface="+mn-ea"/>
                <a:cs typeface="+mn-cs"/>
              </a:defRPr>
            </a:pPr>
            <a:endParaRPr lang="fr-FR"/>
          </a:p>
        </c:txPr>
        <c:crossAx val="567492448"/>
        <c:crosses val="autoZero"/>
        <c:auto val="1"/>
        <c:lblOffset val="100"/>
        <c:baseTimeUnit val="months"/>
      </c:dateAx>
      <c:valAx>
        <c:axId val="567492448"/>
        <c:scaling>
          <c:orientation val="minMax"/>
          <c:min val="97.5"/>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2"/>
                </a:solidFill>
                <a:latin typeface="+mn-lt"/>
                <a:ea typeface="+mn-ea"/>
                <a:cs typeface="+mn-cs"/>
              </a:defRPr>
            </a:pPr>
            <a:endParaRPr lang="fr-FR"/>
          </a:p>
        </c:txPr>
        <c:crossAx val="567491904"/>
        <c:crossesAt val="42736"/>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nomsec!$A$7</c:f>
              <c:strCache>
                <c:ptCount val="1"/>
                <c:pt idx="0">
                  <c:v>Primaire</c:v>
                </c:pt>
              </c:strCache>
            </c:strRef>
          </c:tx>
          <c:spPr>
            <a:ln w="22225" cap="rnd">
              <a:solidFill>
                <a:schemeClr val="accent1"/>
              </a:solidFill>
              <a:prstDash val="sysDash"/>
              <a:round/>
            </a:ln>
            <a:effectLst/>
          </c:spPr>
          <c:marker>
            <c:symbol val="none"/>
          </c:marker>
          <c:cat>
            <c:numRef>
              <c:f>nomsec!$BM$1:$CW$1</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nomsec!$BM$7:$CW$7</c:f>
              <c:numCache>
                <c:formatCode>0.0</c:formatCode>
                <c:ptCount val="37"/>
                <c:pt idx="0">
                  <c:v>115</c:v>
                </c:pt>
                <c:pt idx="1">
                  <c:v>113.4</c:v>
                </c:pt>
                <c:pt idx="2">
                  <c:v>113.52</c:v>
                </c:pt>
                <c:pt idx="3">
                  <c:v>115.92</c:v>
                </c:pt>
                <c:pt idx="4">
                  <c:v>114</c:v>
                </c:pt>
                <c:pt idx="5">
                  <c:v>113.31</c:v>
                </c:pt>
                <c:pt idx="6">
                  <c:v>115.68</c:v>
                </c:pt>
                <c:pt idx="7">
                  <c:v>121.65</c:v>
                </c:pt>
                <c:pt idx="8">
                  <c:v>122.27</c:v>
                </c:pt>
                <c:pt idx="9">
                  <c:v>123.16</c:v>
                </c:pt>
                <c:pt idx="10">
                  <c:v>120.97</c:v>
                </c:pt>
                <c:pt idx="11">
                  <c:v>119.62</c:v>
                </c:pt>
                <c:pt idx="12">
                  <c:v>115.63</c:v>
                </c:pt>
                <c:pt idx="13">
                  <c:v>116.66166782379101</c:v>
                </c:pt>
                <c:pt idx="14">
                  <c:v>115.386641025543</c:v>
                </c:pt>
                <c:pt idx="15">
                  <c:v>115.76980352401699</c:v>
                </c:pt>
                <c:pt idx="16">
                  <c:v>116.22486114501901</c:v>
                </c:pt>
                <c:pt idx="17">
                  <c:v>116.698920726776</c:v>
                </c:pt>
                <c:pt idx="18">
                  <c:v>121.471786499023</c:v>
                </c:pt>
                <c:pt idx="19">
                  <c:v>125.54877996444699</c:v>
                </c:pt>
                <c:pt idx="20">
                  <c:v>126.974260807037</c:v>
                </c:pt>
                <c:pt idx="21">
                  <c:v>127.31065750122001</c:v>
                </c:pt>
                <c:pt idx="22">
                  <c:v>124.88079071044901</c:v>
                </c:pt>
                <c:pt idx="23">
                  <c:v>124.83137845992999</c:v>
                </c:pt>
                <c:pt idx="24">
                  <c:v>125.17424821853599</c:v>
                </c:pt>
                <c:pt idx="25">
                  <c:v>127.839720249176</c:v>
                </c:pt>
                <c:pt idx="26">
                  <c:v>125.55010318756101</c:v>
                </c:pt>
                <c:pt idx="27">
                  <c:v>127.25275754928499</c:v>
                </c:pt>
                <c:pt idx="28">
                  <c:v>129.11715507507299</c:v>
                </c:pt>
                <c:pt idx="29">
                  <c:v>132.00557231902999</c:v>
                </c:pt>
                <c:pt idx="30">
                  <c:v>141.84781541543757</c:v>
                </c:pt>
                <c:pt idx="31">
                  <c:v>146.80422901930231</c:v>
                </c:pt>
                <c:pt idx="32">
                  <c:v>150.03212360943158</c:v>
                </c:pt>
                <c:pt idx="33">
                  <c:v>153.22320997154358</c:v>
                </c:pt>
                <c:pt idx="34">
                  <c:v>153.17736893118655</c:v>
                </c:pt>
                <c:pt idx="35">
                  <c:v>149.92099606952007</c:v>
                </c:pt>
                <c:pt idx="36">
                  <c:v>142.58655062246746</c:v>
                </c:pt>
              </c:numCache>
            </c:numRef>
          </c:val>
          <c:smooth val="0"/>
          <c:extLst>
            <c:ext xmlns:c16="http://schemas.microsoft.com/office/drawing/2014/chart" uri="{C3380CC4-5D6E-409C-BE32-E72D297353CC}">
              <c16:uniqueId val="{00000000-D004-4C12-A710-F0438378068F}"/>
            </c:ext>
          </c:extLst>
        </c:ser>
        <c:ser>
          <c:idx val="1"/>
          <c:order val="1"/>
          <c:tx>
            <c:strRef>
              <c:f>nomsec!$A$8</c:f>
              <c:strCache>
                <c:ptCount val="1"/>
                <c:pt idx="0">
                  <c:v>secondaire</c:v>
                </c:pt>
              </c:strCache>
            </c:strRef>
          </c:tx>
          <c:spPr>
            <a:ln w="22225" cap="rnd">
              <a:solidFill>
                <a:schemeClr val="accent2"/>
              </a:solidFill>
              <a:round/>
            </a:ln>
            <a:effectLst/>
          </c:spPr>
          <c:marker>
            <c:symbol val="none"/>
          </c:marker>
          <c:cat>
            <c:numRef>
              <c:f>nomsec!$BM$1:$CW$1</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nomsec!$BM$8:$CW$8</c:f>
              <c:numCache>
                <c:formatCode>0.0</c:formatCode>
                <c:ptCount val="37"/>
                <c:pt idx="0">
                  <c:v>98.86</c:v>
                </c:pt>
                <c:pt idx="1">
                  <c:v>99.28</c:v>
                </c:pt>
                <c:pt idx="2">
                  <c:v>99.25</c:v>
                </c:pt>
                <c:pt idx="3">
                  <c:v>99.57</c:v>
                </c:pt>
                <c:pt idx="4">
                  <c:v>99.44</c:v>
                </c:pt>
                <c:pt idx="5">
                  <c:v>99.53</c:v>
                </c:pt>
                <c:pt idx="6">
                  <c:v>99.47</c:v>
                </c:pt>
                <c:pt idx="7">
                  <c:v>99.27</c:v>
                </c:pt>
                <c:pt idx="8">
                  <c:v>99.07</c:v>
                </c:pt>
                <c:pt idx="9">
                  <c:v>99.08</c:v>
                </c:pt>
                <c:pt idx="10">
                  <c:v>99.26</c:v>
                </c:pt>
                <c:pt idx="11">
                  <c:v>99.17</c:v>
                </c:pt>
                <c:pt idx="12">
                  <c:v>99.54</c:v>
                </c:pt>
                <c:pt idx="13">
                  <c:v>99.887949228286701</c:v>
                </c:pt>
                <c:pt idx="14">
                  <c:v>99.991768598556504</c:v>
                </c:pt>
                <c:pt idx="15">
                  <c:v>99.751645326614295</c:v>
                </c:pt>
                <c:pt idx="16">
                  <c:v>99.979478120803805</c:v>
                </c:pt>
                <c:pt idx="17">
                  <c:v>101.044881343841</c:v>
                </c:pt>
                <c:pt idx="18">
                  <c:v>101.13086700439401</c:v>
                </c:pt>
                <c:pt idx="19">
                  <c:v>101.917338371276</c:v>
                </c:pt>
                <c:pt idx="20">
                  <c:v>102.458047866821</c:v>
                </c:pt>
                <c:pt idx="21">
                  <c:v>102.68173217773401</c:v>
                </c:pt>
                <c:pt idx="22">
                  <c:v>103.11552286148</c:v>
                </c:pt>
                <c:pt idx="23">
                  <c:v>103.430473804473</c:v>
                </c:pt>
                <c:pt idx="24">
                  <c:v>103.88330221176101</c:v>
                </c:pt>
                <c:pt idx="25">
                  <c:v>105.151879787445</c:v>
                </c:pt>
                <c:pt idx="26">
                  <c:v>105.564951896667</c:v>
                </c:pt>
                <c:pt idx="27">
                  <c:v>106.225562095642</c:v>
                </c:pt>
                <c:pt idx="28">
                  <c:v>106.39965534210199</c:v>
                </c:pt>
                <c:pt idx="29">
                  <c:v>107.857966423034</c:v>
                </c:pt>
                <c:pt idx="30">
                  <c:v>109.11422912448378</c:v>
                </c:pt>
                <c:pt idx="31">
                  <c:v>110.11643793815675</c:v>
                </c:pt>
                <c:pt idx="32">
                  <c:v>110.69476144741935</c:v>
                </c:pt>
                <c:pt idx="33">
                  <c:v>111.42951941384446</c:v>
                </c:pt>
                <c:pt idx="34">
                  <c:v>111.9592179115533</c:v>
                </c:pt>
                <c:pt idx="35">
                  <c:v>112.26146145099608</c:v>
                </c:pt>
                <c:pt idx="36">
                  <c:v>112.57134360372908</c:v>
                </c:pt>
              </c:numCache>
            </c:numRef>
          </c:val>
          <c:smooth val="1"/>
          <c:extLst>
            <c:ext xmlns:c16="http://schemas.microsoft.com/office/drawing/2014/chart" uri="{C3380CC4-5D6E-409C-BE32-E72D297353CC}">
              <c16:uniqueId val="{00000001-D004-4C12-A710-F0438378068F}"/>
            </c:ext>
          </c:extLst>
        </c:ser>
        <c:ser>
          <c:idx val="2"/>
          <c:order val="2"/>
          <c:tx>
            <c:strRef>
              <c:f>nomsec!$A$9</c:f>
              <c:strCache>
                <c:ptCount val="1"/>
                <c:pt idx="0">
                  <c:v>Tertiaire</c:v>
                </c:pt>
              </c:strCache>
            </c:strRef>
          </c:tx>
          <c:spPr>
            <a:ln w="22225" cap="rnd">
              <a:solidFill>
                <a:schemeClr val="accent3"/>
              </a:solidFill>
              <a:prstDash val="sysDot"/>
              <a:round/>
            </a:ln>
            <a:effectLst/>
          </c:spPr>
          <c:marker>
            <c:symbol val="none"/>
          </c:marker>
          <c:cat>
            <c:numRef>
              <c:f>nomsec!$BM$1:$CW$1</c:f>
              <c:numCache>
                <c:formatCode>mmm\-yy</c:formatCode>
                <c:ptCount val="37"/>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pt idx="12">
                  <c:v>44197</c:v>
                </c:pt>
                <c:pt idx="13">
                  <c:v>44228</c:v>
                </c:pt>
                <c:pt idx="14">
                  <c:v>44256</c:v>
                </c:pt>
                <c:pt idx="15">
                  <c:v>44287</c:v>
                </c:pt>
                <c:pt idx="16">
                  <c:v>44317</c:v>
                </c:pt>
                <c:pt idx="17">
                  <c:v>44348</c:v>
                </c:pt>
                <c:pt idx="18">
                  <c:v>44378</c:v>
                </c:pt>
                <c:pt idx="19">
                  <c:v>44409</c:v>
                </c:pt>
                <c:pt idx="20">
                  <c:v>44440</c:v>
                </c:pt>
                <c:pt idx="21">
                  <c:v>44470</c:v>
                </c:pt>
                <c:pt idx="22">
                  <c:v>44501</c:v>
                </c:pt>
                <c:pt idx="23">
                  <c:v>44531</c:v>
                </c:pt>
                <c:pt idx="24">
                  <c:v>44562</c:v>
                </c:pt>
                <c:pt idx="25">
                  <c:v>44593</c:v>
                </c:pt>
                <c:pt idx="26">
                  <c:v>44621</c:v>
                </c:pt>
                <c:pt idx="27">
                  <c:v>44652</c:v>
                </c:pt>
                <c:pt idx="28">
                  <c:v>44682</c:v>
                </c:pt>
                <c:pt idx="29">
                  <c:v>44713</c:v>
                </c:pt>
                <c:pt idx="30">
                  <c:v>44743</c:v>
                </c:pt>
                <c:pt idx="31">
                  <c:v>44774</c:v>
                </c:pt>
                <c:pt idx="32">
                  <c:v>44805</c:v>
                </c:pt>
                <c:pt idx="33">
                  <c:v>44835</c:v>
                </c:pt>
                <c:pt idx="34">
                  <c:v>44866</c:v>
                </c:pt>
                <c:pt idx="35">
                  <c:v>44896</c:v>
                </c:pt>
                <c:pt idx="36">
                  <c:v>44927</c:v>
                </c:pt>
              </c:numCache>
            </c:numRef>
          </c:cat>
          <c:val>
            <c:numRef>
              <c:f>nomsec!$BM$9:$CW$9</c:f>
              <c:numCache>
                <c:formatCode>0.0</c:formatCode>
                <c:ptCount val="37"/>
                <c:pt idx="0">
                  <c:v>103.19</c:v>
                </c:pt>
                <c:pt idx="1">
                  <c:v>103.43</c:v>
                </c:pt>
                <c:pt idx="2">
                  <c:v>103.82</c:v>
                </c:pt>
                <c:pt idx="3">
                  <c:v>104.44</c:v>
                </c:pt>
                <c:pt idx="4">
                  <c:v>104.71</c:v>
                </c:pt>
                <c:pt idx="5">
                  <c:v>104.55</c:v>
                </c:pt>
                <c:pt idx="6">
                  <c:v>104.71</c:v>
                </c:pt>
                <c:pt idx="7">
                  <c:v>104.49</c:v>
                </c:pt>
                <c:pt idx="8">
                  <c:v>104.64</c:v>
                </c:pt>
                <c:pt idx="9">
                  <c:v>104.13</c:v>
                </c:pt>
                <c:pt idx="10">
                  <c:v>104.36</c:v>
                </c:pt>
                <c:pt idx="11">
                  <c:v>103.92</c:v>
                </c:pt>
                <c:pt idx="12">
                  <c:v>104.32</c:v>
                </c:pt>
                <c:pt idx="13">
                  <c:v>104.024338722229</c:v>
                </c:pt>
                <c:pt idx="14">
                  <c:v>104.43192720413199</c:v>
                </c:pt>
                <c:pt idx="15">
                  <c:v>104.565405845642</c:v>
                </c:pt>
                <c:pt idx="16">
                  <c:v>104.928612709045</c:v>
                </c:pt>
                <c:pt idx="17">
                  <c:v>104.482102394104</c:v>
                </c:pt>
                <c:pt idx="18">
                  <c:v>104.572653770446</c:v>
                </c:pt>
                <c:pt idx="19">
                  <c:v>104.499781131744</c:v>
                </c:pt>
                <c:pt idx="20">
                  <c:v>104.639661312103</c:v>
                </c:pt>
                <c:pt idx="21">
                  <c:v>104.708385467529</c:v>
                </c:pt>
                <c:pt idx="22">
                  <c:v>105.02159595489501</c:v>
                </c:pt>
                <c:pt idx="23">
                  <c:v>104.84071969985899</c:v>
                </c:pt>
                <c:pt idx="24">
                  <c:v>104.591751098632</c:v>
                </c:pt>
                <c:pt idx="25">
                  <c:v>104.88543510437</c:v>
                </c:pt>
                <c:pt idx="26">
                  <c:v>105.028069019317</c:v>
                </c:pt>
                <c:pt idx="27">
                  <c:v>104.993295669555</c:v>
                </c:pt>
                <c:pt idx="28">
                  <c:v>105.347847938537</c:v>
                </c:pt>
                <c:pt idx="29">
                  <c:v>107.019698619842</c:v>
                </c:pt>
                <c:pt idx="30">
                  <c:v>107.27407244965312</c:v>
                </c:pt>
                <c:pt idx="31">
                  <c:v>107.8164931282661</c:v>
                </c:pt>
                <c:pt idx="32">
                  <c:v>107.39838224661833</c:v>
                </c:pt>
                <c:pt idx="33">
                  <c:v>108.26718571956897</c:v>
                </c:pt>
                <c:pt idx="34">
                  <c:v>108.5540351222274</c:v>
                </c:pt>
                <c:pt idx="35">
                  <c:v>108.68510033044184</c:v>
                </c:pt>
                <c:pt idx="36">
                  <c:v>110.20424873788772</c:v>
                </c:pt>
              </c:numCache>
            </c:numRef>
          </c:val>
          <c:smooth val="0"/>
          <c:extLst>
            <c:ext xmlns:c16="http://schemas.microsoft.com/office/drawing/2014/chart" uri="{C3380CC4-5D6E-409C-BE32-E72D297353CC}">
              <c16:uniqueId val="{00000002-D004-4C12-A710-F0438378068F}"/>
            </c:ext>
          </c:extLst>
        </c:ser>
        <c:dLbls>
          <c:showLegendKey val="0"/>
          <c:showVal val="0"/>
          <c:showCatName val="0"/>
          <c:showSerName val="0"/>
          <c:showPercent val="0"/>
          <c:showBubbleSize val="0"/>
        </c:dLbls>
        <c:smooth val="0"/>
        <c:axId val="567501152"/>
        <c:axId val="567495712"/>
      </c:lineChart>
      <c:dateAx>
        <c:axId val="567501152"/>
        <c:scaling>
          <c:orientation val="minMax"/>
        </c:scaling>
        <c:delete val="0"/>
        <c:axPos val="b"/>
        <c:numFmt formatCode="mmm\-yy" sourceLinked="0"/>
        <c:majorTickMark val="out"/>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fr-FR"/>
          </a:p>
        </c:txPr>
        <c:crossAx val="567495712"/>
        <c:crosses val="autoZero"/>
        <c:auto val="1"/>
        <c:lblOffset val="100"/>
        <c:baseTimeUnit val="months"/>
      </c:dateAx>
      <c:valAx>
        <c:axId val="567495712"/>
        <c:scaling>
          <c:orientation val="minMax"/>
          <c:min val="95"/>
        </c:scaling>
        <c:delete val="0"/>
        <c:axPos val="l"/>
        <c:majorGridlines>
          <c:spPr>
            <a:ln w="9525" cap="flat" cmpd="sng" algn="ctr">
              <a:solidFill>
                <a:schemeClr val="dk1">
                  <a:lumMod val="15000"/>
                  <a:lumOff val="85000"/>
                  <a:alpha val="54000"/>
                </a:schemeClr>
              </a:solidFill>
              <a:round/>
            </a:ln>
            <a:effectLst/>
          </c:spPr>
        </c:majorGridlines>
        <c:numFmt formatCode="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5675011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FAD4-0D6F-44AE-8398-71B0C31E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2175</Words>
  <Characters>11963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THIAM</dc:creator>
  <cp:lastModifiedBy>Alain François DIATTA</cp:lastModifiedBy>
  <cp:revision>2</cp:revision>
  <cp:lastPrinted>2023-02-20T08:48:00Z</cp:lastPrinted>
  <dcterms:created xsi:type="dcterms:W3CDTF">2023-02-28T09:30:00Z</dcterms:created>
  <dcterms:modified xsi:type="dcterms:W3CDTF">2023-02-28T09:30:00Z</dcterms:modified>
</cp:coreProperties>
</file>