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Acoustic Assessment</w:t>
      </w:r>
    </w:p>
    <w:p>
      <w:pPr>
        <w:pStyle w:val="Subtitle"/>
      </w:pPr>
      <w:r>
        <w:t>Automated report generated from validated demonstration data</w:t>
      </w:r>
    </w:p>
    <w:p>
      <w:r>
        <w:t>Project {{ project.id }}</w:t>
      </w:r>
    </w:p>
    <w:p>
      <w:r>
        <w:t>{{ project.title }}</w:t>
      </w:r>
    </w:p>
    <w:p>
      <w:r>
        <w:t>Report date {{ project.report_date }}</w:t>
      </w:r>
    </w:p>
    <w:p>
      <w:r>
        <w:t>Prepared by {{ project.author }}</w:t>
      </w:r>
    </w:p>
    <w:p>
      <w:pPr>
        <w:pStyle w:val="Heading1"/>
      </w:pPr>
      <w:r>
        <w:t>Purpose and scope</w:t>
      </w:r>
    </w:p>
    <w:p>
      <w:r>
        <w:t>This report demonstrates a deterministic document automation pipeline. It validates structured input, applies transparent acoustic rules and produces a reviewable Word document.</w:t>
      </w:r>
    </w:p>
    <w:p>
      <w:pPr>
        <w:pStyle w:val="Heading1"/>
      </w:pPr>
      <w:r>
        <w:t>Input data</w:t>
      </w:r>
    </w:p>
    <w:p>
      <w:r>
        <w:t>The demonstration model contains {{ sources|length }} synthetic sound sources. All identifiers, descriptions and levels were created for this portfolio application.</w:t>
      </w:r>
    </w:p>
    <w:p>
      <w:r>
        <w:t>{%p for source in sources %}</w:t>
      </w:r>
    </w:p>
    <w:p>
      <w:r>
        <w:t>{{ source.id }}  {{ source.description }}  sound power {{ source.sound_power }}, correction {{ source.correction }} dB, corrected value {{ source.corrected }}</w:t>
      </w:r>
    </w:p>
    <w:p>
      <w:r>
        <w:t>{%p endfor %}</w:t>
      </w:r>
    </w:p>
    <w:p>
      <w:pPr>
        <w:pStyle w:val="Heading1"/>
      </w:pPr>
      <w:r>
        <w:t>Assessment method</w:t>
      </w:r>
    </w:p>
    <w:p>
      <w:r>
        <w:t>Contributions at each receiver are combined energetically. The calculated level is rounded commercially to a whole decibel and compared with the assigned daytime limit. The method and validation contract are documented in {{ citations[0].reference }} and {{ citations[1].reference }}.</w:t>
      </w:r>
    </w:p>
    <w:p>
      <w:pPr>
        <w:pStyle w:val="Heading1"/>
      </w:pPr>
      <w:r>
        <w:t>Results</w:t>
      </w:r>
    </w:p>
    <w:p>
      <w:r>
        <w:t>[[RESULTS_TABLE]]</w:t>
      </w:r>
    </w:p>
    <w:p>
      <w:pPr>
        <w:pStyle w:val="Heading1"/>
      </w:pPr>
      <w:r>
        <w:t>Conclusion</w:t>
      </w:r>
    </w:p>
    <w:p>
      <w:r>
        <w:t>{{ summary.compliant_count }} of {{ summary.receiver_count }} assessed receivers meet their assigned limits.</w:t>
      </w:r>
    </w:p>
    <w:p>
      <w:r>
        <w:t>{%p if summary.all_compliant %}</w:t>
      </w:r>
    </w:p>
    <w:p>
      <w:r>
        <w:t>The synthetic scenario meets all configured assessment criteria.</w:t>
      </w:r>
    </w:p>
    <w:p>
      <w:r>
        <w:t>{%p else %}</w:t>
      </w:r>
    </w:p>
    <w:p>
      <w:r>
        <w:t>At least one synthetic receiver exceeds its configured criterion and requires review.</w:t>
      </w:r>
    </w:p>
    <w:p>
      <w:r>
        <w:t>{%p endif %}</w:t>
      </w:r>
    </w:p>
    <w:p>
      <w:pPr>
        <w:pStyle w:val="Heading1"/>
      </w:pPr>
      <w:r>
        <w:t>References</w:t>
      </w:r>
    </w:p>
    <w:p>
      <w:r>
        <w:t>{%p for citation in citations %}</w:t>
      </w:r>
    </w:p>
    <w:p>
      <w:r>
        <w:t>{{ citation.reference }} {{ citation.title }}</w:t>
      </w:r>
    </w:p>
    <w:p>
      <w:r>
        <w:t>{%p endfor %}</w:t>
      </w:r>
    </w:p>
    <w:sectPr w:rsidR="00FC693F" w:rsidRPr="0006063C" w:rsidSect="00034616">
      <w:footerReference w:type="default" r:id="rId9"/>
      <w:pgSz w:w="12240" w:h="15840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Acoustic Report Automation  Synthetic portfolio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hAnsi="Aptos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Acoustic Assessment Template</dc:title>
  <dc:subject>Portfolio demonstration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