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Calibri" w:cs="Calibri" w:eastAsia="Calibri" w:hAnsi="Calibri"/>
          <w:b/>
          <w:bCs/>
          <w:caps/>
          <w:color w:val="1B4D3E"/>
          <w:spacing w:val="20"/>
          <w:sz w:val="26"/>
          <w:szCs w:val="26"/>
        </w:rPr>
        <w:t xml:space="preserve">AfriMesh</w:t>
      </w:r>
    </w:p>
    <w:p>
      <w:pPr>
        <w:spacing w:after="0" w:before="200"/>
        <w:jc w:val="center"/>
      </w:pPr>
      <w:r>
        <w:rPr>
          <w:rFonts w:ascii="Calibri" w:cs="Calibri" w:eastAsia="Calibri" w:hAnsi="Calibri"/>
          <w:b/>
          <w:bCs/>
          <w:color w:val="1F2328"/>
          <w:sz w:val="52"/>
          <w:szCs w:val="52"/>
        </w:rPr>
        <w:t xml:space="preserve">Website &amp; Experience Audit</w:t>
      </w:r>
    </w:p>
    <w:p>
      <w:pPr>
        <w:spacing w:before="260"/>
        <w:jc w:val="center"/>
      </w:pPr>
      <w:r>
        <w:rPr>
          <w:rFonts w:ascii="Calibri" w:cs="Calibri" w:eastAsia="Calibri" w:hAnsi="Calibri"/>
          <w:i/>
          <w:iCs/>
          <w:color w:val="57606A"/>
          <w:sz w:val="26"/>
          <w:szCs w:val="26"/>
        </w:rPr>
        <w:t xml:space="preserve">UX, design, and technical review</w:t>
      </w:r>
    </w:p>
    <w:p>
      <w:pPr>
        <w:pBdr>
          <w:top w:val="single" w:color="D0D7DE" w:sz="4" w:space="12"/>
        </w:pBdr>
        <w:spacing w:before="700"/>
        <w:jc w:val="center"/>
      </w:pPr>
      <w:r>
        <w:rPr>
          <w:rFonts w:ascii="Calibri" w:cs="Calibri" w:eastAsia="Calibri" w:hAnsi="Calibri"/>
          <w:color w:val="57606A"/>
          <w:sz w:val="22"/>
          <w:szCs w:val="22"/>
        </w:rPr>
        <w:t xml:space="preserve">24 August 2026</w:t>
      </w:r>
    </w:p>
    <w:p>
      <w:pPr>
        <w:sectPr>
          <w:pgSz w:w="12240" w:h="15840" w:orient="portrait"/>
          <w:pgMar w:top="1440" w:right="1440" w:bottom="1440" w:left="1440" w:header="708" w:footer="708" w:gutter="0"/>
          <w:pgNumType/>
          <w:docGrid w:linePitch="360"/>
        </w:sectPr>
      </w:pPr>
    </w:p>
    <w:p>
      <w:pPr>
        <w:pStyle w:val="Heading1"/>
        <w:pBdr>
          <w:bottom w:val="single" w:color="1B4D3E" w:sz="8" w:space="6"/>
        </w:pBdr>
        <w:spacing w:after="200" w:before="120"/>
      </w:pPr>
      <w:r>
        <w:rPr>
          <w:rFonts w:ascii="Calibri" w:cs="Calibri" w:eastAsia="Calibri" w:hAnsi="Calibri"/>
          <w:b/>
          <w:bCs/>
          <w:color w:val="1B4D3E"/>
          <w:sz w:val="32"/>
          <w:szCs w:val="32"/>
        </w:rPr>
        <w:t xml:space="preserve">Executive Summary</w:t>
      </w:r>
    </w:p>
    <w:p>
      <w:pPr>
        <w:spacing w:after="160" w:line="300"/>
      </w:pPr>
      <w:r>
        <w:rPr>
          <w:rFonts w:ascii="Calibri" w:cs="Calibri" w:eastAsia="Calibri" w:hAnsi="Calibri"/>
          <w:color w:val="1F2328"/>
          <w:sz w:val="22"/>
          <w:szCs w:val="22"/>
        </w:rPr>
        <w:t xml:space="preserve">This review covers AfriMesh, a hyperlocal commerce platform connecting nearby shoppers with verified local sellers. Both the live application and its underlying codebase were assessed, spanning experience, content, accessibility, search visibility, and technical foundations.</w:t>
      </w:r>
    </w:p>
    <w:p>
      <w:pPr>
        <w:spacing w:after="160" w:line="300"/>
      </w:pPr>
      <w:r>
        <w:rPr>
          <w:rFonts w:ascii="Calibri" w:cs="Calibri" w:eastAsia="Calibri" w:hAnsi="Calibri"/>
          <w:color w:val="1F2328"/>
          <w:sz w:val="22"/>
          <w:szCs w:val="22"/>
        </w:rPr>
        <w:t xml:space="preserve">Overall, AfriMesh is built on an unusually strong foundation: a disciplined visual design system, thoughtful accessibility groundwork, and genuinely transparent trust-building content that sets it apart from typical marketplace experiences. At the same time, this review surfaced a small number of issues that deserve prompt attention before wider rollout.</w:t>
      </w:r>
    </w:p>
    <w:p>
      <w:pPr>
        <w:spacing w:after="160" w:line="300"/>
      </w:pPr>
      <w:r>
        <w:rPr>
          <w:rFonts w:ascii="Calibri" w:cs="Calibri" w:eastAsia="Calibri" w:hAnsi="Calibri"/>
          <w:b/>
          <w:bCs/>
          <w:color w:val="1F2328"/>
          <w:sz w:val="22"/>
          <w:szCs w:val="22"/>
        </w:rPr>
        <w:t xml:space="preserve">Five things stand out:</w:t>
      </w:r>
    </w:p>
    <w:p>
      <w:pPr>
        <w:pStyle w:val="ListParagraph"/>
        <w:numPr>
          <w:ilvl w:val="0"/>
          <w:numId w:val="2"/>
        </w:numPr>
        <w:spacing w:after="120" w:line="290"/>
      </w:pPr>
      <w:r>
        <w:rPr>
          <w:rFonts w:ascii="Calibri" w:cs="Calibri" w:eastAsia="Calibri" w:hAnsi="Calibri"/>
          <w:color w:val="1F2328"/>
          <w:sz w:val="22"/>
          <w:szCs w:val="22"/>
        </w:rPr>
        <w:t xml:space="preserve">A technical stability issue emerged during testing that intermittently prevented core pages — sign-in, basket, and product pages — from loading correctly. This needs investigation before it reaches real users.</w:t>
      </w:r>
    </w:p>
    <w:p>
      <w:pPr>
        <w:pStyle w:val="ListParagraph"/>
        <w:numPr>
          <w:ilvl w:val="0"/>
          <w:numId w:val="2"/>
        </w:numPr>
        <w:spacing w:after="120" w:line="290"/>
      </w:pPr>
      <w:r>
        <w:rPr>
          <w:rFonts w:ascii="Calibri" w:cs="Calibri" w:eastAsia="Calibri" w:hAnsi="Calibri"/>
          <w:color w:val="1F2328"/>
          <w:sz w:val="22"/>
          <w:szCs w:val="22"/>
        </w:rPr>
        <w:t xml:space="preserve">The product's design and interaction foundation is unusually solid for its stage, and worth preserving as the platform grows.</w:t>
      </w:r>
    </w:p>
    <w:p>
      <w:pPr>
        <w:pStyle w:val="ListParagraph"/>
        <w:numPr>
          <w:ilvl w:val="0"/>
          <w:numId w:val="2"/>
        </w:numPr>
        <w:spacing w:after="120" w:line="290"/>
      </w:pPr>
      <w:r>
        <w:rPr>
          <w:rFonts w:ascii="Calibri" w:cs="Calibri" w:eastAsia="Calibri" w:hAnsi="Calibri"/>
          <w:color w:val="1F2328"/>
          <w:sz w:val="22"/>
          <w:szCs w:val="22"/>
        </w:rPr>
        <w:t xml:space="preserve">Search visibility for product and shop pages — the pages most likely to bring in new customers organically — is currently incomplete.</w:t>
      </w:r>
    </w:p>
    <w:p>
      <w:pPr>
        <w:pStyle w:val="ListParagraph"/>
        <w:numPr>
          <w:ilvl w:val="0"/>
          <w:numId w:val="2"/>
        </w:numPr>
        <w:spacing w:after="120" w:line="290"/>
      </w:pPr>
      <w:r>
        <w:rPr>
          <w:rFonts w:ascii="Calibri" w:cs="Calibri" w:eastAsia="Calibri" w:hAnsi="Calibri"/>
          <w:color w:val="1F2328"/>
          <w:sz w:val="22"/>
          <w:szCs w:val="22"/>
        </w:rPr>
        <w:t xml:space="preserve">Payment processing is not yet connected to a live provider, and the systems that manage orders, wallets, and payments currently have little automated safety-net testing.</w:t>
      </w:r>
    </w:p>
    <w:p>
      <w:pPr>
        <w:pStyle w:val="ListParagraph"/>
        <w:numPr>
          <w:ilvl w:val="0"/>
          <w:numId w:val="2"/>
        </w:numPr>
        <w:spacing w:after="120" w:line="290"/>
      </w:pPr>
      <w:r>
        <w:rPr>
          <w:rFonts w:ascii="Calibri" w:cs="Calibri" w:eastAsia="Calibri" w:hAnsi="Calibri"/>
          <w:color w:val="1F2328"/>
          <w:sz w:val="22"/>
          <w:szCs w:val="22"/>
        </w:rPr>
        <w:t xml:space="preserve">A handful of contained accessibility and interaction fixes would meaningfully broaden who can use the site comfortably, including shoppers using a keyboard or screen reader.</w:t>
      </w:r>
    </w:p>
    <w:p>
      <w:pPr>
        <w:spacing w:after="160" w:line="300"/>
      </w:pPr>
      <w:r>
        <w:rPr>
          <w:rFonts w:ascii="Calibri" w:cs="Calibri" w:eastAsia="Calibri" w:hAnsi="Calibri"/>
          <w:color w:val="1F2328"/>
          <w:sz w:val="22"/>
          <w:szCs w:val="22"/>
        </w:rPr>
        <w:t xml:space="preserve">None of these findings are unusual for a platform at this stage, and several are quick to address. The recommendations that follow are organized by priority to help sequence the work.</w:t>
      </w:r>
    </w:p>
    <w:p>
      <w:r>
        <w:br w:type="page"/>
      </w:r>
    </w:p>
    <w:p>
      <w:pPr>
        <w:pStyle w:val="Heading1"/>
        <w:pBdr>
          <w:bottom w:val="single" w:color="1B4D3E" w:sz="8" w:space="6"/>
        </w:pBdr>
        <w:spacing w:after="200" w:before="120"/>
      </w:pPr>
      <w:r>
        <w:rPr>
          <w:rFonts w:ascii="Calibri" w:cs="Calibri" w:eastAsia="Calibri" w:hAnsi="Calibri"/>
          <w:b/>
          <w:bCs/>
          <w:color w:val="1B4D3E"/>
          <w:sz w:val="32"/>
          <w:szCs w:val="32"/>
        </w:rPr>
        <w:t xml:space="preserve">What's Working</w:t>
      </w:r>
    </w:p>
    <w:p>
      <w:pPr>
        <w:spacing w:after="160" w:line="300"/>
      </w:pPr>
      <w:r>
        <w:rPr>
          <w:rFonts w:ascii="Calibri" w:cs="Calibri" w:eastAsia="Calibri" w:hAnsi="Calibri"/>
          <w:color w:val="1F2328"/>
          <w:sz w:val="22"/>
          <w:szCs w:val="22"/>
        </w:rPr>
        <w:t xml:space="preserve">These are genuine strengths worth preserving as the platform evolves — not areas that need to change.</w:t>
      </w:r>
    </w:p>
    <w:p>
      <w:pPr>
        <w:pStyle w:val="ListParagraph"/>
        <w:numPr>
          <w:ilvl w:val="0"/>
          <w:numId w:val="2"/>
        </w:numPr>
        <w:spacing w:after="120" w:line="290"/>
      </w:pPr>
      <w:r>
        <w:rPr>
          <w:rFonts w:ascii="Calibri" w:cs="Calibri" w:eastAsia="Calibri" w:hAnsi="Calibri"/>
          <w:color w:val="1F2328"/>
          <w:sz w:val="22"/>
          <w:szCs w:val="22"/>
        </w:rPr>
        <w:t xml:space="preserve">Consistent, well-governed visual design. Colours, type, and spacing are controlled through a single centralized system rather than set ad hoc page by page, and that system is actually followed consistently across the product. This is uncommon at this stage of a product's life and will pay off in faster, safer changes later.</w:t>
      </w:r>
    </w:p>
    <w:p>
      <w:pPr>
        <w:pStyle w:val="ListParagraph"/>
        <w:numPr>
          <w:ilvl w:val="0"/>
          <w:numId w:val="2"/>
        </w:numPr>
        <w:spacing w:after="120" w:line="290"/>
      </w:pPr>
      <w:r>
        <w:rPr>
          <w:rFonts w:ascii="Calibri" w:cs="Calibri" w:eastAsia="Calibri" w:hAnsi="Calibri"/>
          <w:color w:val="1F2328"/>
          <w:sz w:val="22"/>
          <w:szCs w:val="22"/>
        </w:rPr>
        <w:t xml:space="preserve">Thoughtful groundwork on accessibility and inclusive design. Page structure, form labelling, and loading/error states all show real design intent — for example, error screens never expose raw technical messages to shoppers, and loading animations were deliberately designed to avoid confusing users with motion sensitivity.</w:t>
      </w:r>
    </w:p>
    <w:p>
      <w:pPr>
        <w:pStyle w:val="ListParagraph"/>
        <w:numPr>
          <w:ilvl w:val="0"/>
          <w:numId w:val="2"/>
        </w:numPr>
        <w:spacing w:after="120" w:line="290"/>
      </w:pPr>
      <w:r>
        <w:rPr>
          <w:rFonts w:ascii="Calibri" w:cs="Calibri" w:eastAsia="Calibri" w:hAnsi="Calibri"/>
          <w:color w:val="1F2328"/>
          <w:sz w:val="22"/>
          <w:szCs w:val="22"/>
        </w:rPr>
        <w:t xml:space="preserve">Genuinely transparent, trust-building content. The site openly explains how listings are ranked and how buyer protection (escrow) works — a real differentiator, since most marketplaces keep this opaque.</w:t>
      </w:r>
    </w:p>
    <w:p>
      <w:pPr>
        <w:pStyle w:val="ListParagraph"/>
        <w:numPr>
          <w:ilvl w:val="0"/>
          <w:numId w:val="2"/>
        </w:numPr>
        <w:spacing w:after="120" w:line="290"/>
      </w:pPr>
      <w:r>
        <w:rPr>
          <w:rFonts w:ascii="Calibri" w:cs="Calibri" w:eastAsia="Calibri" w:hAnsi="Calibri"/>
          <w:color w:val="1F2328"/>
          <w:sz w:val="22"/>
          <w:szCs w:val="22"/>
        </w:rPr>
        <w:t xml:space="preserve">Strong technical hygiene under the hood. The codebase is clean, consistently organized, and free of the placeholder or half-finished pages that are common at this stage — a sign of disciplined engineering practice.</w:t>
      </w:r>
    </w:p>
    <w:p>
      <w:pPr>
        <w:pStyle w:val="ListParagraph"/>
        <w:numPr>
          <w:ilvl w:val="0"/>
          <w:numId w:val="2"/>
        </w:numPr>
        <w:spacing w:after="120" w:line="290"/>
      </w:pPr>
      <w:r>
        <w:rPr>
          <w:rFonts w:ascii="Calibri" w:cs="Calibri" w:eastAsia="Calibri" w:hAnsi="Calibri"/>
          <w:color w:val="1F2328"/>
          <w:sz w:val="22"/>
          <w:szCs w:val="22"/>
        </w:rPr>
        <w:t xml:space="preserve">Attention to the small details of a good experience, such as a properly designed “page not found” screen — a detail many platforms skip entirely.</w:t>
      </w:r>
    </w:p>
    <w:p>
      <w:pPr>
        <w:pStyle w:val="Heading1"/>
        <w:pBdr>
          <w:bottom w:val="single" w:color="1B4D3E" w:sz="8" w:space="6"/>
        </w:pBdr>
        <w:spacing w:after="200" w:before="120"/>
      </w:pPr>
      <w:r>
        <w:rPr>
          <w:rFonts w:ascii="Calibri" w:cs="Calibri" w:eastAsia="Calibri" w:hAnsi="Calibri"/>
          <w:b/>
          <w:bCs/>
          <w:color w:val="1B4D3E"/>
          <w:sz w:val="32"/>
          <w:szCs w:val="32"/>
        </w:rPr>
        <w:t xml:space="preserve">Key Opportunities</w:t>
      </w:r>
    </w:p>
    <w:p>
      <w:pPr>
        <w:spacing w:after="160" w:line="300"/>
      </w:pPr>
      <w:r>
        <w:rPr>
          <w:rFonts w:ascii="Calibri" w:cs="Calibri" w:eastAsia="Calibri" w:hAnsi="Calibri"/>
          <w:color w:val="1F2328"/>
          <w:sz w:val="22"/>
          <w:szCs w:val="22"/>
        </w:rPr>
        <w:t xml:space="preserve">The handful of areas most worth the team's attention, in no particular order (see Prioritized Recommendations for sequencing):</w:t>
      </w:r>
    </w:p>
    <w:p>
      <w:pPr>
        <w:pStyle w:val="ListParagraph"/>
        <w:numPr>
          <w:ilvl w:val="0"/>
          <w:numId w:val="2"/>
        </w:numPr>
        <w:spacing w:after="120" w:line="290"/>
      </w:pPr>
      <w:r>
        <w:rPr>
          <w:rFonts w:ascii="Calibri" w:cs="Calibri" w:eastAsia="Calibri" w:hAnsi="Calibri"/>
          <w:color w:val="1F2328"/>
          <w:sz w:val="22"/>
          <w:szCs w:val="22"/>
        </w:rPr>
        <w:t xml:space="preserve">Shore up the reliability of core shopping pages. During this review, sign-in, basket, and product pages intermittently stopped working correctly. Even if this proves to be specific to the environment tested, it's worth confirming it cannot happen where real customers would encounter it.</w:t>
      </w:r>
    </w:p>
    <w:p>
      <w:pPr>
        <w:pStyle w:val="ListParagraph"/>
        <w:numPr>
          <w:ilvl w:val="0"/>
          <w:numId w:val="2"/>
        </w:numPr>
        <w:spacing w:after="120" w:line="290"/>
      </w:pPr>
      <w:r>
        <w:rPr>
          <w:rFonts w:ascii="Calibri" w:cs="Calibri" w:eastAsia="Calibri" w:hAnsi="Calibri"/>
          <w:color w:val="1F2328"/>
          <w:sz w:val="22"/>
          <w:szCs w:val="22"/>
        </w:rPr>
        <w:t xml:space="preserve">Make product and shop pages discoverable. These are the pages most likely to attract new customers through search and shared links, but currently don't carry the information needed to do that well.</w:t>
      </w:r>
    </w:p>
    <w:p>
      <w:pPr>
        <w:pStyle w:val="ListParagraph"/>
        <w:numPr>
          <w:ilvl w:val="0"/>
          <w:numId w:val="2"/>
        </w:numPr>
        <w:spacing w:after="120" w:line="290"/>
      </w:pPr>
      <w:r>
        <w:rPr>
          <w:rFonts w:ascii="Calibri" w:cs="Calibri" w:eastAsia="Calibri" w:hAnsi="Calibri"/>
          <w:color w:val="1F2328"/>
          <w:sz w:val="22"/>
          <w:szCs w:val="22"/>
        </w:rPr>
        <w:t xml:space="preserve">Bring trust-building content closer to the moment of purchase. The platform's strongest trust messaging — fair ranking, buyer protection — currently lives on a separate “how it works” page rather than where a shopper is actually deciding whether to buy.</w:t>
      </w:r>
    </w:p>
    <w:p>
      <w:pPr>
        <w:pStyle w:val="ListParagraph"/>
        <w:numPr>
          <w:ilvl w:val="0"/>
          <w:numId w:val="2"/>
        </w:numPr>
        <w:spacing w:after="120" w:line="290"/>
      </w:pPr>
      <w:r>
        <w:rPr>
          <w:rFonts w:ascii="Calibri" w:cs="Calibri" w:eastAsia="Calibri" w:hAnsi="Calibri"/>
          <w:color w:val="1F2328"/>
          <w:sz w:val="22"/>
          <w:szCs w:val="22"/>
        </w:rPr>
        <w:t xml:space="preserve">Reconsider how new sellers are presented. Sellers with no reviews yet are currently shown with what reads as a failing rating, which may work against the platform's own efforts to attract new sellers.</w:t>
      </w:r>
    </w:p>
    <w:p>
      <w:pPr>
        <w:pStyle w:val="ListParagraph"/>
        <w:numPr>
          <w:ilvl w:val="0"/>
          <w:numId w:val="2"/>
        </w:numPr>
        <w:spacing w:after="120" w:line="290"/>
      </w:pPr>
      <w:r>
        <w:rPr>
          <w:rFonts w:ascii="Calibri" w:cs="Calibri" w:eastAsia="Calibri" w:hAnsi="Calibri"/>
          <w:color w:val="1F2328"/>
          <w:sz w:val="22"/>
          <w:szCs w:val="22"/>
        </w:rPr>
        <w:t xml:space="preserve">Prepare for real payments. The platform is not yet connected to a live payment provider, which is a natural next step before handling real transaction volume.</w:t>
      </w:r>
    </w:p>
    <w:p>
      <w:pPr>
        <w:pStyle w:val="ListParagraph"/>
        <w:numPr>
          <w:ilvl w:val="0"/>
          <w:numId w:val="2"/>
        </w:numPr>
        <w:spacing w:after="120" w:line="290"/>
      </w:pPr>
      <w:r>
        <w:rPr>
          <w:rFonts w:ascii="Calibri" w:cs="Calibri" w:eastAsia="Calibri" w:hAnsi="Calibri"/>
          <w:color w:val="1F2328"/>
          <w:sz w:val="22"/>
          <w:szCs w:val="22"/>
        </w:rPr>
        <w:t xml:space="preserve">Build confidence in the systems that move money. The parts of the platform responsible for orders, wallets, and payments currently have minimal automated testing — worth strengthening as usage grows.</w:t>
      </w:r>
    </w:p>
    <w:p>
      <w:pPr>
        <w:pStyle w:val="ListParagraph"/>
        <w:numPr>
          <w:ilvl w:val="0"/>
          <w:numId w:val="2"/>
        </w:numPr>
        <w:spacing w:after="120" w:line="290"/>
      </w:pPr>
      <w:r>
        <w:rPr>
          <w:rFonts w:ascii="Calibri" w:cs="Calibri" w:eastAsia="Calibri" w:hAnsi="Calibri"/>
          <w:color w:val="1F2328"/>
          <w:sz w:val="22"/>
          <w:szCs w:val="22"/>
        </w:rPr>
        <w:t xml:space="preserve">Extend keyboard and screen-reader support. A few interactive elements — menus, filters, search suggestions — aren't fully usable without a mouse today.</w:t>
      </w:r>
    </w:p>
    <w:p>
      <w:r>
        <w:br w:type="page"/>
      </w:r>
    </w:p>
    <w:p>
      <w:pPr>
        <w:pStyle w:val="Heading1"/>
        <w:pBdr>
          <w:bottom w:val="single" w:color="1B4D3E" w:sz="8" w:space="6"/>
        </w:pBdr>
        <w:spacing w:after="200" w:before="120"/>
      </w:pPr>
      <w:r>
        <w:rPr>
          <w:rFonts w:ascii="Calibri" w:cs="Calibri" w:eastAsia="Calibri" w:hAnsi="Calibri"/>
          <w:b/>
          <w:bCs/>
          <w:color w:val="1B4D3E"/>
          <w:sz w:val="32"/>
          <w:szCs w:val="32"/>
        </w:rPr>
        <w:t xml:space="preserve">Prioritized Recommendations</w:t>
      </w:r>
    </w:p>
    <w:p>
      <w:pPr>
        <w:spacing w:after="160" w:line="300"/>
      </w:pPr>
      <w:r>
        <w:rPr>
          <w:rFonts w:ascii="Calibri" w:cs="Calibri" w:eastAsia="Calibri" w:hAnsi="Calibri"/>
          <w:color w:val="1F2328"/>
          <w:sz w:val="22"/>
          <w:szCs w:val="22"/>
        </w:rPr>
        <w:t xml:space="preserve">Grouped by suggested priority. “Do First” items are the ones we'd address before anything else — either because they carry outsized impact or because other work benefits from having them resolved first.</w:t>
      </w:r>
    </w:p>
    <w:tbl>
      <w:tblPr>
        <w:tblW w:type="dxa" w:w="9350"/>
        <w:tblBorders>
          <w:top w:val="single" w:color="D0D7DE" w:sz="4"/>
          <w:left w:val="single" w:color="D0D7DE" w:sz="4"/>
          <w:bottom w:val="single" w:color="D0D7DE" w:sz="4"/>
          <w:right w:val="single" w:color="D0D7DE" w:sz="4"/>
          <w:insideH w:val="single" w:color="D0D7DE" w:sz="2"/>
          <w:insideV w:val="single" w:color="D0D7DE" w:sz="2"/>
        </w:tblBorders>
      </w:tblPr>
      <w:tblGrid>
        <w:gridCol w:w="4300"/>
        <w:gridCol w:w="3550"/>
        <w:gridCol w:w="1500"/>
      </w:tblGrid>
      <w:tr>
        <w:trPr>
          <w:tblHeader/>
        </w:trPr>
        <w:tc>
          <w:tcPr>
            <w:tcW w:type="dxa" w:w="4300"/>
            <w:shd w:fill="1B4D3E"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Recommendation</w:t>
            </w:r>
          </w:p>
        </w:tc>
        <w:tc>
          <w:tcPr>
            <w:tcW w:type="dxa" w:w="3550"/>
            <w:shd w:fill="1B4D3E"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Why it matters</w:t>
            </w:r>
          </w:p>
        </w:tc>
        <w:tc>
          <w:tcPr>
            <w:tcW w:type="dxa" w:w="1500"/>
            <w:shd w:fill="1B4D3E"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Priority</w:t>
            </w:r>
          </w:p>
        </w:tc>
      </w:tr>
      <w:tr>
        <w:tc>
          <w:tcPr>
            <w:tcW w:type="dxa" w:w="9350"/>
            <w:gridSpan w:val="3"/>
            <w:shd w:fill="FBEAEA" w:val="clear"/>
            <w:tcMar>
              <w:top w:type="dxa" w:w="90"/>
              <w:left w:type="dxa" w:w="120"/>
              <w:bottom w:type="dxa" w:w="90"/>
              <w:right w:type="dxa" w:w="120"/>
            </w:tcMar>
          </w:tcPr>
          <w:p>
            <w:r>
              <w:rPr>
                <w:rFonts w:ascii="Calibri" w:cs="Calibri" w:eastAsia="Calibri" w:hAnsi="Calibri"/>
                <w:b/>
                <w:bCs/>
                <w:color w:val="1F2328"/>
                <w:sz w:val="20"/>
                <w:szCs w:val="20"/>
              </w:rPr>
              <w:t xml:space="preserve">Do First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Investigate the intermittent loading failures affecting sign-in, basket, and product pages.</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These are core purchase-path pages. If this can happen where customers would see it, it would block sales outright.</w:t>
            </w:r>
          </w:p>
        </w:tc>
        <w:tc>
          <w:tcPr>
            <w:tcW w:type="dxa" w:w="1500"/>
            <w:shd w:fill="FBEAEA"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First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Give product and shop pages their own descriptive titles and preview text.</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Currently every page shares the same generic text, so individual products and shops can't be found through search or shared with a meaningful preview — the single biggest fixable gap in discoverability.</w:t>
            </w:r>
          </w:p>
        </w:tc>
        <w:tc>
          <w:tcPr>
            <w:tcW w:type="dxa" w:w="1500"/>
            <w:shd w:fill="FBEAEA"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First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Fix the checkout option that can still be selected even when it should be disabled.</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A real usability bug for keyboard users, with the potential to cause an incorrect or failed order, not just an accessibility gap.</w:t>
            </w:r>
          </w:p>
        </w:tc>
        <w:tc>
          <w:tcPr>
            <w:tcW w:type="dxa" w:w="1500"/>
            <w:shd w:fill="FBEAEA"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First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Change how new, unreviewed sellers are displayed instead of showing a failing-looking rating.</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Quick fix that removes an unintended bias against exactly the new sellers the platform is trying to attract.</w:t>
            </w:r>
          </w:p>
        </w:tc>
        <w:tc>
          <w:tcPr>
            <w:tcW w:type="dxa" w:w="1500"/>
            <w:shd w:fill="FBEAEA"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First</w:t>
            </w:r>
          </w:p>
        </w:tc>
      </w:tr>
      <w:tr>
        <w:tc>
          <w:tcPr>
            <w:tcW w:type="dxa" w:w="9350"/>
            <w:gridSpan w:val="3"/>
            <w:shd w:fill="FBF3E6" w:val="clear"/>
            <w:tcMar>
              <w:top w:type="dxa" w:w="90"/>
              <w:left w:type="dxa" w:w="120"/>
              <w:bottom w:type="dxa" w:w="90"/>
              <w:right w:type="dxa" w:w="120"/>
            </w:tcMar>
          </w:tcPr>
          <w:p>
            <w:r>
              <w:rPr>
                <w:rFonts w:ascii="Calibri" w:cs="Calibri" w:eastAsia="Calibri" w:hAnsi="Calibri"/>
                <w:b/>
                <w:bCs/>
                <w:color w:val="1F2328"/>
                <w:sz w:val="20"/>
                <w:szCs w:val="20"/>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Connect a live payment provider ahead of handling real transaction volume.</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Only a test payment system exists today; this is a prerequisite for processing genuine orders.</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Add automated testing around order, payment, and wallet logic.</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These are the systems responsible for moving customers' money and currently have the least safety net of any part of the platform.</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Add the basic infrastructure search engines need to index the site (a sitemap and related setup).</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Supports organic growth; currently entirely absent.</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Extend keyboard and screen-reader support for menus, filters, and search suggestions.</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Broadens who can use the site independently; these are contained, well-scoped fixes.</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Make sure error messages are reliably announced to screen readers.</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Some current error messages may be shown visually but silently missed by assistive technology.</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Simplify the security explanation shown on the sign-in screen.</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Current wording is written for engineers, not shoppers, and risks confusing or unsettling first-time visitors at a moment that should build trust.</w:t>
            </w:r>
          </w:p>
        </w:tc>
        <w:tc>
          <w:tcPr>
            <w:tcW w:type="dxa" w:w="1500"/>
            <w:shd w:fill="FBF3E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Do Next</w:t>
            </w:r>
          </w:p>
        </w:tc>
      </w:tr>
      <w:tr>
        <w:tc>
          <w:tcPr>
            <w:tcW w:type="dxa" w:w="9350"/>
            <w:gridSpan w:val="3"/>
            <w:shd w:fill="EEF2F6" w:val="clear"/>
            <w:tcMar>
              <w:top w:type="dxa" w:w="90"/>
              <w:left w:type="dxa" w:w="120"/>
              <w:bottom w:type="dxa" w:w="90"/>
              <w:right w:type="dxa" w:w="120"/>
            </w:tcMar>
          </w:tcPr>
          <w:p>
            <w:r>
              <w:rPr>
                <w:rFonts w:ascii="Calibri" w:cs="Calibri" w:eastAsia="Calibri" w:hAnsi="Calibri"/>
                <w:b/>
                <w:bCs/>
                <w:color w:val="1F2328"/>
                <w:sz w:val="20"/>
                <w:szCs w:val="20"/>
              </w:rPr>
              <w:t xml:space="preserve">Worth Considering</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Add a browser tab icon and social share preview image.</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Small polish items that add up to a more finished, trustworthy first impression when links are shared.</w:t>
            </w:r>
          </w:p>
        </w:tc>
        <w:tc>
          <w:tcPr>
            <w:tcW w:type="dxa" w:w="1500"/>
            <w:shd w:fill="EEF2F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Consider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Surface the platform's ranking and buyer-protection messaging directly on product and shop pages.</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Brings the platform's strongest trust content to the moment it would matter most — while a shopper is deciding whether to buy.</w:t>
            </w:r>
          </w:p>
        </w:tc>
        <w:tc>
          <w:tcPr>
            <w:tcW w:type="dxa" w:w="1500"/>
            <w:shd w:fill="EEF2F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Consider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Consolidate repeated visual patterns (such as filter tags) into a single reusable design component.</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Makes future design changes faster and more consistent to apply platform-wide.</w:t>
            </w:r>
          </w:p>
        </w:tc>
        <w:tc>
          <w:tcPr>
            <w:tcW w:type="dxa" w:w="1500"/>
            <w:shd w:fill="EEF2F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Consider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Add a dedicated contact or support page, if one doesn't already exist elsewhere in the experience.</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No direct contact path was found during this review; worth confirming this is intentional.</w:t>
            </w:r>
          </w:p>
        </w:tc>
        <w:tc>
          <w:tcPr>
            <w:tcW w:type="dxa" w:w="1500"/>
            <w:shd w:fill="EEF2F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Consider</w:t>
            </w:r>
          </w:p>
        </w:tc>
      </w:tr>
      <w:tr>
        <w:tc>
          <w:tcPr>
            <w:tcW w:type="dxa" w:w="4300"/>
            <w:tcMar>
              <w:top w:type="dxa" w:w="100"/>
              <w:left w:type="dxa" w:w="120"/>
              <w:bottom w:type="dxa" w:w="100"/>
              <w:right w:type="dxa" w:w="120"/>
            </w:tcMar>
            <w:vAlign w:val="center"/>
          </w:tcPr>
          <w:p>
            <w:pPr>
              <w:jc w:val="left"/>
            </w:pPr>
            <w:r>
              <w:rPr>
                <w:rFonts w:ascii="Calibri" w:cs="Calibri" w:eastAsia="Calibri" w:hAnsi="Calibri"/>
                <w:b w:val="false"/>
                <w:bCs w:val="false"/>
                <w:color w:val="1F2328"/>
                <w:sz w:val="19"/>
                <w:szCs w:val="19"/>
              </w:rPr>
              <w:t xml:space="preserve">Design purpose-built loading and error screens for key pages (product, basket, orders) rather than one generic version site-wide.</w:t>
            </w:r>
          </w:p>
        </w:tc>
        <w:tc>
          <w:tcPr>
            <w:tcW w:type="dxa" w:w="3550"/>
            <w:tcMar>
              <w:top w:type="dxa" w:w="100"/>
              <w:left w:type="dxa" w:w="120"/>
              <w:bottom w:type="dxa" w:w="100"/>
              <w:right w:type="dxa" w:w="120"/>
            </w:tcMar>
            <w:vAlign w:val="center"/>
          </w:tcPr>
          <w:p>
            <w:pPr>
              <w:jc w:val="left"/>
            </w:pPr>
            <w:r>
              <w:rPr>
                <w:rFonts w:ascii="Calibri" w:cs="Calibri" w:eastAsia="Calibri" w:hAnsi="Calibri"/>
                <w:b w:val="false"/>
                <w:bCs w:val="false"/>
                <w:color w:val="57606A"/>
                <w:sz w:val="19"/>
                <w:szCs w:val="19"/>
              </w:rPr>
              <w:t xml:space="preserve">A refinement on an already-solid foundation; would make the experience feel more tailored during waits and failures.</w:t>
            </w:r>
          </w:p>
        </w:tc>
        <w:tc>
          <w:tcPr>
            <w:tcW w:type="dxa" w:w="1500"/>
            <w:shd w:fill="EEF2F6" w:val="clear"/>
            <w:tcMar>
              <w:top w:type="dxa" w:w="100"/>
              <w:left w:type="dxa" w:w="120"/>
              <w:bottom w:type="dxa" w:w="100"/>
              <w:right w:type="dxa" w:w="120"/>
            </w:tcMar>
            <w:vAlign w:val="center"/>
          </w:tcPr>
          <w:p>
            <w:pPr>
              <w:jc w:val="center"/>
            </w:pPr>
            <w:r>
              <w:rPr>
                <w:rFonts w:ascii="Calibri" w:cs="Calibri" w:eastAsia="Calibri" w:hAnsi="Calibri"/>
                <w:b/>
                <w:bCs/>
                <w:color w:val="1F2328"/>
                <w:sz w:val="18"/>
                <w:szCs w:val="18"/>
              </w:rPr>
              <w:t xml:space="preserve">Consider</w:t>
            </w:r>
          </w:p>
        </w:tc>
      </w:tr>
    </w:tbl>
    <w:p>
      <w:r>
        <w:br w:type="page"/>
      </w:r>
    </w:p>
    <w:p>
      <w:pPr>
        <w:pStyle w:val="Heading1"/>
        <w:pBdr>
          <w:bottom w:val="single" w:color="1B4D3E" w:sz="8" w:space="6"/>
        </w:pBdr>
        <w:spacing w:after="200" w:before="120"/>
      </w:pPr>
      <w:r>
        <w:rPr>
          <w:rFonts w:ascii="Calibri" w:cs="Calibri" w:eastAsia="Calibri" w:hAnsi="Calibri"/>
          <w:b/>
          <w:bCs/>
          <w:color w:val="1B4D3E"/>
          <w:sz w:val="32"/>
          <w:szCs w:val="32"/>
        </w:rPr>
        <w:t xml:space="preserve">Recommended Next Steps</w:t>
      </w:r>
    </w:p>
    <w:p>
      <w:pPr>
        <w:spacing w:after="160" w:line="300"/>
      </w:pPr>
      <w:r>
        <w:rPr>
          <w:rFonts w:ascii="Calibri" w:cs="Calibri" w:eastAsia="Calibri" w:hAnsi="Calibri"/>
          <w:color w:val="1F2328"/>
          <w:sz w:val="22"/>
          <w:szCs w:val="22"/>
        </w:rPr>
        <w:t xml:space="preserve">We'd suggest sequencing this work in two tracks rather than strictly one after another. The stability issue affecting core pages should be investigated first and separately, since it limits how confidently the rest of the experience can be evaluated and would undermine any other improvements if left unresolved. In parallel, the other “Do First” items — the seller-rating display, the checkout accessibility fix, and search-page metadata — are self-contained and can proceed without waiting on that investigation.</w:t>
      </w:r>
    </w:p>
    <w:p>
      <w:pPr>
        <w:spacing w:after="160" w:line="300"/>
      </w:pPr>
      <w:r>
        <w:rPr>
          <w:rFonts w:ascii="Calibri" w:cs="Calibri" w:eastAsia="Calibri" w:hAnsi="Calibri"/>
          <w:color w:val="1F2328"/>
          <w:sz w:val="22"/>
          <w:szCs w:val="22"/>
        </w:rPr>
        <w:t xml:space="preserve">A few of the findings in this review are informed judgment rather than confirmed fact — for instance, where we've flagged something as a likely effect on conversion or seller sign-ups. Where the team has access to real usage data or analytics, we'd recommend validating these before investing significant effort, so that engineering time is directed at what's actually costing the business the most.</w:t>
      </w:r>
    </w:p>
    <w:p>
      <w:pPr>
        <w:spacing w:after="160" w:line="300"/>
      </w:pPr>
      <w:r>
        <w:rPr>
          <w:rFonts w:ascii="Calibri" w:cs="Calibri" w:eastAsia="Calibri" w:hAnsi="Calibri"/>
          <w:color w:val="1F2328"/>
          <w:sz w:val="22"/>
          <w:szCs w:val="22"/>
        </w:rPr>
        <w:t xml:space="preserve">Before scaling customer acquisition, we'd recommend treating payment-provider integration and testing coverage for order, payment, and wallet logic as a package — both are foundational to handling real money safely, and are more efficiently addressed together than sequentially.</w:t>
      </w:r>
    </w:p>
    <w:p>
      <w:pPr>
        <w:spacing w:after="160" w:line="300"/>
      </w:pPr>
      <w:r>
        <w:rPr>
          <w:rFonts w:ascii="Calibri" w:cs="Calibri" w:eastAsia="Calibri" w:hAnsi="Calibri"/>
          <w:color w:val="1F2328"/>
          <w:sz w:val="22"/>
          <w:szCs w:val="22"/>
        </w:rPr>
        <w:t xml:space="preserve">Finally, this review was conducted on a desktop browser only and could not assess visual polish or the mobile experience directly. We'd recommend a focused follow-up pass once a stable environment is available, covering mobile responsiveness and a visual design review side by side with the live 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2026-08-24T13:10:05.276Z</dcterms:created>
  <dcterms:modified xsi:type="dcterms:W3CDTF">2026-08-24T13:10:05.285Z</dcterms:modified>
</cp:coreProperties>
</file>

<file path=docProps/custom.xml><?xml version="1.0" encoding="utf-8"?>
<Properties xmlns="http://schemas.openxmlformats.org/officeDocument/2006/custom-properties" xmlns:vt="http://schemas.openxmlformats.org/officeDocument/2006/docPropsVTypes"/>
</file>