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Sprint 2 – research_relationship_master Build Specification &amp; Preliminary Results</w:t>
      </w:r>
    </w:p>
    <w:p>
      <w:r>
        <w:t>Source: RXNREL.RRF joined to RXNCONSO.RRF via AUI mapping. Population: RXNORM TTY IN, PIN, BN.</w:t>
      </w:r>
    </w:p>
    <w:p>
      <w:pPr>
        <w:pStyle w:val="Heading1"/>
      </w:pPr>
      <w:r>
        <w:t>Fields</w:t>
      </w:r>
    </w:p>
    <w:p>
      <w:r>
        <w:t>relationship_count = total relationships associated with RxCUI</w:t>
      </w:r>
    </w:p>
    <w:p>
      <w:r>
        <w:t>relationship_diversity = count of distinct RELA values</w:t>
      </w:r>
    </w:p>
    <w:p>
      <w:r>
        <w:t>ingredient_relationships = count(RELA=has_ingredient)</w:t>
      </w:r>
    </w:p>
    <w:p>
      <w:r>
        <w:t>tradename_relationships = count(RELA contains tradename)</w:t>
      </w:r>
    </w:p>
    <w:p>
      <w:r>
        <w:t>clinical_drug_relationships = count(RELA contains clinical)</w:t>
      </w:r>
    </w:p>
    <w:p>
      <w:pPr>
        <w:pStyle w:val="Heading1"/>
      </w:pPr>
      <w:r>
        <w:t>Build Logic</w:t>
      </w:r>
    </w:p>
    <w:p>
      <w:r>
        <w:t>RXNREL AUI1/AUI2 are mapped back to RXCUIs using RXNCONSO. Relationship metrics are aggregated at the RxCUI level.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