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Version 7B – Derived Metric Specification</w:t>
      </w:r>
    </w:p>
    <w:p>
      <w:r>
        <w:t>Purpose: Define the exact mathematical specifications, normalization rules, inputs, assumptions, and refresh logic for all derived variables used within the Medication Readiness Research Dataset.</w:t>
      </w:r>
    </w:p>
    <w:p>
      <w:pPr>
        <w:pStyle w:val="Heading1"/>
      </w:pPr>
      <w:r>
        <w:t>semantic_richness</w:t>
      </w:r>
    </w:p>
    <w:p>
      <w:r>
        <w:br/>
        <w:t>Definition:</w:t>
        <w:br/>
        <w:t>Measures the overall depth and diversity of medication knowledge available for a drug.</w:t>
        <w:br/>
        <w:br/>
        <w:t>Inputs:</w:t>
        <w:br/>
        <w:t>relationship_diversity</w:t>
        <w:br/>
        <w:t>class_type_count</w:t>
        <w:br/>
        <w:t>vocabulary_count</w:t>
        <w:br/>
        <w:t>graph_density</w:t>
        <w:br/>
        <w:br/>
        <w:t>Formula:</w:t>
        <w:br/>
        <w:t>semantic_richness =</w:t>
        <w:br/>
        <w:t>0.35*relationship_diversity_norm +</w:t>
        <w:br/>
        <w:t>0.25*class_type_count_norm +</w:t>
        <w:br/>
        <w:t>0.20*vocabulary_count_norm +</w:t>
        <w:br/>
        <w:t>0.20*graph_density_norm</w:t>
        <w:br/>
        <w:br/>
        <w:t>Scale:</w:t>
        <w:br/>
        <w:t>0–100</w:t>
        <w:br/>
        <w:br/>
        <w:t>Null Handling:</w:t>
        <w:br/>
        <w:t>Missing inputs default to 0 prior to normalization.</w:t>
        <w:br/>
        <w:br/>
        <w:t>Refresh:</w:t>
        <w:br/>
        <w:t>Monthly</w:t>
        <w:br/>
      </w:r>
    </w:p>
    <w:p>
      <w:pPr>
        <w:pStyle w:val="Heading1"/>
      </w:pPr>
      <w:r>
        <w:t>explainability_index</w:t>
      </w:r>
    </w:p>
    <w:p>
      <w:r>
        <w:br/>
        <w:t>Definition:</w:t>
        <w:br/>
        <w:t>Measures how easily a medication can be interpreted and explained to humans.</w:t>
        <w:br/>
        <w:br/>
        <w:t>Inputs:</w:t>
        <w:br/>
        <w:t>ATC availability</w:t>
        <w:br/>
        <w:t>Ingredient mappings</w:t>
        <w:br/>
        <w:t>Relationship availability</w:t>
        <w:br/>
        <w:t>NDC availability</w:t>
        <w:br/>
        <w:br/>
        <w:t>Formula:</w:t>
        <w:br/>
        <w:t>explainability_index =</w:t>
        <w:br/>
        <w:t>0.25*ATC_presence +</w:t>
        <w:br/>
        <w:t>0.25*ingredient_presence +</w:t>
        <w:br/>
        <w:t>0.25*relationship_presence +</w:t>
        <w:br/>
        <w:t>0.25*NDC_presence</w:t>
        <w:br/>
        <w:br/>
        <w:t>Scale:</w:t>
        <w:br/>
        <w:t>0–100</w:t>
        <w:br/>
        <w:br/>
        <w:t>Refresh:</w:t>
        <w:br/>
        <w:t>Monthly</w:t>
        <w:br/>
      </w:r>
    </w:p>
    <w:p>
      <w:pPr>
        <w:pStyle w:val="Heading1"/>
      </w:pPr>
      <w:r>
        <w:t>source_confidence</w:t>
      </w:r>
    </w:p>
    <w:p>
      <w:r>
        <w:br/>
        <w:t>Definition:</w:t>
        <w:br/>
        <w:t>Measures confidence in a medication's underlying data coverage.</w:t>
        <w:br/>
        <w:br/>
        <w:t>Inputs:</w:t>
        <w:br/>
        <w:t>RxNorm_presence</w:t>
        <w:br/>
        <w:t>FDA_presence</w:t>
        <w:br/>
        <w:t>CMS_presence</w:t>
        <w:br/>
        <w:t>ATC_presence</w:t>
        <w:br/>
        <w:br/>
        <w:t>Formula:</w:t>
        <w:br/>
        <w:t>source_confidence =</w:t>
        <w:br/>
        <w:t>0.30*RxNorm_presence +</w:t>
        <w:br/>
        <w:t>0.25*FDA_presence +</w:t>
        <w:br/>
        <w:t>0.25*CMS_presence +</w:t>
        <w:br/>
        <w:t>0.20*ATC_presence</w:t>
        <w:br/>
        <w:br/>
        <w:t>Scale:</w:t>
        <w:br/>
        <w:t>0–100</w:t>
        <w:br/>
        <w:br/>
        <w:t>Interpretation:</w:t>
        <w:br/>
        <w:t>90–100 = High Confidence</w:t>
        <w:br/>
        <w:t>70–89 = Moderate Confidence</w:t>
        <w:br/>
        <w:t>&lt;70 = Limited Confidence</w:t>
        <w:br/>
      </w:r>
    </w:p>
    <w:p>
      <w:pPr>
        <w:pStyle w:val="Heading1"/>
      </w:pPr>
      <w:r>
        <w:t>graph_density</w:t>
      </w:r>
    </w:p>
    <w:p>
      <w:r>
        <w:br/>
        <w:t>Definition:</w:t>
        <w:br/>
        <w:t>Measures the connectedness of a medication within the knowledge graph.</w:t>
        <w:br/>
        <w:br/>
        <w:t>Inputs:</w:t>
        <w:br/>
        <w:t>graph_edge_count</w:t>
        <w:br/>
        <w:t>graph_node_degree</w:t>
        <w:br/>
        <w:br/>
        <w:t>Formula:</w:t>
        <w:br/>
        <w:t>graph_density =</w:t>
        <w:br/>
        <w:t>Actual_Edges / Possible_Edges</w:t>
        <w:br/>
        <w:br/>
        <w:t>Normalization:</w:t>
        <w:br/>
        <w:t>Converted to percentile rank and 0–100 scale.</w:t>
        <w:br/>
      </w:r>
    </w:p>
    <w:p>
      <w:pPr>
        <w:pStyle w:val="Heading1"/>
      </w:pPr>
      <w:r>
        <w:t>vocabulary_count</w:t>
      </w:r>
    </w:p>
    <w:p>
      <w:r>
        <w:br/>
        <w:t>Definition:</w:t>
        <w:br/>
        <w:t>Number of authoritative terminology systems linked to the RxCUI.</w:t>
        <w:br/>
        <w:br/>
        <w:t>Included Sources:</w:t>
        <w:br/>
        <w:t>RxNorm</w:t>
        <w:br/>
        <w:t>RxClass</w:t>
        <w:br/>
        <w:t>ATC</w:t>
        <w:br/>
        <w:t>FDA NDC</w:t>
        <w:br/>
        <w:t>CMS</w:t>
        <w:br/>
        <w:br/>
        <w:t>Formula:</w:t>
        <w:br/>
        <w:t>COUNT(DISTINCT vocabulary_source)</w:t>
        <w:br/>
        <w:br/>
        <w:t>Range:</w:t>
        <w:br/>
        <w:t>0–5+</w:t>
        <w:br/>
      </w:r>
    </w:p>
    <w:p>
      <w:pPr>
        <w:pStyle w:val="Heading1"/>
      </w:pPr>
      <w:r>
        <w:t>identifier_count</w:t>
      </w:r>
    </w:p>
    <w:p>
      <w:r>
        <w:br/>
        <w:t>Definition:</w:t>
        <w:br/>
        <w:t>Total unique identifiers associated with a medication.</w:t>
        <w:br/>
        <w:br/>
        <w:t>Inputs:</w:t>
        <w:br/>
        <w:t>RxCUI</w:t>
        <w:br/>
        <w:t>ATC Codes</w:t>
        <w:br/>
        <w:t>NDC9</w:t>
        <w:br/>
        <w:t>NDC10</w:t>
        <w:br/>
        <w:t>NDC11</w:t>
        <w:br/>
        <w:br/>
        <w:t>Formula:</w:t>
        <w:br/>
        <w:t>COUNT(DISTINCT identifier)</w:t>
        <w:br/>
        <w:br/>
        <w:t>Purpose:</w:t>
        <w:br/>
        <w:t>Measures interoperability and identifier completeness.</w:t>
        <w:br/>
      </w:r>
    </w:p>
    <w:p>
      <w:pPr>
        <w:pStyle w:val="Heading1"/>
      </w:pPr>
      <w:r>
        <w:t>cms_percentile</w:t>
      </w:r>
    </w:p>
    <w:p>
      <w:r>
        <w:br/>
        <w:t>Definition:</w:t>
        <w:br/>
        <w:t>Relative CMS utilization rank.</w:t>
        <w:br/>
        <w:br/>
        <w:t>Input:</w:t>
        <w:br/>
        <w:t>cms_claim_count</w:t>
        <w:br/>
        <w:br/>
        <w:t>Formula:</w:t>
        <w:br/>
        <w:t>Percentile Rank(cms_claim_count)</w:t>
        <w:br/>
        <w:br/>
        <w:t>Scale:</w:t>
        <w:br/>
        <w:t>0–100</w:t>
        <w:br/>
        <w:br/>
        <w:t>Interpretation:</w:t>
        <w:br/>
        <w:t>95 = More utilized than 95% of medications.</w:t>
        <w:br/>
      </w:r>
    </w:p>
    <w:p>
      <w:pPr>
        <w:pStyle w:val="Heading1"/>
      </w:pPr>
      <w:r>
        <w:t>Normalization Standards</w:t>
      </w:r>
    </w:p>
    <w:p>
      <w:r>
        <w:br/>
        <w:t>All continuous variables will maintain:</w:t>
        <w:br/>
        <w:t>1. Raw Value</w:t>
        <w:br/>
        <w:t>2. Z-Score</w:t>
        <w:br/>
        <w:t>3. Percentile Rank</w:t>
        <w:br/>
        <w:t>4. Normalized 0–100 Score</w:t>
        <w:br/>
        <w:br/>
        <w:t>Winsorization:</w:t>
        <w:br/>
        <w:t>1st percentile and 99th percentile caps applied to highly skewed variables.</w:t>
        <w:br/>
      </w:r>
    </w:p>
    <w:p>
      <w:pPr>
        <w:pStyle w:val="Heading1"/>
      </w:pPr>
      <w:r>
        <w:t>Future Validation Note</w:t>
      </w:r>
    </w:p>
    <w:p>
      <w:r>
        <w:br/>
        <w:t>All Version 7B formulas are considered Version 1 expert-derived specifications.</w:t>
        <w:br/>
        <w:t>Following benchmark dataset construction, PCA, EFA, Regression, AHP,</w:t>
        <w:br/>
        <w:t>Bootstrap, and Sensitivity Analyses may lead to recalibration.</w:t>
        <w:br/>
        <w:t>Any modifications must be version-controlled and documented.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