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Version 7 – Benchmark Dataset Design Specification</w:t>
      </w:r>
    </w:p>
    <w:p>
      <w:pPr>
        <w:pStyle w:val="Heading1"/>
      </w:pPr>
      <w:r>
        <w:t>Purpose</w:t>
      </w:r>
    </w:p>
    <w:p>
      <w:r>
        <w:t>The Benchmark Dataset serves as the foundational analytical dataset used to validate construct definitions, test weighting methodologies, evaluate model performance, calculate readiness scores, compare scoring frameworks, and support publication and peer review.</w:t>
      </w:r>
    </w:p>
    <w:p>
      <w:pPr>
        <w:pStyle w:val="Heading1"/>
      </w:pPr>
      <w:r>
        <w:t>Unit of Analysis</w:t>
      </w:r>
    </w:p>
    <w:p>
      <w:r>
        <w:t>One Row = One RxCUI. RxNorm is the backbone of the platform. NDCs, ATC mappings, FDA data, and CMS utilization ultimately map to RxCUIs.</w:t>
      </w:r>
    </w:p>
    <w:p>
      <w:pPr>
        <w:pStyle w:val="Heading1"/>
      </w:pPr>
      <w:r>
        <w:t>Master Dataset Name</w:t>
      </w:r>
    </w:p>
    <w:p>
      <w:r>
        <w:t>drug_master_research_dataset</w:t>
      </w:r>
    </w:p>
    <w:p>
      <w:pPr>
        <w:pStyle w:val="Heading1"/>
      </w:pPr>
      <w:r>
        <w:t>Primary Key</w:t>
      </w:r>
    </w:p>
    <w:p>
      <w:r>
        <w:t>rxcui (Integer)</w:t>
      </w:r>
    </w:p>
    <w:p>
      <w:pPr>
        <w:pStyle w:val="Heading1"/>
      </w:pPr>
      <w:r>
        <w:t>Domain 1 – Identity Layer</w:t>
      </w:r>
    </w:p>
    <w:p>
      <w:r>
        <w:t>Fields: rxcui, rxnorm_name, tty, ingredient_name, brand_name, is_brand, is_generic.</w:t>
      </w:r>
    </w:p>
    <w:p>
      <w:pPr>
        <w:pStyle w:val="Heading1"/>
      </w:pPr>
      <w:r>
        <w:t>Domain 2 – Interoperability Layer</w:t>
      </w:r>
    </w:p>
    <w:p>
      <w:r>
        <w:t>Fields: relationship_count, relationship_diversity, ingredient_relationships, tradename_relationships, clinical_drug_relationships, vocabulary_count, identifier_count.</w:t>
      </w:r>
    </w:p>
    <w:p>
      <w:pPr>
        <w:pStyle w:val="Heading1"/>
      </w:pPr>
      <w:r>
        <w:t>Domain 3 – Classification Layer</w:t>
      </w:r>
    </w:p>
    <w:p>
      <w:r>
        <w:t>Fields: atc_count, atc_max_depth, moa_count, pe_count, va_count, class_type_count.</w:t>
      </w:r>
    </w:p>
    <w:p>
      <w:pPr>
        <w:pStyle w:val="Heading1"/>
      </w:pPr>
      <w:r>
        <w:t>Domain 4 – NDC / Claims Infrastructure Layer</w:t>
      </w:r>
    </w:p>
    <w:p>
      <w:r>
        <w:t>Fields: ndc_count, ndc11_count, ndc10_count, ndc9_count, package_count, active_fda_listing_count, inactive_fda_listing_count.</w:t>
      </w:r>
    </w:p>
    <w:p>
      <w:pPr>
        <w:pStyle w:val="Heading1"/>
      </w:pPr>
      <w:r>
        <w:t>Domain 5 – CMS Utilization Layer</w:t>
      </w:r>
    </w:p>
    <w:p>
      <w:r>
        <w:t>Fields: cms_claim_count, cms_prescription_count, cms_total_cost, cms_rank, cms_percentile.</w:t>
      </w:r>
    </w:p>
    <w:p>
      <w:pPr>
        <w:pStyle w:val="Heading1"/>
      </w:pPr>
      <w:r>
        <w:t>Domain 6 – AI Intelligence Layer</w:t>
      </w:r>
    </w:p>
    <w:p>
      <w:r>
        <w:t>Fields: graph_node_degree, graph_edge_count, graph_density, semantic_richness, explainability_index, source_confidence.</w:t>
      </w:r>
    </w:p>
    <w:p>
      <w:pPr>
        <w:pStyle w:val="Heading1"/>
      </w:pPr>
      <w:r>
        <w:t>Domain 7 – Validation Layer</w:t>
      </w:r>
    </w:p>
    <w:p>
      <w:r>
        <w:t>Fields: interoperability_gold_label, claims_gold_label, ai_gold_label, expert_score, consensus_score.</w:t>
      </w:r>
    </w:p>
    <w:p>
      <w:pPr>
        <w:pStyle w:val="Heading1"/>
      </w:pPr>
      <w:r>
        <w:t>Domain 8 – Governance Layer</w:t>
      </w:r>
    </w:p>
    <w:p>
      <w:r>
        <w:t>Fields: rxnorm_release, cms_year, ndc_snapshot_date, refresh_date, methodology_version.</w:t>
      </w:r>
    </w:p>
    <w:p>
      <w:pPr>
        <w:pStyle w:val="Heading1"/>
      </w:pPr>
      <w:r>
        <w:t>Join Keys</w:t>
      </w:r>
    </w:p>
    <w:p>
      <w:r>
        <w:t>RxNorm Backbone = RxCUI. FDA = RxCUI→NDC Crosswalk. RxClass = RxCUI→ClassID. CMS = Drug Name→Ingredient→RxCUI mapping.</w:t>
      </w:r>
    </w:p>
    <w:p>
      <w:pPr>
        <w:pStyle w:val="Heading1"/>
      </w:pPr>
      <w:r>
        <w:t>Transformations</w:t>
      </w:r>
    </w:p>
    <w:p>
      <w:r>
        <w:t>Store raw, percentile, z-score, and normalized 0–100 values. Apply winsorization at the 1st and 99th percentiles for highly skewed variables.</w:t>
      </w:r>
    </w:p>
    <w:p>
      <w:pPr>
        <w:pStyle w:val="Heading1"/>
      </w:pPr>
      <w:r>
        <w:t>Refresh Schedule</w:t>
      </w:r>
    </w:p>
    <w:p>
      <w:r>
        <w:t>RxNorm Monthly, RxClass Monthly, FDA Weekly, CMS Annually, Derived Metrics Monthly.</w:t>
      </w:r>
    </w:p>
    <w:p>
      <w:pPr>
        <w:pStyle w:val="Heading1"/>
      </w:pPr>
      <w:r>
        <w:t>Deliverables</w:t>
      </w:r>
    </w:p>
    <w:p>
      <w:r>
        <w:t>Interoperability Readiness, Claims Readiness, AI Readiness, Confidence Score, Readiness Tier, Drug Rankings.</w:t>
      </w:r>
    </w:p>
    <w:p>
      <w:pPr>
        <w:pStyle w:val="Heading1"/>
      </w:pPr>
      <w:r>
        <w:t>Gold Label Recommendation</w:t>
      </w:r>
    </w:p>
    <w:p>
      <w:r>
        <w:t>Use a 0–100 Expert Score rather than categorical labels. This provides maximum flexibility for regression, calibration, agreement testing, and future validation work.</w:t>
      </w:r>
    </w:p>
    <w:p>
      <w:pPr>
        <w:pStyle w:val="Heading1"/>
      </w:pPr>
      <w:r>
        <w:t>Roadmap Position</w:t>
      </w:r>
    </w:p>
    <w:p>
      <w:r>
        <w:t>Step 1: Construct Definition &amp; Measurement Design (Complete). Step 2: Benchmark Dataset Design &amp; Construction (Current Phase). Step 3: Execute Six Weighting Methodologies. Step 4: Compare Models. Step 5: Select Final Scoring Framework. Step 6: Production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