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RxNorm Intelligence Explorer</w:t>
        <w:br/>
        <w:t>Version 6 Master Research Program &amp; Source of Truth</w:t>
      </w:r>
    </w:p>
    <w:p>
      <w:pPr>
        <w:pStyle w:val="Heading1"/>
      </w:pPr>
      <w:r>
        <w:t>Executive Summary</w:t>
      </w:r>
    </w:p>
    <w:p>
      <w:r>
        <w:t>This master manual serves as the authoritative source of truth for the Medication Readiness Scoring Framework used within the RxNorm Intelligence Explorer and AlexKnowsAI platform.</w:t>
      </w:r>
    </w:p>
    <w:p>
      <w:pPr>
        <w:pStyle w:val="Heading1"/>
      </w:pPr>
      <w:r>
        <w:t>Part I – Conceptual Framework</w:t>
      </w:r>
    </w:p>
    <w:p>
      <w:r>
        <w:t>Defines the readiness ecosystem, stakeholders, objectives, and conceptual relationships between interoperability, claims, and AI readiness.</w:t>
      </w:r>
    </w:p>
    <w:p>
      <w:pPr>
        <w:pStyle w:val="Heading1"/>
      </w:pPr>
      <w:r>
        <w:t>Measurement Theory</w:t>
      </w:r>
    </w:p>
    <w:p>
      <w:r>
        <w:t>Readiness is treated as a latent construct measured through observable indicators. Composite indices are used to estimate readiness domains.</w:t>
      </w:r>
    </w:p>
    <w:p>
      <w:pPr>
        <w:pStyle w:val="Heading1"/>
      </w:pPr>
      <w:r>
        <w:t>Construct Definitions</w:t>
      </w:r>
    </w:p>
    <w:p>
      <w:r>
        <w:t>Formal definitions for Interoperability Readiness, Claims Readiness, and AI Readiness.</w:t>
      </w:r>
    </w:p>
    <w:p>
      <w:pPr>
        <w:pStyle w:val="Heading1"/>
      </w:pPr>
      <w:r>
        <w:t>Indicator Catalog</w:t>
      </w:r>
    </w:p>
    <w:p>
      <w:r>
        <w:t>Comprehensive catalog of all indicators including RxNorm identity, relationships, ATC depth, NDC coverage, FDA status, CMS utilization, semantic richness, and graph connectivity.</w:t>
      </w:r>
    </w:p>
    <w:p>
      <w:pPr>
        <w:pStyle w:val="Heading1"/>
      </w:pPr>
      <w:r>
        <w:t>Data Dictionary</w:t>
      </w:r>
    </w:p>
    <w:p>
      <w:r>
        <w:t>Detailed definitions, source systems, allowable values, and transformations for all variables.</w:t>
      </w:r>
    </w:p>
    <w:p>
      <w:pPr>
        <w:pStyle w:val="Heading1"/>
      </w:pPr>
      <w:r>
        <w:t>Gold Standard Outcomes</w:t>
      </w:r>
    </w:p>
    <w:p>
      <w:r>
        <w:t>Definitions of high-readiness and low-readiness medications for all three readiness domains.</w:t>
      </w:r>
    </w:p>
    <w:p>
      <w:pPr>
        <w:pStyle w:val="Heading1"/>
      </w:pPr>
      <w:r>
        <w:t>Conceptual Diagram 1</w:t>
      </w:r>
    </w:p>
    <w:p>
      <w:r>
        <w:t>Observable Indicators → Latent Construct → Composite Score → Confidence Score → Decision Support</w:t>
      </w:r>
    </w:p>
    <w:p>
      <w:pPr>
        <w:pStyle w:val="Heading1"/>
      </w:pPr>
      <w:r>
        <w:t>Conceptual Diagram 2</w:t>
      </w:r>
    </w:p>
    <w:p>
      <w:r>
        <w:t>Medication → RxNorm → RxClass → NDC → CMS → Readiness Engine → Dashboard</w:t>
      </w:r>
    </w:p>
    <w:p>
      <w:pPr>
        <w:pStyle w:val="Heading1"/>
      </w:pPr>
      <w:r>
        <w:t>Decision Tree 1</w:t>
      </w:r>
    </w:p>
    <w:p>
      <w:r>
        <w:t>Indicator Availability Assessment and Missing Data Workflow.</w:t>
      </w:r>
    </w:p>
    <w:p>
      <w:pPr>
        <w:pStyle w:val="Heading1"/>
      </w:pPr>
      <w:r>
        <w:t>Decision Tree 2</w:t>
      </w:r>
    </w:p>
    <w:p>
      <w:r>
        <w:t>Model Selection Framework for Weighting Methodology Comparison.</w:t>
      </w:r>
    </w:p>
    <w:p>
      <w:pPr>
        <w:pStyle w:val="Heading1"/>
      </w:pPr>
      <w:r>
        <w:t>Validation Framework</w:t>
      </w:r>
    </w:p>
    <w:p>
      <w:r>
        <w:t>Face validity, content validity, construct validity, predictive validity, criterion validity, and reliability validation.</w:t>
      </w:r>
    </w:p>
    <w:p>
      <w:pPr>
        <w:pStyle w:val="Heading1"/>
      </w:pPr>
      <w:r>
        <w:t>Benchmark Dataset Schema</w:t>
      </w:r>
    </w:p>
    <w:p>
      <w:r>
        <w:t>Drug master table, indicator tables, utilization tables, graph metrics, and outcome labels.</w:t>
      </w:r>
    </w:p>
    <w:p>
      <w:pPr>
        <w:pStyle w:val="Heading1"/>
      </w:pPr>
      <w:r>
        <w:t>Variable Definitions</w:t>
      </w:r>
    </w:p>
    <w:p>
      <w:r>
        <w:t>Predictor, outcome, derived, engineered, and governance variables.</w:t>
      </w:r>
    </w:p>
    <w:p>
      <w:pPr>
        <w:pStyle w:val="Heading1"/>
      </w:pPr>
      <w:r>
        <w:t>Missing Data Methodology</w:t>
      </w:r>
    </w:p>
    <w:p>
      <w:r>
        <w:t>Classification of missingness, imputation rules, indicator flags, and reporting standards.</w:t>
      </w:r>
    </w:p>
    <w:p>
      <w:pPr>
        <w:pStyle w:val="Heading1"/>
      </w:pPr>
      <w:r>
        <w:t>Feature Engineering Framework</w:t>
      </w:r>
    </w:p>
    <w:p>
      <w:r>
        <w:t>Normalization, scaling, winsorization, percentile ranking, z-scores, and composite feature construction.</w:t>
      </w:r>
    </w:p>
    <w:p>
      <w:pPr>
        <w:pStyle w:val="Heading1"/>
      </w:pPr>
      <w:r>
        <w:t>Statistical Formula Library</w:t>
      </w:r>
    </w:p>
    <w:p>
      <w:r>
        <w:t>Composite score formulas, normalization equations, z-score transformations, confidence interval calculations, and rank calculations.</w:t>
      </w:r>
    </w:p>
    <w:p>
      <w:pPr>
        <w:pStyle w:val="Heading1"/>
      </w:pPr>
      <w:r>
        <w:t>PCA Methodology</w:t>
      </w:r>
    </w:p>
    <w:p>
      <w:r>
        <w:t>Component extraction, eigenvalue criteria, scree plots, variance thresholds, and interpretation guidance.</w:t>
      </w:r>
    </w:p>
    <w:p>
      <w:pPr>
        <w:pStyle w:val="Heading1"/>
      </w:pPr>
      <w:r>
        <w:t>EFA Methodology</w:t>
      </w:r>
    </w:p>
    <w:p>
      <w:r>
        <w:t>Factor extraction, rotation methods, loading thresholds, and construct interpretation.</w:t>
      </w:r>
    </w:p>
    <w:p>
      <w:pPr>
        <w:pStyle w:val="Heading1"/>
      </w:pPr>
      <w:r>
        <w:t>Regression Methodology</w:t>
      </w:r>
    </w:p>
    <w:p>
      <w:r>
        <w:t>Outcome selection, predictor selection, coefficient interpretation, diagnostics, and validation.</w:t>
      </w:r>
    </w:p>
    <w:p>
      <w:pPr>
        <w:pStyle w:val="Heading1"/>
      </w:pPr>
      <w:r>
        <w:t>AHP Methodology</w:t>
      </w:r>
    </w:p>
    <w:p>
      <w:r>
        <w:t>Pairwise comparison framework, SME surveys, consistency ratios, and consensus weighting.</w:t>
      </w:r>
    </w:p>
    <w:p>
      <w:pPr>
        <w:pStyle w:val="Heading1"/>
      </w:pPr>
      <w:r>
        <w:t>Bootstrap Methodology</w:t>
      </w:r>
    </w:p>
    <w:p>
      <w:r>
        <w:t>10,000-resample framework for score stability and uncertainty estimation.</w:t>
      </w:r>
    </w:p>
    <w:p>
      <w:pPr>
        <w:pStyle w:val="Heading1"/>
      </w:pPr>
      <w:r>
        <w:t>Sensitivity Analysis Methodology</w:t>
      </w:r>
    </w:p>
    <w:p>
      <w:r>
        <w:t>Weight perturbation testing, rank stability analysis, and robustness assessment.</w:t>
      </w:r>
    </w:p>
    <w:p>
      <w:pPr>
        <w:pStyle w:val="Heading1"/>
      </w:pPr>
      <w:r>
        <w:t>Confidence Interval Framework</w:t>
      </w:r>
    </w:p>
    <w:p>
      <w:r>
        <w:t>Percentile intervals, bootstrap intervals, and uncertainty communication.</w:t>
      </w:r>
    </w:p>
    <w:p>
      <w:pPr>
        <w:pStyle w:val="Heading1"/>
      </w:pPr>
      <w:r>
        <w:t>Model Comparison Templates</w:t>
      </w:r>
    </w:p>
    <w:p>
      <w:r>
        <w:t>Scorecards comparing Expert, Correlation, Regression, PCA, EFA, and AHP models.</w:t>
      </w:r>
    </w:p>
    <w:p>
      <w:pPr>
        <w:pStyle w:val="Heading1"/>
      </w:pPr>
      <w:r>
        <w:t>Model Selection Criteria</w:t>
      </w:r>
    </w:p>
    <w:p>
      <w:r>
        <w:t>Interpretability, validity, stability, predictive performance, reproducibility, and executive usability.</w:t>
      </w:r>
    </w:p>
    <w:p>
      <w:pPr>
        <w:pStyle w:val="Heading1"/>
      </w:pPr>
      <w:r>
        <w:t>Readiness Score Equations</w:t>
      </w:r>
    </w:p>
    <w:p>
      <w:r>
        <w:t>Interoperability, Claims, and AI Readiness composite score specifications.</w:t>
      </w:r>
    </w:p>
    <w:p>
      <w:pPr>
        <w:pStyle w:val="Heading1"/>
      </w:pPr>
      <w:r>
        <w:t>Drug Ranking Framework</w:t>
      </w:r>
    </w:p>
    <w:p>
      <w:r>
        <w:t>Percentile ranking, readiness tiers, confidence-adjusted ranking, and benchmarking.</w:t>
      </w:r>
    </w:p>
    <w:p>
      <w:pPr>
        <w:pStyle w:val="Heading1"/>
      </w:pPr>
      <w:r>
        <w:t>Score Calibration Procedures</w:t>
      </w:r>
    </w:p>
    <w:p>
      <w:r>
        <w:t>Calibration against benchmark medications and gold standard outcomes.</w:t>
      </w:r>
    </w:p>
    <w:p>
      <w:pPr>
        <w:pStyle w:val="Heading1"/>
      </w:pPr>
      <w:r>
        <w:t>Implementation Architecture</w:t>
      </w:r>
    </w:p>
    <w:p>
      <w:r>
        <w:t>Data ingestion, processing, feature engineering, scoring engine, API services, and dashboard integration.</w:t>
      </w:r>
    </w:p>
    <w:p>
      <w:pPr>
        <w:pStyle w:val="Heading1"/>
      </w:pPr>
      <w:r>
        <w:t>Code Architecture</w:t>
      </w:r>
    </w:p>
    <w:p>
      <w:r>
        <w:t>Data Layer, Analytics Layer, Validation Layer, Scoring Layer, API Layer, Frontend Layer.</w:t>
      </w:r>
    </w:p>
    <w:p>
      <w:pPr>
        <w:pStyle w:val="Heading1"/>
      </w:pPr>
      <w:r>
        <w:t>Execution Workflow</w:t>
      </w:r>
    </w:p>
    <w:p>
      <w:r>
        <w:t>Ingest → Normalize → Validate → Engineer → Score → Compare → Publish.</w:t>
      </w:r>
    </w:p>
    <w:p>
      <w:pPr>
        <w:pStyle w:val="Heading1"/>
      </w:pPr>
      <w:r>
        <w:t>Dashboard Specifications</w:t>
      </w:r>
    </w:p>
    <w:p>
      <w:r>
        <w:t>Medication Intelligence Summary, readiness cards, methodology panels, rankings, and confidence displays.</w:t>
      </w:r>
    </w:p>
    <w:p>
      <w:pPr>
        <w:pStyle w:val="Heading1"/>
      </w:pPr>
      <w:r>
        <w:t>API Specifications</w:t>
      </w:r>
    </w:p>
    <w:p>
      <w:r>
        <w:t>Endpoints for readiness scores, rankings, confidence metrics, and metadata.</w:t>
      </w:r>
    </w:p>
    <w:p>
      <w:pPr>
        <w:pStyle w:val="Heading1"/>
      </w:pPr>
      <w:r>
        <w:t>Production Deployment Methodology</w:t>
      </w:r>
    </w:p>
    <w:p>
      <w:r>
        <w:t>Monthly refresh cycle, version-controlled releases, monitoring, and rollback procedures.</w:t>
      </w:r>
    </w:p>
    <w:p>
      <w:pPr>
        <w:pStyle w:val="Heading1"/>
      </w:pPr>
      <w:r>
        <w:t>Governance Framework</w:t>
      </w:r>
    </w:p>
    <w:p>
      <w:r>
        <w:t>Review board structure, approval process, documentation standards, and audit requirements.</w:t>
      </w:r>
    </w:p>
    <w:p>
      <w:pPr>
        <w:pStyle w:val="Heading1"/>
      </w:pPr>
      <w:r>
        <w:t>Versioning Strategy</w:t>
      </w:r>
    </w:p>
    <w:p>
      <w:r>
        <w:t>Methodology version control, score engine versioning, and dataset versioning.</w:t>
      </w:r>
    </w:p>
    <w:p>
      <w:pPr>
        <w:pStyle w:val="Heading1"/>
      </w:pPr>
      <w:r>
        <w:t>Risk Management</w:t>
      </w:r>
    </w:p>
    <w:p>
      <w:r>
        <w:t>Data quality, source outages, model drift, governance exceptions, and mitigation plans.</w:t>
      </w:r>
    </w:p>
    <w:p>
      <w:pPr>
        <w:pStyle w:val="Heading1"/>
      </w:pPr>
      <w:r>
        <w:t>Research Publication Strategy</w:t>
      </w:r>
    </w:p>
    <w:p>
      <w:r>
        <w:t>White papers, methodology disclosures, technical appendices, and peer review roadmap.</w:t>
      </w:r>
    </w:p>
    <w:p>
      <w:pPr>
        <w:pStyle w:val="Heading1"/>
      </w:pPr>
      <w:r>
        <w:t>Future Data Source Roadmap</w:t>
      </w:r>
    </w:p>
    <w:p>
      <w:r>
        <w:t>RxNorm, RxClass, FDA, CMS, DailyMed, OpenFDA, Medicaid, VA, commercial claims, specialty datasets.</w:t>
      </w:r>
    </w:p>
    <w:p>
      <w:pPr>
        <w:pStyle w:val="Heading1"/>
      </w:pPr>
      <w:r>
        <w:t>Statistical Assumptions</w:t>
      </w:r>
    </w:p>
    <w:p>
      <w:r>
        <w:t>Assumptions underlying measurement, modeling, and validation.</w:t>
      </w:r>
    </w:p>
    <w:p>
      <w:pPr>
        <w:pStyle w:val="Heading1"/>
      </w:pPr>
      <w:r>
        <w:t>Limitations</w:t>
      </w:r>
    </w:p>
    <w:p>
      <w:r>
        <w:t>Known limitations, biases, and scope boundaries.</w:t>
      </w:r>
    </w:p>
    <w:p>
      <w:pPr>
        <w:pStyle w:val="Heading1"/>
      </w:pPr>
      <w:r>
        <w:t>Appendix A</w:t>
      </w:r>
    </w:p>
    <w:p>
      <w:r>
        <w:t>Indicator Inventory.</w:t>
      </w:r>
    </w:p>
    <w:p>
      <w:pPr>
        <w:pStyle w:val="Heading1"/>
      </w:pPr>
      <w:r>
        <w:t>Appendix B</w:t>
      </w:r>
    </w:p>
    <w:p>
      <w:r>
        <w:t>Construct Validity Matrices.</w:t>
      </w:r>
    </w:p>
    <w:p>
      <w:pPr>
        <w:pStyle w:val="Heading1"/>
      </w:pPr>
      <w:r>
        <w:t>Appendix C</w:t>
      </w:r>
    </w:p>
    <w:p>
      <w:r>
        <w:t>Dataset Schemas.</w:t>
      </w:r>
    </w:p>
    <w:p>
      <w:pPr>
        <w:pStyle w:val="Heading1"/>
      </w:pPr>
      <w:r>
        <w:t>Appendix D</w:t>
      </w:r>
    </w:p>
    <w:p>
      <w:r>
        <w:t>Model Comparison Worksheets.</w:t>
      </w:r>
    </w:p>
    <w:p>
      <w:pPr>
        <w:pStyle w:val="Heading1"/>
      </w:pPr>
      <w:r>
        <w:t>Appendix E</w:t>
      </w:r>
    </w:p>
    <w:p>
      <w:r>
        <w:t>Governance Templates.</w:t>
      </w:r>
    </w:p>
    <w:p>
      <w:pPr>
        <w:pStyle w:val="Heading1"/>
      </w:pPr>
      <w:r>
        <w:t>Appendix F</w:t>
      </w:r>
    </w:p>
    <w:p>
      <w:r>
        <w:t>Research Execution Roadmap.</w:t>
      </w:r>
    </w:p>
    <w:p>
      <w:pPr>
        <w:pStyle w:val="Heading1"/>
      </w:pPr>
      <w:r>
        <w:t>Master Roadmap</w:t>
      </w:r>
    </w:p>
    <w:p>
      <w:r>
        <w:t>Dataset Build → Validation → Model Selection → Production Deployment → Continuous Improvement.</w:t>
      </w:r>
    </w:p>
    <w:p>
      <w:pPr>
        <w:pStyle w:val="Heading1"/>
      </w:pPr>
      <w:r>
        <w:t>Source of Truth Declaration</w:t>
      </w:r>
    </w:p>
    <w:p>
      <w:r>
        <w:t>This document serves as the authoritative reference for the Medication Readiness Scoring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