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RxNorm Intelligence Explorer</w:t>
        <w:br/>
        <w:t>Executive Methodology Manual</w:t>
        <w:br/>
        <w:t>Version 2.0</w:t>
      </w:r>
    </w:p>
    <w:p>
      <w:pPr>
        <w:pStyle w:val="Heading1"/>
      </w:pPr>
      <w:r>
        <w:t>Executive Summary</w:t>
      </w:r>
    </w:p>
    <w:p>
      <w:r>
        <w:t>This manual establishes the conceptual, statistical, governance, and validation framework for the Medication Readiness Scoring System powering the RxNorm Intelligence Explorer.</w:t>
      </w:r>
    </w:p>
    <w:p>
      <w:pPr>
        <w:pStyle w:val="Heading1"/>
      </w:pPr>
      <w:r>
        <w:t>1. Formal Construct Definitions</w:t>
      </w:r>
    </w:p>
    <w:p>
      <w:r>
        <w:br/>
        <w:t>Interoperability Readiness: Degree to which a medication can be reliably identified, normalized, exchanged, and interpreted across healthcare systems.</w:t>
        <w:br/>
        <w:br/>
        <w:t>Claims Readiness: Degree to which a medication supports pharmacy claims processing, utilization analytics, forecasting, stop-loss analysis, and payer workflows.</w:t>
        <w:br/>
        <w:br/>
        <w:t>AI Readiness: Degree to which a medication contains sufficient structured knowledge, semantic richness, identifier completeness, and real-world utilization signals to support AI and machine learning applications.</w:t>
        <w:br/>
      </w:r>
    </w:p>
    <w:p>
      <w:pPr>
        <w:pStyle w:val="Heading1"/>
      </w:pPr>
      <w:r>
        <w:t>2. Conceptual Measurement Model</w:t>
      </w:r>
    </w:p>
    <w:p>
      <w:r>
        <w:br/>
        <w:t>The framework treats each readiness domain as a latent construct measured through observable indicators. Readiness is not directly observed but inferred from terminology, classification, utilization, and identifier quality signals.</w:t>
        <w:br/>
      </w:r>
    </w:p>
    <w:p>
      <w:pPr>
        <w:pStyle w:val="Heading1"/>
      </w:pPr>
      <w:r>
        <w:t>3. Full Indicator Catalog</w:t>
      </w:r>
    </w:p>
    <w:p>
      <w:r>
        <w:br/>
        <w:t>Interoperability Indicators:</w:t>
        <w:br/>
        <w:t>- RxNorm Identity Completeness</w:t>
        <w:br/>
        <w:t>- RxNorm Relationship Density</w:t>
        <w:br/>
        <w:t>- Terminology Connectivity</w:t>
        <w:br/>
        <w:t>- ATC Classification Depth</w:t>
        <w:br/>
        <w:t>- Identifier Completeness</w:t>
        <w:br/>
        <w:br/>
        <w:t>Claims Indicators:</w:t>
        <w:br/>
        <w:t>- NDC Coverage</w:t>
        <w:br/>
        <w:t>- Package-Level Completeness</w:t>
        <w:br/>
        <w:t>- FDA Market Presence</w:t>
        <w:br/>
        <w:t>- CMS Utilization Signal</w:t>
        <w:br/>
        <w:t>- CMS Rank Percentile</w:t>
        <w:br/>
        <w:br/>
        <w:t>AI Indicators:</w:t>
        <w:br/>
        <w:t>- Semantic Richness</w:t>
        <w:br/>
        <w:t>- Knowledge Graph Connectivity</w:t>
        <w:br/>
        <w:t>- Concept Explainability</w:t>
        <w:br/>
        <w:t>- Real-World Relevance</w:t>
        <w:br/>
        <w:t>- Data Source Confidence</w:t>
        <w:br/>
      </w:r>
    </w:p>
    <w:p>
      <w:pPr>
        <w:pStyle w:val="Heading1"/>
      </w:pPr>
      <w:r>
        <w:t>4. Data Dictionary</w:t>
      </w:r>
    </w:p>
    <w:p>
      <w:r>
        <w:br/>
        <w:t>RxCUI: RxNorm concept identifier.</w:t>
        <w:br/>
        <w:t>TTY: RxNorm term type.</w:t>
        <w:br/>
        <w:t>NDC Count: Count of package-level NDC identifiers.</w:t>
        <w:br/>
        <w:t>ATC Depth: Number of populated ATC hierarchy levels.</w:t>
        <w:br/>
        <w:t>Relationship Density: Count of linked semantic relationships.</w:t>
        <w:br/>
        <w:t>CMS Utilization: Prescription and utilization activity from Medicare Part D.</w:t>
        <w:br/>
        <w:t>FDA Status: Active/inactive market presence.</w:t>
        <w:br/>
      </w:r>
    </w:p>
    <w:p>
      <w:pPr>
        <w:pStyle w:val="Heading1"/>
      </w:pPr>
      <w:r>
        <w:t>5. Gold Standard Outcome Variables</w:t>
      </w:r>
    </w:p>
    <w:p>
      <w:r>
        <w:br/>
        <w:t>HIGH INTEROPERABILITY READINESS:</w:t>
        <w:br/>
        <w:t>Complete identifiers, rich relationships, strong cross-system connectivity.</w:t>
        <w:br/>
        <w:br/>
        <w:t>LOW INTEROPERABILITY READINESS:</w:t>
        <w:br/>
        <w:t>Sparse mappings, weak terminology connectivity.</w:t>
        <w:br/>
        <w:br/>
        <w:t>HIGH CLAIMS READINESS:</w:t>
        <w:br/>
        <w:t>Strong NDC coverage, active FDA status, high CMS utilization.</w:t>
        <w:br/>
        <w:br/>
        <w:t>LOW CLAIMS READINESS:</w:t>
        <w:br/>
        <w:t>Limited NDC presence, low utilization, inactive market footprint.</w:t>
        <w:br/>
        <w:br/>
        <w:t>HIGH AI READINESS:</w:t>
        <w:br/>
        <w:t>Rich semantic structure, explainability, graph connectivity, utilization evidence.</w:t>
        <w:br/>
        <w:br/>
        <w:t>LOW AI READINESS:</w:t>
        <w:br/>
        <w:t>Sparse semantics, poor identifiers, limited external linkage.</w:t>
        <w:br/>
      </w:r>
    </w:p>
    <w:p>
      <w:pPr>
        <w:pStyle w:val="Heading1"/>
      </w:pPr>
      <w:r>
        <w:t>6. Conceptual Diagrams</w:t>
      </w:r>
    </w:p>
    <w:p>
      <w:r>
        <w:br/>
        <w:t>Medication → RxNorm Identity → ATC Classification → NDC Mapping → Claims Analytics → AI Intelligence</w:t>
        <w:br/>
        <w:br/>
        <w:t>Readiness Framework:</w:t>
        <w:br/>
        <w:t>Observable Indicators → Latent Construct → Composite Score → Confidence Assessment</w:t>
        <w:br/>
      </w:r>
    </w:p>
    <w:p>
      <w:pPr>
        <w:pStyle w:val="Heading1"/>
      </w:pPr>
      <w:r>
        <w:t>7. Validation Framework</w:t>
      </w:r>
    </w:p>
    <w:p>
      <w:r>
        <w:br/>
        <w:t>Phase 1: Face Validity</w:t>
        <w:br/>
        <w:t>Phase 2: Content Validity</w:t>
        <w:br/>
        <w:t>Phase 3: Structural Validation</w:t>
        <w:br/>
        <w:t>Phase 4: Predictive Validation</w:t>
        <w:br/>
        <w:t>Phase 5: Reliability Validation</w:t>
        <w:br/>
        <w:t>Phase 6: Ongoing Monitoring</w:t>
        <w:br/>
      </w:r>
    </w:p>
    <w:p>
      <w:pPr>
        <w:pStyle w:val="Heading1"/>
      </w:pPr>
      <w:r>
        <w:t>8. PCA Methodology Plan</w:t>
      </w:r>
    </w:p>
    <w:p>
      <w:r>
        <w:br/>
        <w:t>Use PCA to identify latent dimensions and determine whether indicators cluster naturally into interoperability, claims, and AI domains.</w:t>
        <w:br/>
        <w:t>Evaluate explained variance, scree plots, and component stability.</w:t>
        <w:br/>
      </w:r>
    </w:p>
    <w:p>
      <w:pPr>
        <w:pStyle w:val="Heading1"/>
      </w:pPr>
      <w:r>
        <w:t>9. Exploratory Factor Analysis Plan</w:t>
      </w:r>
    </w:p>
    <w:p>
      <w:r>
        <w:br/>
        <w:t>Perform EFA to identify latent constructs.</w:t>
        <w:br/>
        <w:t>Assess factor loadings, communalities, cross-loadings, and interpretability.</w:t>
        <w:br/>
        <w:t>Compare factor structure against conceptual framework.</w:t>
        <w:br/>
      </w:r>
    </w:p>
    <w:p>
      <w:pPr>
        <w:pStyle w:val="Heading1"/>
      </w:pPr>
      <w:r>
        <w:t>10. Regression Methodology Plan</w:t>
      </w:r>
    </w:p>
    <w:p>
      <w:r>
        <w:br/>
        <w:t>Outcome Variables:</w:t>
        <w:br/>
        <w:t>- CMS Utilization Percentile</w:t>
        <w:br/>
        <w:t>- CMS Claim Volume</w:t>
        <w:br/>
        <w:t>- Active FDA Market Presence</w:t>
        <w:br/>
        <w:br/>
        <w:t>Predictors:</w:t>
        <w:br/>
        <w:t>- NDC Count</w:t>
        <w:br/>
        <w:t>- Relationship Density</w:t>
        <w:br/>
        <w:t>- ATC Depth</w:t>
        <w:br/>
        <w:t>- Identifier Completeness</w:t>
        <w:br/>
        <w:t>- Semantic Richness</w:t>
        <w:br/>
        <w:br/>
        <w:t>Standardized coefficients may inform empirical weighting.</w:t>
        <w:br/>
      </w:r>
    </w:p>
    <w:p>
      <w:pPr>
        <w:pStyle w:val="Heading1"/>
      </w:pPr>
      <w:r>
        <w:t>11. Reliability Testing Plan</w:t>
      </w:r>
    </w:p>
    <w:p>
      <w:r>
        <w:br/>
        <w:t>Sensitivity Analysis</w:t>
        <w:br/>
        <w:t>Bootstrap Resampling</w:t>
        <w:br/>
        <w:t>Weight Stability Testing</w:t>
        <w:br/>
        <w:t>Cross Validation</w:t>
        <w:br/>
        <w:t>Temporal Stability Analysis</w:t>
        <w:br/>
      </w:r>
    </w:p>
    <w:p>
      <w:pPr>
        <w:pStyle w:val="Heading1"/>
      </w:pPr>
      <w:r>
        <w:t>12. Benchmark Dataset Design</w:t>
      </w:r>
    </w:p>
    <w:p>
      <w:r>
        <w:br/>
        <w:t>Core Variables:</w:t>
        <w:br/>
        <w:t>Drug Name</w:t>
        <w:br/>
        <w:t>RxCUI</w:t>
        <w:br/>
        <w:t>TTY</w:t>
        <w:br/>
        <w:t>Relationship Count</w:t>
        <w:br/>
        <w:t>ATC Depth</w:t>
        <w:br/>
        <w:t>NDC Count</w:t>
        <w:br/>
        <w:t>FDA Status</w:t>
        <w:br/>
        <w:t>CMS Claim Count</w:t>
        <w:br/>
        <w:t>CMS Percentile</w:t>
        <w:br/>
        <w:t>Semantic Richness Metrics</w:t>
        <w:br/>
        <w:br/>
        <w:t>Target Size:</w:t>
        <w:br/>
        <w:t>10,000+ medications preferred.</w:t>
        <w:br/>
      </w:r>
    </w:p>
    <w:p>
      <w:pPr>
        <w:pStyle w:val="Heading1"/>
      </w:pPr>
      <w:r>
        <w:t>13. Governance and Versioning Strategy</w:t>
      </w:r>
    </w:p>
    <w:p>
      <w:r>
        <w:br/>
        <w:t>Version 1: Expert Weighted</w:t>
        <w:br/>
        <w:t>Version 2: Empirically Calibrated</w:t>
        <w:br/>
        <w:t>Version 3: Fully Validated Composite Index</w:t>
        <w:br/>
        <w:br/>
        <w:t>All methodology changes require version control, documentation, and impact assessment.</w:t>
        <w:br/>
      </w:r>
    </w:p>
    <w:p>
      <w:pPr>
        <w:pStyle w:val="Heading1"/>
      </w:pPr>
      <w:r>
        <w:t>14. Future Data Source Roadmap</w:t>
      </w:r>
    </w:p>
    <w:p>
      <w:r>
        <w:br/>
        <w:t>Current:</w:t>
        <w:br/>
        <w:t>- RxNorm</w:t>
        <w:br/>
        <w:t>- RxClass</w:t>
        <w:br/>
        <w:t>- FDA NDC</w:t>
        <w:br/>
        <w:t>- CMS Part D</w:t>
        <w:br/>
        <w:br/>
        <w:t>Future:</w:t>
        <w:br/>
        <w:t>- DailyMed</w:t>
        <w:br/>
        <w:t>- OpenFDA</w:t>
        <w:br/>
        <w:t>- Medicaid Drug Utilization</w:t>
        <w:br/>
        <w:t>- VA Drug Classes</w:t>
        <w:br/>
        <w:t>- Commercial Claims Data</w:t>
        <w:br/>
        <w:t>- Specialty Drug Databases</w:t>
        <w:br/>
      </w:r>
    </w:p>
    <w:p>
      <w:pPr>
        <w:pStyle w:val="Heading1"/>
      </w:pPr>
      <w:r>
        <w:t>15. Statistical Assumptions</w:t>
      </w:r>
    </w:p>
    <w:p>
      <w:r>
        <w:br/>
        <w:t>Indicators measure meaningful aspects of readiness.</w:t>
        <w:br/>
        <w:t>Relationships are directionally consistent.</w:t>
        <w:br/>
        <w:t>Data sources remain authoritative.</w:t>
        <w:br/>
        <w:t>Observed variables are sufficiently complete.</w:t>
        <w:br/>
      </w:r>
    </w:p>
    <w:p>
      <w:pPr>
        <w:pStyle w:val="Heading1"/>
      </w:pPr>
      <w:r>
        <w:t>16. Statistical Limitations</w:t>
      </w:r>
    </w:p>
    <w:p>
      <w:r>
        <w:br/>
        <w:t>Readiness does not measure clinical effectiveness.</w:t>
        <w:br/>
        <w:t>CMS data may not represent all populations.</w:t>
        <w:br/>
        <w:t>NDC counts may overrepresent packaging complexity.</w:t>
        <w:br/>
        <w:t>Scores remain dependent on source data quality.</w:t>
        <w:br/>
      </w:r>
    </w:p>
    <w:p>
      <w:pPr>
        <w:pStyle w:val="Heading1"/>
      </w:pPr>
      <w:r>
        <w:t>17. Candidate Weighting Methodologies</w:t>
      </w:r>
    </w:p>
    <w:p>
      <w:r>
        <w:br/>
        <w:t>A. Expert Weighted Index</w:t>
        <w:br/>
        <w:t>B. Correlation-Based Weighting</w:t>
        <w:br/>
        <w:t>C. Regression-Based Weighting</w:t>
        <w:br/>
        <w:t>D. Principal Component Analysis</w:t>
        <w:br/>
        <w:t>E. Exploratory Factor Analysis</w:t>
        <w:br/>
        <w:t>F. Analytic Hierarchy Process</w:t>
        <w:br/>
      </w:r>
    </w:p>
    <w:p>
      <w:pPr>
        <w:pStyle w:val="Heading1"/>
      </w:pPr>
      <w:r>
        <w:t>18. Model Comparison Framework</w:t>
      </w:r>
    </w:p>
    <w:p>
      <w:r>
        <w:br/>
        <w:t>Compare methodologies using:</w:t>
        <w:br/>
        <w:t>- Rank Stability</w:t>
        <w:br/>
        <w:t>- Interpretability</w:t>
        <w:br/>
        <w:t>- Predictive Performance</w:t>
        <w:br/>
        <w:t>- Agreement Rates</w:t>
        <w:br/>
        <w:t>- Executive Explainability</w:t>
        <w:br/>
      </w:r>
    </w:p>
    <w:p>
      <w:pPr>
        <w:pStyle w:val="Heading1"/>
      </w:pPr>
      <w:r>
        <w:t>19. Success Criteria</w:t>
      </w:r>
    </w:p>
    <w:p>
      <w:r>
        <w:br/>
        <w:t>Transparent</w:t>
        <w:br/>
        <w:t>Reproducible</w:t>
        <w:br/>
        <w:t>Explainable</w:t>
        <w:br/>
        <w:t>Statistically Defensible</w:t>
        <w:br/>
        <w:t>Healthcare Relevant</w:t>
        <w:br/>
        <w:t>Operationally Useful</w:t>
        <w:br/>
      </w:r>
    </w:p>
    <w:p>
      <w:pPr>
        <w:pStyle w:val="Heading1"/>
      </w:pPr>
      <w:r>
        <w:t>20. Recommended Next Phase</w:t>
      </w:r>
    </w:p>
    <w:p>
      <w:r>
        <w:br/>
        <w:t>Finalize outcome variables, construct benchmark dataset, run all six weighting methodologies side-by-side, compare performance, and select the most defensible framework based on empirical evidence.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