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RxNorm Intelligence Explorer</w:t>
        <w:br/>
        <w:t>Version 5 Implementation &amp; Research Execution Manual</w:t>
      </w:r>
    </w:p>
    <w:p>
      <w:pPr>
        <w:pStyle w:val="Heading1"/>
      </w:pPr>
      <w:r>
        <w:t>Executive Purpose</w:t>
      </w:r>
    </w:p>
    <w:p>
      <w:r>
        <w:t>This manual converts the conceptual and statistical framework into an operational implementation plan for alexknowsai.com.</w:t>
      </w:r>
    </w:p>
    <w:p>
      <w:pPr>
        <w:pStyle w:val="Heading1"/>
      </w:pPr>
      <w:r>
        <w:t>1. Program Objectives</w:t>
      </w:r>
    </w:p>
    <w:p>
      <w:r>
        <w:t>Build, validate, deploy, monitor, and govern Medication Readiness Scores.</w:t>
      </w:r>
    </w:p>
    <w:p>
      <w:pPr>
        <w:pStyle w:val="Heading1"/>
      </w:pPr>
      <w:r>
        <w:t>2. End-State Architecture</w:t>
      </w:r>
    </w:p>
    <w:p>
      <w:r>
        <w:t>RxNorm + RxClass + FDA + CMS → Benchmark Dataset → Feature Engineering → Model Evaluation → Scoring Engine → API → Website Dashboard.</w:t>
      </w:r>
    </w:p>
    <w:p>
      <w:pPr>
        <w:pStyle w:val="Heading1"/>
      </w:pPr>
      <w:r>
        <w:t>3. Dataset Build Strategy</w:t>
      </w:r>
    </w:p>
    <w:p>
      <w:r>
        <w:t>Monthly ingestion of RxNorm, RxClass, FDA NDC, CMS Part D, and future sources. Create a unified drug master table.</w:t>
      </w:r>
    </w:p>
    <w:p>
      <w:pPr>
        <w:pStyle w:val="Heading1"/>
      </w:pPr>
      <w:r>
        <w:t>4. Benchmark Dataset Design</w:t>
      </w:r>
    </w:p>
    <w:p>
      <w:r>
        <w:t>Create benchmark dataset with &gt;10,000 medications and all indicator variables required for scoring.</w:t>
      </w:r>
    </w:p>
    <w:p>
      <w:pPr>
        <w:pStyle w:val="Heading1"/>
      </w:pPr>
      <w:r>
        <w:t>5. Code Architecture</w:t>
      </w:r>
    </w:p>
    <w:p>
      <w:r>
        <w:t>Data Layer, Feature Engineering Layer, Model Layer, Validation Layer, Scoring Engine Layer, API Layer, Dashboard Layer.</w:t>
      </w:r>
    </w:p>
    <w:p>
      <w:pPr>
        <w:pStyle w:val="Heading1"/>
      </w:pPr>
      <w:r>
        <w:t>6. Data Pipeline Workflow</w:t>
      </w:r>
    </w:p>
    <w:p>
      <w:r>
        <w:t>Ingest → Normalize → Validate → Engineer Features → Score → Publish → Monitor.</w:t>
      </w:r>
    </w:p>
    <w:p>
      <w:pPr>
        <w:pStyle w:val="Heading1"/>
      </w:pPr>
      <w:r>
        <w:t>7. Feature Engineering Workflow</w:t>
      </w:r>
    </w:p>
    <w:p>
      <w:r>
        <w:t>Generate NDC coverage metrics, relationship density, semantic richness, graph connectivity, CMS utilization percentiles, and source confidence metrics.</w:t>
      </w:r>
    </w:p>
    <w:p>
      <w:pPr>
        <w:pStyle w:val="Heading1"/>
      </w:pPr>
      <w:r>
        <w:t>8. Benchmark Drug Selection Process</w:t>
      </w:r>
    </w:p>
    <w:p>
      <w:r>
        <w:t>Stratified sampling across generic, brand, specialty, biologic, orphan, and high-utilization medications.</w:t>
      </w:r>
    </w:p>
    <w:p>
      <w:pPr>
        <w:pStyle w:val="Heading1"/>
      </w:pPr>
      <w:r>
        <w:t>9. Gold Standard Labeling Workflow</w:t>
      </w:r>
    </w:p>
    <w:p>
      <w:r>
        <w:t>Independent review, adjudication, consensus scoring, documentation, and governance approval.</w:t>
      </w:r>
    </w:p>
    <w:p>
      <w:pPr>
        <w:pStyle w:val="Heading1"/>
      </w:pPr>
      <w:r>
        <w:t>10. Model Execution Workflow</w:t>
      </w:r>
    </w:p>
    <w:p>
      <w:r>
        <w:t>Run Expert, Correlation, Regression, PCA, EFA, and AHP models on benchmark dataset.</w:t>
      </w:r>
    </w:p>
    <w:p>
      <w:pPr>
        <w:pStyle w:val="Heading1"/>
      </w:pPr>
      <w:r>
        <w:t>11. Model Evaluation Framework</w:t>
      </w:r>
    </w:p>
    <w:p>
      <w:r>
        <w:t>Compare predictive performance, interpretability, stability, and executive usability.</w:t>
      </w:r>
    </w:p>
    <w:p>
      <w:pPr>
        <w:pStyle w:val="Heading1"/>
      </w:pPr>
      <w:r>
        <w:t>12. Score Engine Design</w:t>
      </w:r>
    </w:p>
    <w:p>
      <w:r>
        <w:t>Normalize indicators, apply weights, generate readiness scores, confidence scores, rankings, and tiers.</w:t>
      </w:r>
    </w:p>
    <w:p>
      <w:pPr>
        <w:pStyle w:val="Heading1"/>
      </w:pPr>
      <w:r>
        <w:t>13. Confidence Engine Design</w:t>
      </w:r>
    </w:p>
    <w:p>
      <w:r>
        <w:t>Generate confidence levels using bootstrap intervals, source completeness, and model agreement metrics.</w:t>
      </w:r>
    </w:p>
    <w:p>
      <w:pPr>
        <w:pStyle w:val="Heading1"/>
      </w:pPr>
      <w:r>
        <w:t>14. Drug Ranking Engine</w:t>
      </w:r>
    </w:p>
    <w:p>
      <w:r>
        <w:t>Rank medications within interoperability, claims, and AI readiness domains.</w:t>
      </w:r>
    </w:p>
    <w:p>
      <w:pPr>
        <w:pStyle w:val="Heading1"/>
      </w:pPr>
      <w:r>
        <w:t>15. Calibration Framework</w:t>
      </w:r>
    </w:p>
    <w:p>
      <w:r>
        <w:t>Map raw scores to standardized 0–100 scales and readiness tiers.</w:t>
      </w:r>
    </w:p>
    <w:p>
      <w:pPr>
        <w:pStyle w:val="Heading1"/>
      </w:pPr>
      <w:r>
        <w:t>16. Dashboard Output Design</w:t>
      </w:r>
    </w:p>
    <w:p>
      <w:r>
        <w:t>Medication Intelligence Summary, readiness scores, confidence scores, rankings, indicator drilldowns, methodology transparency panels.</w:t>
      </w:r>
    </w:p>
    <w:p>
      <w:pPr>
        <w:pStyle w:val="Heading1"/>
      </w:pPr>
      <w:r>
        <w:t>17. Website Integration</w:t>
      </w:r>
    </w:p>
    <w:p>
      <w:r>
        <w:t>Integrate scoring engine into RxNorm Intelligence Explorer and alexknowsai.com live demos.</w:t>
      </w:r>
    </w:p>
    <w:p>
      <w:pPr>
        <w:pStyle w:val="Heading1"/>
      </w:pPr>
      <w:r>
        <w:t>18. API Architecture</w:t>
      </w:r>
    </w:p>
    <w:p>
      <w:r>
        <w:t>Expose readiness endpoints, rankings, confidence metrics, and methodology metadata.</w:t>
      </w:r>
    </w:p>
    <w:p>
      <w:pPr>
        <w:pStyle w:val="Heading1"/>
      </w:pPr>
      <w:r>
        <w:t>19. Validation Execution Plan</w:t>
      </w:r>
    </w:p>
    <w:p>
      <w:r>
        <w:t>Execute PCA, EFA, regression, bootstrap, and sensitivity testing.</w:t>
      </w:r>
    </w:p>
    <w:p>
      <w:pPr>
        <w:pStyle w:val="Heading1"/>
      </w:pPr>
      <w:r>
        <w:t>20. Production Monitoring</w:t>
      </w:r>
    </w:p>
    <w:p>
      <w:r>
        <w:t>Monitor score drift, source quality, refresh success, and ranking stability.</w:t>
      </w:r>
    </w:p>
    <w:p>
      <w:pPr>
        <w:pStyle w:val="Heading1"/>
      </w:pPr>
      <w:r>
        <w:t>21. Governance Framework</w:t>
      </w:r>
    </w:p>
    <w:p>
      <w:r>
        <w:t>Annual review board, methodology approval process, change control, documentation requirements.</w:t>
      </w:r>
    </w:p>
    <w:p>
      <w:pPr>
        <w:pStyle w:val="Heading1"/>
      </w:pPr>
      <w:r>
        <w:t>22. Version Control Strategy</w:t>
      </w:r>
    </w:p>
    <w:p>
      <w:r>
        <w:t>Version scoring methodologies, benchmark datasets, model outputs, and deployment artifacts.</w:t>
      </w:r>
    </w:p>
    <w:p>
      <w:pPr>
        <w:pStyle w:val="Heading1"/>
      </w:pPr>
      <w:r>
        <w:t>23. Risk Management</w:t>
      </w:r>
    </w:p>
    <w:p>
      <w:r>
        <w:t>Monitor source outages, model drift, missing data, and governance exceptions.</w:t>
      </w:r>
    </w:p>
    <w:p>
      <w:pPr>
        <w:pStyle w:val="Heading1"/>
      </w:pPr>
      <w:r>
        <w:t>24. Research Publication Strategy</w:t>
      </w:r>
    </w:p>
    <w:p>
      <w:r>
        <w:t>Publish methodology summaries, validation findings, model comparison results, and score interpretation guidance.</w:t>
      </w:r>
    </w:p>
    <w:p>
      <w:pPr>
        <w:pStyle w:val="Heading1"/>
      </w:pPr>
      <w:r>
        <w:t>25. Operational Roadmap</w:t>
      </w:r>
    </w:p>
    <w:p>
      <w:r>
        <w:t>Phase 1: Dataset Build. Phase 2: Model Testing. Phase 3: Validation. Phase 4: Production Deployment. Phase 5: Continuous Improvement.</w:t>
      </w:r>
    </w:p>
    <w:p>
      <w:pPr>
        <w:pStyle w:val="Heading1"/>
      </w:pPr>
      <w:r>
        <w:t>26. Success Metrics</w:t>
      </w:r>
    </w:p>
    <w:p>
      <w:r>
        <w:t>Statistical validity, score stability, executive interpretability, operational usefulness, and user adoption.</w:t>
      </w:r>
    </w:p>
    <w:p>
      <w:pPr>
        <w:pStyle w:val="Heading1"/>
      </w:pPr>
      <w:r>
        <w:t>27. Final Deliverables</w:t>
      </w:r>
    </w:p>
    <w:p>
      <w:r>
        <w:t>Production scoring engine, benchmark dataset, methodology repository, dashboards, APIs, governance documentation, and published readiness framework.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